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8C00"/>
          <w:sz w:val="20"/>
        </w:rPr>
        <w:t>HR-02</w:t>
      </w:r>
    </w:p>
    <w:p>
      <w:pPr>
        <w:pStyle w:val="Title"/>
        <w:keepNext/>
        <w:spacing w:before="0" w:after="240"/>
      </w:pPr>
      <w:r>
        <w:rPr>
          <w:rFonts w:ascii="Calibri" w:hAnsi="Calibri"/>
          <w:b/>
          <w:color w:val="1F292D"/>
          <w:sz w:val="44"/>
        </w:rPr>
        <w:t>Employee Onboarding Guide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Document ID: </w:t>
      </w:r>
      <w:r>
        <w:rPr>
          <w:rFonts w:ascii="Calibri" w:hAnsi="Calibri"/>
          <w:color w:val="1F292D"/>
          <w:sz w:val="18"/>
        </w:rPr>
        <w:t>HR-02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Version / created: </w:t>
      </w:r>
      <w:r>
        <w:rPr>
          <w:rFonts w:ascii="Calibri" w:hAnsi="Calibri"/>
          <w:color w:val="1F292D"/>
          <w:sz w:val="18"/>
        </w:rPr>
        <w:t>1.0 / 2026-10-17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Category: </w:t>
      </w:r>
      <w:r>
        <w:rPr>
          <w:rFonts w:ascii="Calibri" w:hAnsi="Calibri"/>
          <w:color w:val="1F292D"/>
          <w:sz w:val="18"/>
        </w:rPr>
        <w:t>HR platform orientation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Source classification: </w:t>
      </w:r>
      <w:r>
        <w:rPr>
          <w:rFonts w:ascii="Calibri" w:hAnsi="Calibri"/>
          <w:color w:val="1F292D"/>
          <w:sz w:val="18"/>
        </w:rPr>
        <w:t>Verified application behavior + DEMO / SYNTHETIC journey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Intended audience: </w:t>
      </w:r>
      <w:r>
        <w:rPr>
          <w:rFonts w:ascii="Calibri" w:hAnsi="Calibri"/>
          <w:color w:val="1F292D"/>
          <w:sz w:val="18"/>
        </w:rPr>
        <w:t>Employees and demo evaluators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Access scope: </w:t>
      </w:r>
      <w:r>
        <w:rPr>
          <w:rFonts w:ascii="Calibri" w:hAnsi="Calibri"/>
          <w:color w:val="1F292D"/>
          <w:sz w:val="18"/>
        </w:rPr>
        <w:t>all</w:t>
      </w:r>
    </w:p>
    <w:p>
      <w:pPr>
        <w:spacing w:before="200" w:after="240"/>
      </w:pPr>
      <w:r>
        <w:rPr>
          <w:rFonts w:ascii="Calibri" w:hAnsi="Calibri"/>
          <w:b/>
          <w:color w:val="008C00"/>
        </w:rPr>
        <w:t xml:space="preserve">DEMO / SYNTHETIC. </w:t>
      </w:r>
      <w:r>
        <w:rPr>
          <w:rFonts w:ascii="Calibri" w:hAnsi="Calibri"/>
        </w:rPr>
        <w:t>Короткий маршрут знакомства с Digital HR. Это путь по возможностям прототипа, а не официальный процесс приёма на работу Jana Post.</w:t>
      </w:r>
    </w:p>
    <w:p>
      <w:pPr>
        <w:pStyle w:val="Heading2"/>
      </w:pPr>
      <w:r>
        <w:t>HR-02 §1.1  Вход и собственный профиль</w:t>
      </w:r>
    </w:p>
    <w:p>
      <w:r>
        <w:t>После входа сотрудник открывает собственный профиль через раздел профиля. Backend возвращает данные текущего пользователя и доступный остаток отпуска. Кадровые поля в демонстрации загружены из отдельного HTTP mock 1С:ЗУП; интерфейс не предоставляет их самостоятельного редактирования.</w:t>
      </w:r>
    </w:p>
    <w:p>
      <w:r>
        <w:t>Демо-учётные записи появляются при явном запуске seed-команды. Повторный seed не должен менять уже существующие пароли и кадровые поля. В рабочей компании корректность кадровых данных и канал исправления нужно подтверждать отдельно; руководство не указывает несуществующий адрес HR.</w:t>
      </w:r>
    </w:p>
    <w:p>
      <w:pPr>
        <w:pStyle w:val="Heading2"/>
      </w:pPr>
      <w:r>
        <w:t>HR-02 §1.2  Границы видимости</w:t>
      </w:r>
    </w:p>
    <w:p>
      <w:r>
        <w:t>Сотрудник видит собственный профиль и заявки. Руководитель дополнительно видит прямых подчинённых, а HR — демонстрационный кадровый контур. Проверка выполняется сервером для каждого запроса; ссылка в интерфейсе не даёт доступа к чужой записи. Данные, используемые в демо, вымышлены.</w:t>
      </w:r>
    </w:p>
    <w:p>
      <w:pPr>
        <w:pStyle w:val="Heading2"/>
      </w:pPr>
      <w:r>
        <w:t>HR-02 §2.1  Первая учебная активность</w:t>
      </w:r>
    </w:p>
    <w:p>
      <w:r>
        <w:t>Seed-команда назначает демонстрационный курс «Знакомство с JanaМен» учётным записям. Назначенные курсы появляются в Jana Academy. Сотрудник читает материал, отмечает прогресс и отвечает на контрольный вопрос. Успешное завершение сохраняется сервером и отражается в разделе наград.</w:t>
      </w:r>
    </w:p>
    <w:p>
      <w:r>
        <w:t>Назначение именно этого курса — составная часть демо-сценария, а не обязательная программа адаптации сотрудников Jana Post. Других обязательных курсов или сроков это руководство не предполагает.</w:t>
      </w:r>
    </w:p>
    <w:p>
      <w:pPr>
        <w:pStyle w:val="Heading2"/>
      </w:pPr>
      <w:r>
        <w:t>HR-02 §2.2  HR-сервисы в прототипе</w:t>
      </w:r>
    </w:p>
    <w:p>
      <w:r>
        <w:t>Раздел «Заявки» поддерживает запрос отпуска: период рассчитывается через mock 1С:ЗУП, решение последовательно принимают руководитель и HR, а статус и история видны в карточке. Уведомления сообщают об отправке и решении. Доступные изменения ожидающей заявки и отмена будущей одобренной заявки имеют ограничения, описанные в HR-01.</w:t>
      </w:r>
    </w:p>
    <w:p>
      <w:pPr>
        <w:pStyle w:val="Heading2"/>
      </w:pPr>
      <w:r>
        <w:t>HR-02 §3.1  AI Jana как справка по источникам</w:t>
      </w:r>
    </w:p>
    <w:p>
      <w:r>
        <w:t>AI Jana ищет фрагменты разрешённой демонстрационной базы знаний и отвечает текстом из найденного источника. Ответ содержит ссылку на запись и её раздел; при отсутствии надёжного ответа помощник предлагает обратиться в HR. В текущем backend нет внешней генеративной модели и нет инструмента изменения профиля или заявки через чат.</w:t>
      </w:r>
    </w:p>
    <w:p>
      <w:r>
        <w:t>Помощник ограничивает поиск по роли до ранжирования. Он не является каналом для передачи чужих персональных данных или получения индивидуального кадрового решения. Для вопросов о фактической политике компании нужен утверждённый источник.</w:t>
      </w:r>
    </w:p>
    <w:p>
      <w:pPr>
        <w:pStyle w:val="Heading2"/>
      </w:pPr>
      <w:r>
        <w:t>HR-02 §3.2  Как проверить информацию</w:t>
      </w:r>
    </w:p>
    <w:p>
      <w:r>
        <w:t>При ответе помощника откройте указанный источник и проверьте раздел. Если ссылка ведёт на курс, доступ к материалу зависит от назначения курса. Если вопрос касается остатка, права на отпуск или реальных кадровых данных, используйте профиль и утверждённый канал HR вместо предположения ассистента.</w:t>
      </w:r>
    </w:p>
    <w:p>
      <w:pPr>
        <w:pStyle w:val="Heading2"/>
      </w:pPr>
      <w:r>
        <w:t>HR-02 §4.1  Что остаётся за пределами демо</w:t>
      </w:r>
    </w:p>
    <w:p>
      <w:r>
        <w:t>Руководство не устанавливает льготы, график адаптации, контакты ответственных, корпоративный SSO или реальные процессы 1С и Documentolog. Текущие внешние сервисы — отдельные mock-компоненты. Организационные шаги настоящего первого рабочего дня должны быть подтверждены работодателем.</w:t>
      </w:r>
    </w:p>
    <w:p>
      <w:pPr>
        <w:pStyle w:val="Heading2"/>
      </w:pPr>
      <w:r>
        <w:t>HR-02  Источники и примечания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Код: backend/app/modules/auth.py, employees.py, requests.py, academy.py, assistant.py; backend/app/seed.py.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Ограничения и демо-статус: docs/decisions.md; docs/api-contract.md. Проверено по рабочему дереву 2026-10-17.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6A"/>
        <w:sz w:val="16"/>
      </w:rPr>
      <w:t xml:space="preserve">JanaМен  |  учебный корпус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6A"/>
        <w:sz w:val="16"/>
      </w:rPr>
      <w:t>DIGITAL HR  •  DEMO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8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HR-02 — Employee Onboarding Guide</dc:title>
  <dc:subject>DEMO / SYNTHETIC Digital HR knowledge corpus</dc:subject>
  <dc:creator>python-docx</dc:creator>
  <cp:keywords>HR-02; all; source-aware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