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8C00"/>
          <w:sz w:val="20"/>
        </w:rPr>
        <w:t>LOG-01</w:t>
      </w:r>
    </w:p>
    <w:p>
      <w:pPr>
        <w:pStyle w:val="Title"/>
        <w:keepNext/>
        <w:spacing w:before="0" w:after="240"/>
      </w:pPr>
      <w:r>
        <w:rPr>
          <w:rFonts w:ascii="Calibri" w:hAnsi="Calibri"/>
          <w:b/>
          <w:color w:val="1F292D"/>
          <w:sz w:val="44"/>
        </w:rPr>
        <w:t>Warehouse Operations Fundamentals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Document ID: </w:t>
      </w:r>
      <w:r>
        <w:rPr>
          <w:rFonts w:ascii="Calibri" w:hAnsi="Calibri"/>
          <w:color w:val="1F292D"/>
          <w:sz w:val="18"/>
        </w:rPr>
        <w:t>LOG-01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Version / created: </w:t>
      </w:r>
      <w:r>
        <w:rPr>
          <w:rFonts w:ascii="Calibri" w:hAnsi="Calibri"/>
          <w:color w:val="1F292D"/>
          <w:sz w:val="18"/>
        </w:rPr>
        <w:t>1.0 / 2026-10-17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Category: </w:t>
      </w:r>
      <w:r>
        <w:rPr>
          <w:rFonts w:ascii="Calibri" w:hAnsi="Calibri"/>
          <w:color w:val="1F292D"/>
          <w:sz w:val="18"/>
        </w:rPr>
        <w:t>General logistics education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Source classification: </w:t>
      </w:r>
      <w:r>
        <w:rPr>
          <w:rFonts w:ascii="Calibri" w:hAnsi="Calibri"/>
          <w:color w:val="1F292D"/>
          <w:sz w:val="18"/>
        </w:rPr>
        <w:t>General educational information + DEMO / SYNTHETIC example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Intended audience: </w:t>
      </w:r>
      <w:r>
        <w:rPr>
          <w:rFonts w:ascii="Calibri" w:hAnsi="Calibri"/>
          <w:color w:val="1F292D"/>
          <w:sz w:val="18"/>
        </w:rPr>
        <w:t>Introductory learners and demo evaluators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Access scope: </w:t>
      </w:r>
      <w:r>
        <w:rPr>
          <w:rFonts w:ascii="Calibri" w:hAnsi="Calibri"/>
          <w:color w:val="1F292D"/>
          <w:sz w:val="18"/>
        </w:rPr>
        <w:t>all</w:t>
      </w:r>
    </w:p>
    <w:p>
      <w:pPr>
        <w:spacing w:before="200" w:after="240"/>
      </w:pPr>
      <w:r>
        <w:rPr>
          <w:rFonts w:ascii="Calibri" w:hAnsi="Calibri"/>
          <w:b/>
          <w:color w:val="008C00"/>
        </w:rPr>
        <w:t xml:space="preserve">DEMO / SYNTHETIC. </w:t>
      </w:r>
      <w:r>
        <w:rPr>
          <w:rFonts w:ascii="Calibri" w:hAnsi="Calibri"/>
        </w:rPr>
        <w:t>Базовые понятия приёмки и обработки посылок. Это общеобразовательный материал; он не описывает фактическую планировку, инструкции или оборудование Jana Post.</w:t>
      </w:r>
    </w:p>
    <w:p>
      <w:pPr>
        <w:pStyle w:val="Heading2"/>
      </w:pPr>
      <w:r>
        <w:t>LOG-01 §1.1  Приёмка: что подтверждается</w:t>
      </w:r>
    </w:p>
    <w:p>
      <w:r>
        <w:t>Приёмка начинается с передачи грузовой единицы от перевозчика или предыдущего участка. В общем случае принимающая сторона сопоставляет ожидаемые и фактически полученные единицы, проверяет читаемость идентификаторов и фиксирует обнаруженные расхождения. GS1 относит разгрузку, инспекцию и подтверждение приёмки к процессу управления доставкой.</w:t>
      </w:r>
    </w:p>
    <w:p>
      <w:r>
        <w:t>Приёмка посылки и обещание доставить её получателю — разные события. Запись о прибытии на склад подтверждает только конкретный факт обработки в конкретной точке, если он действительно зарегистрирован. Она не доказывает, что отправление прошло все дальнейшие этапы.</w:t>
      </w:r>
    </w:p>
    <w:p>
      <w:pPr>
        <w:pStyle w:val="Heading2"/>
      </w:pPr>
      <w:r>
        <w:t>LOG-01 §1.2  Осмотр и исключения</w:t>
      </w:r>
    </w:p>
    <w:p>
      <w:r>
        <w:t>Вводный осмотр может выявить повреждённую внешнюю упаковку, нечитаемый ярлык или несоответствие количества. В учебном примере такую единицу отделяют для уточнения и записывают причину; точный порядок изоляции, полномочия и сроки устанавливает оператор. Нельзя автоматически считать любой внешне повреждённый пакет утраченным или вскрывать вложение без утверждённой процедуры.</w:t>
      </w:r>
    </w:p>
    <w:p>
      <w:pPr>
        <w:pStyle w:val="Heading2"/>
      </w:pPr>
      <w:r>
        <w:t>LOG-01 §2.1  Идентификация и сортировка</w:t>
      </w:r>
    </w:p>
    <w:p>
      <w:r>
        <w:t>Метка или машиночитаемый код связывает физическую грузовую единицу с её цифровой записью. При сортировке единицы группируют по следующему маршруту или месту обработки. Ошибка чтения кода — повод проверить идентификатор, а не угадывать адрес по похожей маркировке. GS1 описывает сканирование логистических единиц при разгрузке и обмен сообщениями о статусе.</w:t>
      </w:r>
    </w:p>
    <w:p>
      <w:r>
        <w:t>Сортировка — выбор следующего направления обработки; хранение — удержание единицы в определённом месте до следующего действия. Одна операция не заменяет другую: отсортированная посылка может ещё ожидать отправки, а находящаяся в зоне хранения — нуждаться в уточнении маршрута.</w:t>
      </w:r>
    </w:p>
    <w:p>
      <w:pPr>
        <w:pStyle w:val="Heading2"/>
      </w:pPr>
      <w:r>
        <w:t>LOG-01 §3.1  Размещение и сохранность</w:t>
      </w:r>
    </w:p>
    <w:p>
      <w:r>
        <w:t>Учебный принцип хранения — сохранять связь между идентификатором, фактическим местом и состоянием единицы. Устойчивое размещение грузов, свободные проходы и соблюдение допустимой нагрузки стеллажей снижают риск травм и повреждения имущества. OSHA описывает эти риски и общие меры для складов; этот источник не является казахстанской или внутренней инструкцией Jana Post.</w:t>
      </w:r>
    </w:p>
    <w:p>
      <w:pPr>
        <w:pStyle w:val="Heading2"/>
      </w:pPr>
      <w:r>
        <w:t>LOG-01 §3.2  Перемещение и передача дальше</w:t>
      </w:r>
    </w:p>
    <w:p>
      <w:r>
        <w:t>При внутреннем перемещении полезно фиксировать, что было перемещено, откуда и куда, особенно если единица проходит несколько зон. При передаче следующему участку важно различать физическую передачу, её сканирование и последующее отображение в трекинге: они могут происходить в разное время. Конкретные формы подтверждения определяются системой оператора.</w:t>
      </w:r>
    </w:p>
    <w:p>
      <w:pPr>
        <w:pStyle w:val="Heading2"/>
      </w:pPr>
      <w:r>
        <w:t>LOG-01 §4.1  DEMO / SYNTHETIC пример</w:t>
      </w:r>
    </w:p>
    <w:p>
      <w:r>
        <w:t>В вымышленном учебном центре посылка WH-DEMO-001 прибыла с читаемым кодом, но её внешняя коробка смята. Сотрудник фиксирует замечание и передаёт посылку на проверку до обычной сортировки. Этот пример не устанавливает решение о годности отправления, срок обработки или реальный порядок Jana Post.</w:t>
      </w:r>
    </w:p>
    <w:p>
      <w:pPr>
        <w:pStyle w:val="Heading2"/>
      </w:pPr>
      <w:r>
        <w:t>LOG-01 §5.1  Граница применения</w:t>
      </w:r>
    </w:p>
    <w:p>
      <w:r>
        <w:t>Материал объясняет терминологию. Для работы с настоящими отправлениями нужны утверждённые инструкции работодателя по безопасности, учёту, доступу к содержимому, спорным случаям и защите данных. Здесь их содержание не предполагается.</w:t>
      </w:r>
    </w:p>
    <w:p>
      <w:pPr>
        <w:pStyle w:val="Heading2"/>
      </w:pPr>
      <w:r>
        <w:t>LOG-01  Источники и примечания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GS1, Delivery Management: https://www.gs1.org/docs/tl/GS1Standards_DeliveryManagement.pdf (receiving, inspection, delivery process).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GS1, Logistic Label Guideline: https://www.gs1.org/standards/gs1-logistic-label-guideline/1-3 (identification, scan, discrepancy).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OSHA, Warehousing: https://www.osha.gov/warehousing/hazards-solutions (general storage/handling hazards). Sources accessed 2026-10-17.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6A"/>
        <w:sz w:val="16"/>
      </w:rPr>
      <w:t xml:space="preserve">JanaМен  |  учебный корпус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6A"/>
        <w:sz w:val="16"/>
      </w:rPr>
      <w:t>DIGITAL HR  •  DEMO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8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8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LOG-01 — Warehouse Operations Fundamentals</dc:title>
  <dc:subject>DEMO / SYNTHETIC Digital HR knowledge corpus</dc:subject>
  <dc:creator>python-docx</dc:creator>
  <cp:keywords>LOG-01; all; source-aware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