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8C00"/>
          <w:sz w:val="20"/>
        </w:rPr>
        <w:t>LMS-01</w:t>
      </w:r>
    </w:p>
    <w:p>
      <w:pPr>
        <w:pStyle w:val="Title"/>
        <w:keepNext/>
        <w:spacing w:before="0" w:after="240"/>
      </w:pPr>
      <w:r>
        <w:rPr>
          <w:rFonts w:ascii="Calibri" w:hAnsi="Calibri"/>
          <w:b/>
          <w:color w:val="1F292D"/>
          <w:sz w:val="44"/>
        </w:rPr>
        <w:t>Jana Academy Learning Guide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Document ID: </w:t>
      </w:r>
      <w:r>
        <w:rPr>
          <w:rFonts w:ascii="Calibri" w:hAnsi="Calibri"/>
          <w:color w:val="1F292D"/>
          <w:sz w:val="18"/>
        </w:rPr>
        <w:t>LMS-01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Version / created: </w:t>
      </w:r>
      <w:r>
        <w:rPr>
          <w:rFonts w:ascii="Calibri" w:hAnsi="Calibri"/>
          <w:color w:val="1F292D"/>
          <w:sz w:val="18"/>
        </w:rPr>
        <w:t>1.0 / 2026-10-17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Category: </w:t>
      </w:r>
      <w:r>
        <w:rPr>
          <w:rFonts w:ascii="Calibri" w:hAnsi="Calibri"/>
          <w:color w:val="1F292D"/>
          <w:sz w:val="18"/>
        </w:rPr>
        <w:t>Learning platform guide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Source classification: </w:t>
      </w:r>
      <w:r>
        <w:rPr>
          <w:rFonts w:ascii="Calibri" w:hAnsi="Calibri"/>
          <w:color w:val="1F292D"/>
          <w:sz w:val="18"/>
        </w:rPr>
        <w:t>Verified application behavior + DEMO / SYNTHETIC rewards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Intended audience: </w:t>
      </w:r>
      <w:r>
        <w:rPr>
          <w:rFonts w:ascii="Calibri" w:hAnsi="Calibri"/>
          <w:color w:val="1F292D"/>
          <w:sz w:val="18"/>
        </w:rPr>
        <w:t>Assigned learners and demo evaluators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Access scope: </w:t>
      </w:r>
      <w:r>
        <w:rPr>
          <w:rFonts w:ascii="Calibri" w:hAnsi="Calibri"/>
          <w:color w:val="1F292D"/>
          <w:sz w:val="18"/>
        </w:rPr>
        <w:t>all</w:t>
      </w:r>
    </w:p>
    <w:p>
      <w:pPr>
        <w:spacing w:before="200" w:after="240"/>
      </w:pPr>
      <w:r>
        <w:rPr>
          <w:rFonts w:ascii="Calibri" w:hAnsi="Calibri"/>
          <w:b/>
          <w:color w:val="008C00"/>
        </w:rPr>
        <w:t xml:space="preserve">DEMO / SYNTHETIC. </w:t>
      </w:r>
      <w:r>
        <w:rPr>
          <w:rFonts w:ascii="Calibri" w:hAnsi="Calibri"/>
        </w:rPr>
        <w:t>Как устроен уже реализованный учебный цикл Jana Academy. Награды здесь являются игровой механикой прототипа и не влияют на кадровые решения или выплаты.</w:t>
      </w:r>
    </w:p>
    <w:p>
      <w:pPr>
        <w:pStyle w:val="Heading2"/>
      </w:pPr>
      <w:r>
        <w:t>LMS-01 §1.1  Назначение и открытие курса</w:t>
      </w:r>
    </w:p>
    <w:p>
      <w:r>
        <w:t>В списке Jana Academy отображаются только курсы, назначенные текущему пользователю. Карточка курса содержит название, описание, учебный текст, ориентировочную длительность, прогресс и один контрольный вопрос с вариантами ответа. Попытка открыть неназначенный курс получает ответ «Курс не назначен».</w:t>
      </w:r>
    </w:p>
    <w:p>
      <w:r>
        <w:t>Текущая seed-команда назначает демонстрационный стартовый курс. В системе нет подтверждённого интерфейса самостоятельного выбора курса, сложной программы уроков или редактора курсов. Поэтому «материал» в этом руководстве означает единый текст курса, сохранённый в поле content.</w:t>
      </w:r>
    </w:p>
    <w:p>
      <w:pPr>
        <w:pStyle w:val="Heading2"/>
      </w:pPr>
      <w:r>
        <w:t>LMS-01 §2.1  Сохранение прогресса</w:t>
      </w:r>
    </w:p>
    <w:p>
      <w:r>
        <w:t>После чтения материала интерфейс отправляет процент прогресса на backend. Сервер сохраняет только увеличение; уменьшение значения при повторном запросе не откатывает уже достигнутый уровень. До успешного теста сервер ограничивает сохранённый прогресс значением 99, даже если клиент передал 100.</w:t>
      </w:r>
    </w:p>
    <w:p>
      <w:r>
        <w:t>Отметка прогресса — действие пользователя, а не автоматическая проверка понимания. Она подготавливает допуск к контрольному вопросу. После обновления страницы список курсов снова читает сохранённое значение из базы данных.</w:t>
      </w:r>
    </w:p>
    <w:p>
      <w:pPr>
        <w:pStyle w:val="Heading2"/>
      </w:pPr>
      <w:r>
        <w:t>LMS-01 §2.2  Контрольный вопрос и завершение</w:t>
      </w:r>
    </w:p>
    <w:p>
      <w:r>
        <w:t>Для завершения курса нужно сначала сохранить прогресс не менее 70%, затем выбрать правильный вариант контрольного вопроса. Если порог не достигнут, backend возвращает конфликт; неверный ответ возвращает ошибку проверки. Успешная отправка выставляет progress=100 и completed=true, создаёт уведомление и запись аудита.</w:t>
      </w:r>
    </w:p>
    <w:p>
      <w:r>
        <w:t>Повтор успешной отправки не создаёт второе завершение или второе уведомление. Проверка ответа выполняется на сервере по сохранённому correct_index; клиент не сообщает число заработанных XP. Разработчик курса должен следить, чтобы вопрос действительно проверял материал: автоматической оценки качества вопроса в прототипе нет.</w:t>
      </w:r>
    </w:p>
    <w:p>
      <w:pPr>
        <w:pStyle w:val="Heading2"/>
      </w:pPr>
      <w:r>
        <w:t>LMS-01 §3.1  XP, уровни и достижения</w:t>
      </w:r>
    </w:p>
    <w:p>
      <w:r>
        <w:t>Сервер вычисляет 100 XP за каждое уникальное завершённое назначение курса. Уровень равен 1 + целая часть от XP/100; next_level_xp показывает следующий порог. Достижение «Первый курс» появляется после одного завершения, «Три курса» — после трёх. Награды пересчитываются из сохранённых назначений и сохраняются после обновления страницы.</w:t>
      </w:r>
    </w:p>
    <w:p>
      <w:r>
        <w:t>Например, один завершённый назначенный курс даёт 100 XP и уровень 2. Повторный правильный ответ на тот же курс не увеличивает счётчик. Это синтетическая игровая схема для демонстрации, а не квалификационная оценка сотрудника.</w:t>
      </w:r>
    </w:p>
    <w:p>
      <w:pPr>
        <w:pStyle w:val="Heading2"/>
      </w:pPr>
      <w:r>
        <w:t>LMS-01 §4.1  Вопрос помощнику внутри курса</w:t>
      </w:r>
    </w:p>
    <w:p>
      <w:r>
        <w:t>Действие «Спросить AI Jana» в курсе использует тот же механизм поиска, но получает только текст назначенного курса. В ответе источник обозначается как course; неназначенный курс недоступен. Если материал не поддерживает ответ, помощник должен отказаться от утверждения. Текущий источник курса имеет общий раздел «Материал курса», поэтому точность цитирования внутри урока ограничена.</w:t>
      </w:r>
    </w:p>
    <w:p>
      <w:pPr>
        <w:pStyle w:val="Heading2"/>
      </w:pPr>
      <w:r>
        <w:t>LMS-01 §5.1  Практические границы</w:t>
      </w:r>
    </w:p>
    <w:p>
      <w:r>
        <w:t>Прототип не подтверждает обязательные сроки прохождения, зачисление на реальные учебные программы, сертификаты или влияние XP на оплату труда. Число курсов и примеры наград относятся только к демонстрационной системе.</w:t>
      </w:r>
    </w:p>
    <w:p>
      <w:pPr>
        <w:pStyle w:val="Heading2"/>
      </w:pPr>
      <w:r>
        <w:t>LMS-01  Источники и примечания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Код: backend/app/modules/academy.py; backend/app/models.py:160–194; backend/app/seed.py:36–49.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API-контракт: docs/api-contract.md, раздел Academy. Проверено по рабочему дереву 2026-10-17.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76A"/>
        <w:sz w:val="16"/>
      </w:rPr>
      <w:t xml:space="preserve">JanaМен  |  учебный корпус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76A"/>
        <w:sz w:val="16"/>
      </w:rPr>
      <w:t>DIGITAL HR  •  DEMO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8C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8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LMS-01 — Jana Academy Learning Guide</dc:title>
  <dc:subject>DEMO / SYNTHETIC Digital HR knowledge corpus</dc:subject>
  <dc:creator>python-docx</dc:creator>
  <cp:keywords>LMS-01; all; source-aware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