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008C00"/>
          <w:sz w:val="20"/>
        </w:rPr>
        <w:t>LOG-02</w:t>
      </w:r>
    </w:p>
    <w:p>
      <w:pPr>
        <w:pStyle w:val="Title"/>
        <w:keepNext/>
        <w:spacing w:before="0" w:after="240"/>
      </w:pPr>
      <w:r>
        <w:rPr>
          <w:rFonts w:ascii="Calibri" w:hAnsi="Calibri"/>
          <w:b/>
          <w:color w:val="1F292D"/>
          <w:sz w:val="44"/>
        </w:rPr>
        <w:t>Parcel Lifecycle and Tracking</w:t>
      </w:r>
    </w:p>
    <w:p>
      <w:pPr>
        <w:spacing w:after="40"/>
      </w:pPr>
      <w:r>
        <w:rPr>
          <w:rFonts w:ascii="Calibri" w:hAnsi="Calibri"/>
          <w:b/>
          <w:color w:val="5C676A"/>
          <w:sz w:val="18"/>
        </w:rPr>
        <w:t xml:space="preserve">Document ID: </w:t>
      </w:r>
      <w:r>
        <w:rPr>
          <w:rFonts w:ascii="Calibri" w:hAnsi="Calibri"/>
          <w:color w:val="1F292D"/>
          <w:sz w:val="18"/>
        </w:rPr>
        <w:t>LOG-02</w:t>
      </w:r>
    </w:p>
    <w:p>
      <w:pPr>
        <w:spacing w:after="40"/>
      </w:pPr>
      <w:r>
        <w:rPr>
          <w:rFonts w:ascii="Calibri" w:hAnsi="Calibri"/>
          <w:b/>
          <w:color w:val="5C676A"/>
          <w:sz w:val="18"/>
        </w:rPr>
        <w:t xml:space="preserve">Version / created: </w:t>
      </w:r>
      <w:r>
        <w:rPr>
          <w:rFonts w:ascii="Calibri" w:hAnsi="Calibri"/>
          <w:color w:val="1F292D"/>
          <w:sz w:val="18"/>
        </w:rPr>
        <w:t>1.0 / 2026-10-17</w:t>
      </w:r>
    </w:p>
    <w:p>
      <w:pPr>
        <w:spacing w:after="40"/>
      </w:pPr>
      <w:r>
        <w:rPr>
          <w:rFonts w:ascii="Calibri" w:hAnsi="Calibri"/>
          <w:b/>
          <w:color w:val="5C676A"/>
          <w:sz w:val="18"/>
        </w:rPr>
        <w:t xml:space="preserve">Category: </w:t>
      </w:r>
      <w:r>
        <w:rPr>
          <w:rFonts w:ascii="Calibri" w:hAnsi="Calibri"/>
          <w:color w:val="1F292D"/>
          <w:sz w:val="18"/>
        </w:rPr>
        <w:t>General logistics education</w:t>
      </w:r>
    </w:p>
    <w:p>
      <w:pPr>
        <w:spacing w:after="40"/>
      </w:pPr>
      <w:r>
        <w:rPr>
          <w:rFonts w:ascii="Calibri" w:hAnsi="Calibri"/>
          <w:b/>
          <w:color w:val="5C676A"/>
          <w:sz w:val="18"/>
        </w:rPr>
        <w:t xml:space="preserve">Source classification: </w:t>
      </w:r>
      <w:r>
        <w:rPr>
          <w:rFonts w:ascii="Calibri" w:hAnsi="Calibri"/>
          <w:color w:val="1F292D"/>
          <w:sz w:val="18"/>
        </w:rPr>
        <w:t>General educational information + DEMO / SYNTHETIC example and access scope</w:t>
      </w:r>
    </w:p>
    <w:p>
      <w:pPr>
        <w:spacing w:after="40"/>
      </w:pPr>
      <w:r>
        <w:rPr>
          <w:rFonts w:ascii="Calibri" w:hAnsi="Calibri"/>
          <w:b/>
          <w:color w:val="5C676A"/>
          <w:sz w:val="18"/>
        </w:rPr>
        <w:t xml:space="preserve">Intended audience: </w:t>
      </w:r>
      <w:r>
        <w:rPr>
          <w:rFonts w:ascii="Calibri" w:hAnsi="Calibri"/>
          <w:color w:val="1F292D"/>
          <w:sz w:val="18"/>
        </w:rPr>
        <w:t>HR demo evaluators (synthetic role-filter test)</w:t>
      </w:r>
    </w:p>
    <w:p>
      <w:pPr>
        <w:spacing w:after="40"/>
      </w:pPr>
      <w:r>
        <w:rPr>
          <w:rFonts w:ascii="Calibri" w:hAnsi="Calibri"/>
          <w:b/>
          <w:color w:val="5C676A"/>
          <w:sz w:val="18"/>
        </w:rPr>
        <w:t xml:space="preserve">Access scope: </w:t>
      </w:r>
      <w:r>
        <w:rPr>
          <w:rFonts w:ascii="Calibri" w:hAnsi="Calibri"/>
          <w:color w:val="1F292D"/>
          <w:sz w:val="18"/>
        </w:rPr>
        <w:t>hr_admin</w:t>
      </w:r>
    </w:p>
    <w:p>
      <w:pPr>
        <w:spacing w:before="200" w:after="240"/>
      </w:pPr>
      <w:r>
        <w:rPr>
          <w:rFonts w:ascii="Calibri" w:hAnsi="Calibri"/>
          <w:b/>
          <w:color w:val="008C00"/>
        </w:rPr>
        <w:t xml:space="preserve">DEMO / SYNTHETIC. </w:t>
      </w:r>
      <w:r>
        <w:rPr>
          <w:rFonts w:ascii="Calibri" w:hAnsi="Calibri"/>
        </w:rPr>
        <w:t>Как читать последовательность событий посылки. Доступ hr_admin выбран только для демонстрационного теста разграничения прав; это не правило Jana Post о секретности логистических данных.</w:t>
      </w:r>
    </w:p>
    <w:p>
      <w:pPr>
        <w:pStyle w:val="Heading2"/>
      </w:pPr>
      <w:r>
        <w:t>LOG-02 §1.1  Жизненный цикл отправления</w:t>
      </w:r>
    </w:p>
    <w:p>
      <w:r>
        <w:t>В общем случае отправление проходит принятие, обработку в пунктах сети, транспортировку, передачу на доставку и итоговое событие. Фактический маршрут может содержать меньше или больше этапов. UPU описывает регистрацию событий принятия и доставки в полевых системах; названия событий и покрытие отслеживания зависят от сервиса и оператора.</w:t>
      </w:r>
    </w:p>
    <w:p>
      <w:r>
        <w:t>Трекинг — запись известных событий, а не непрерывное измерение положения посылки. Отсутствие нового сканирования не доказывает потерю. Аналогично статус «в пути» сам по себе не сообщает точное местонахождение или обещанное время вручения.</w:t>
      </w:r>
    </w:p>
    <w:p>
      <w:pPr>
        <w:pStyle w:val="Heading2"/>
      </w:pPr>
      <w:r>
        <w:t>LOG-02 §1.2  Что содержится в событии</w:t>
      </w:r>
    </w:p>
    <w:p>
      <w:r>
        <w:t>Полезная запись связывает идентификатор отправления с типом события, временем и точкой или участником обработки. Если есть сведения о причине задержки либо повреждения, их отделяют от обычного движения. Формат идентификатора и набор доступных полей зависят от оператора; документ не задаёт коды Jana Post.</w:t>
      </w:r>
    </w:p>
    <w:p>
      <w:pPr>
        <w:pStyle w:val="Heading2"/>
      </w:pPr>
      <w:r>
        <w:t>LOG-02 §2.1  Передача между участками</w:t>
      </w:r>
    </w:p>
    <w:p>
      <w:r>
        <w:t>Смена ответственного участка называется передачей или handoff. Физическая передача, подтверждение получателя и публикация клиентского статуса — разные факты. В GS1-руководстве перевозчик может сообщать о завершении перевозки и расхождениях, обнаруженных при доставке грузовой единицы. Поэтому при споре следует смотреть на событие и его источник, а не только на короткую текстовую метку.</w:t>
      </w:r>
    </w:p>
    <w:p>
      <w:pPr>
        <w:pStyle w:val="Heading2"/>
      </w:pPr>
      <w:r>
        <w:t>LOG-02 §2.2  Статус посылки и статус перевозки</w:t>
      </w:r>
    </w:p>
    <w:p>
      <w:r>
        <w:t>Статус посылки относится к отдельному отправлению. Статус перевозки может относиться к партии или транспортной операции. Завершение перевозки до сортировочного пункта не равно вручению адресату. Несколько посылок могут разделять одну транспортную запись, но иметь разные индивидуальные исходы.</w:t>
      </w:r>
    </w:p>
    <w:p>
      <w:pPr>
        <w:pStyle w:val="Heading2"/>
      </w:pPr>
      <w:r>
        <w:t>LOG-02 §3.1  Исключения и корректировки</w:t>
      </w:r>
    </w:p>
    <w:p>
      <w:r>
        <w:t>Исключением может быть нечитаемый код, повреждение упаковки, расхождение при передаче или неудачная попытка доставки. Появление исключения не означает автоматически возврат или утерю: нужен следующий проверенный факт. При исправлении ошибочной записи полезно сохранять исходное событие и причину исправления, чтобы история оставалась объяснимой. Конкретные сроки и правила эскалации утверждает оператор.</w:t>
      </w:r>
    </w:p>
    <w:p>
      <w:pPr>
        <w:pStyle w:val="Heading2"/>
      </w:pPr>
      <w:r>
        <w:t>LOG-02 §4.1  DEMO / SYNTHETIC последовательность</w:t>
      </w:r>
    </w:p>
    <w:p>
      <w:r>
        <w:t>Для вымышленной посылки JP-DEMO-001 учебная лента может выглядеть так: «принята» → «прибыла на сортировку» → «передана перевозчику» → «доставлена в пункт выдачи» → «вручена». Если после сортировки появляется «требуется уточнение маркировки», это событие объясняет паузу, но не предрешает итог. Слова в кавычках — придуманные учебные метки, не коды, SLA или реальные статусы Jana Post.</w:t>
      </w:r>
    </w:p>
    <w:p>
      <w:pPr>
        <w:pStyle w:val="Heading2"/>
      </w:pPr>
      <w:r>
        <w:t>LOG-02 §5.1  Что нельзя выводить из ленты</w:t>
      </w:r>
    </w:p>
    <w:p>
      <w:r>
        <w:t>По одной записи нельзя обещать срок, назвать виновного в задержке, подтвердить содержимое отправления или утверждать, что оно находится у конкретного сотрудника. Для реального расследования нужны авторизованные операционные данные и утверждённый процесс компании. Этот документ предоставляет только общие понятия.</w:t>
      </w:r>
    </w:p>
    <w:p>
      <w:pPr>
        <w:pStyle w:val="Heading2"/>
      </w:pPr>
      <w:r>
        <w:t>LOG-02  Источники и примечания</w:t>
      </w:r>
    </w:p>
    <w:p>
      <w:pPr>
        <w:spacing w:after="60"/>
      </w:pPr>
      <w:r>
        <w:rPr>
          <w:rFonts w:ascii="Calibri" w:hAnsi="Calibri"/>
          <w:color w:val="5C676A"/>
          <w:sz w:val="18"/>
        </w:rPr>
        <w:t>UPU, Domestic Postal System / TrackIT: https://www.upu.int/en/Postal-Solutions/Technical-Solutions/Products/DPS---Domestic-Postal-System (capture of field events).</w:t>
      </w:r>
    </w:p>
    <w:p>
      <w:pPr>
        <w:spacing w:after="60"/>
      </w:pPr>
      <w:r>
        <w:rPr>
          <w:rFonts w:ascii="Calibri" w:hAnsi="Calibri"/>
          <w:color w:val="5C676A"/>
          <w:sz w:val="18"/>
        </w:rPr>
        <w:t>UPU, Transport and Logistics: https://www.upu.int/en/postal-solutions/programmes-services/postal-supply-chain/transport-and-logistics (postal transport context).</w:t>
      </w:r>
    </w:p>
    <w:p>
      <w:pPr>
        <w:spacing w:after="60"/>
      </w:pPr>
      <w:r>
        <w:rPr>
          <w:rFonts w:ascii="Calibri" w:hAnsi="Calibri"/>
          <w:color w:val="5C676A"/>
          <w:sz w:val="18"/>
        </w:rPr>
        <w:t>GS1, Logistic Label Guideline: https://www.gs1.org/standards/gs1-logistic-label-guideline/1-3 (handoff, transport status, discrepancies). Sources accessed 2026-10-17.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C676A"/>
        <w:sz w:val="16"/>
      </w:rPr>
      <w:t xml:space="preserve">JanaМен  |  учебный корпус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C676A"/>
        <w:sz w:val="16"/>
      </w:rPr>
      <w:t>DIGITAL HR  •  DEMO / 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b w:val="0"/>
      <w:color w:val="1F29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8C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8C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LOG-02 — Parcel Lifecycle and Tracking</dc:title>
  <dc:subject>DEMO / SYNTHETIC Digital HR knowledge corpus</dc:subject>
  <dc:creator>python-docx</dc:creator>
  <cp:keywords>LOG-02; hr_admin; source-aware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