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DB6FE1" w14:textId="77777777" w:rsidR="00341846" w:rsidRPr="003A1D4B" w:rsidRDefault="00000000" w:rsidP="00CA552D">
      <w:pPr>
        <w:pStyle w:val="ACLAbstractHeading"/>
        <w:rPr>
          <w:sz w:val="36"/>
          <w:szCs w:val="36"/>
        </w:rPr>
      </w:pPr>
      <w:r w:rsidRPr="003A1D4B">
        <w:rPr>
          <w:sz w:val="36"/>
          <w:szCs w:val="36"/>
        </w:rPr>
        <w:t>Analyzing Hallucination Patterns in Retrieval-Augmented Financial Question Answering</w:t>
      </w:r>
    </w:p>
    <w:p w14:paraId="245DFD01" w14:textId="77777777" w:rsidR="00751EA7" w:rsidRDefault="00751EA7">
      <w:pPr>
        <w:rPr>
          <w:rFonts w:ascii="Times New Roman" w:hAnsi="Times New Roman" w:cs="Times New Roman"/>
          <w:b/>
          <w:bCs/>
          <w:sz w:val="20"/>
          <w:szCs w:val="20"/>
        </w:rPr>
      </w:pPr>
    </w:p>
    <w:p w14:paraId="4F9957D6" w14:textId="77777777" w:rsidR="00D46BC7" w:rsidRDefault="00D46BC7">
      <w:pPr>
        <w:rPr>
          <w:rFonts w:ascii="Times New Roman" w:hAnsi="Times New Roman" w:cs="Times New Roman"/>
          <w:b/>
          <w:bCs/>
          <w:sz w:val="20"/>
          <w:szCs w:val="20"/>
        </w:rPr>
      </w:pPr>
    </w:p>
    <w:p w14:paraId="04B1EED4" w14:textId="63F76156" w:rsidR="00341846" w:rsidRDefault="00000000">
      <w:pPr>
        <w:rPr>
          <w:rFonts w:ascii="Times New Roman" w:hAnsi="Times New Roman" w:cs="Times New Roman"/>
          <w:b/>
          <w:bCs/>
          <w:sz w:val="20"/>
          <w:szCs w:val="20"/>
        </w:rPr>
      </w:pPr>
      <w:r w:rsidRPr="003A1D4B">
        <w:rPr>
          <w:rFonts w:ascii="Times New Roman" w:hAnsi="Times New Roman" w:cs="Times New Roman"/>
          <w:b/>
          <w:bCs/>
          <w:sz w:val="20"/>
          <w:szCs w:val="20"/>
        </w:rPr>
        <w:t>Bhalchandra Shinde</w:t>
      </w:r>
      <w:r w:rsidR="00CA552D" w:rsidRPr="003A1D4B">
        <w:rPr>
          <w:rFonts w:ascii="Times New Roman" w:hAnsi="Times New Roman" w:cs="Times New Roman"/>
          <w:b/>
          <w:bCs/>
          <w:sz w:val="20"/>
          <w:szCs w:val="20"/>
        </w:rPr>
        <w:t xml:space="preserve">, </w:t>
      </w:r>
      <w:r w:rsidRPr="003A1D4B">
        <w:rPr>
          <w:rFonts w:ascii="Times New Roman" w:hAnsi="Times New Roman" w:cs="Times New Roman"/>
          <w:b/>
          <w:bCs/>
          <w:sz w:val="20"/>
          <w:szCs w:val="20"/>
        </w:rPr>
        <w:t>Piyush Daga</w:t>
      </w:r>
      <w:r w:rsidR="00CA552D" w:rsidRPr="003A1D4B">
        <w:rPr>
          <w:rFonts w:ascii="Times New Roman" w:hAnsi="Times New Roman" w:cs="Times New Roman"/>
          <w:b/>
          <w:bCs/>
          <w:sz w:val="20"/>
          <w:szCs w:val="20"/>
        </w:rPr>
        <w:t xml:space="preserve">, </w:t>
      </w:r>
      <w:r w:rsidRPr="003A1D4B">
        <w:rPr>
          <w:rFonts w:ascii="Times New Roman" w:hAnsi="Times New Roman" w:cs="Times New Roman"/>
          <w:b/>
          <w:bCs/>
          <w:sz w:val="20"/>
          <w:szCs w:val="20"/>
        </w:rPr>
        <w:t>Anish Kelkar</w:t>
      </w:r>
      <w:r w:rsidR="00CA552D" w:rsidRPr="003A1D4B">
        <w:rPr>
          <w:rFonts w:ascii="Times New Roman" w:hAnsi="Times New Roman" w:cs="Times New Roman"/>
          <w:b/>
          <w:bCs/>
          <w:sz w:val="20"/>
          <w:szCs w:val="20"/>
        </w:rPr>
        <w:t xml:space="preserve">, </w:t>
      </w:r>
      <w:r w:rsidRPr="003A1D4B">
        <w:rPr>
          <w:rFonts w:ascii="Times New Roman" w:hAnsi="Times New Roman" w:cs="Times New Roman"/>
          <w:b/>
          <w:bCs/>
          <w:sz w:val="20"/>
          <w:szCs w:val="20"/>
        </w:rPr>
        <w:t>Rituraj Singh</w:t>
      </w:r>
    </w:p>
    <w:p w14:paraId="574A99B4" w14:textId="77777777" w:rsidR="00751EA7" w:rsidRPr="003A1D4B" w:rsidRDefault="00751EA7">
      <w:pPr>
        <w:rPr>
          <w:rFonts w:ascii="Times New Roman" w:hAnsi="Times New Roman" w:cs="Times New Roman"/>
          <w:b/>
          <w:bCs/>
          <w:sz w:val="20"/>
          <w:szCs w:val="20"/>
        </w:rPr>
      </w:pPr>
    </w:p>
    <w:p w14:paraId="3923DCBC" w14:textId="77777777" w:rsidR="00341846" w:rsidRDefault="00000000" w:rsidP="00CA552D">
      <w:pPr>
        <w:jc w:val="both"/>
        <w:rPr>
          <w:rFonts w:ascii="Times New Roman" w:hAnsi="Times New Roman" w:cs="Times New Roman"/>
        </w:rPr>
      </w:pPr>
      <w:r w:rsidRPr="003A1D4B">
        <w:rPr>
          <w:rFonts w:ascii="Times New Roman" w:hAnsi="Times New Roman" w:cs="Times New Roman"/>
        </w:rPr>
        <w:t xml:space="preserve">Retrieval-augmented generation (RAG) grounds large language models (LLMs) in external documents, yet models still produce claims that contradict or exceed the retrieved evidence—a failure mode with acute consequences in finance, where a single wrong figure misleads. We study </w:t>
      </w:r>
      <w:r w:rsidRPr="003A1D4B">
        <w:rPr>
          <w:rFonts w:ascii="Times New Roman" w:hAnsi="Times New Roman" w:cs="Times New Roman"/>
          <w:i/>
          <w:iCs/>
        </w:rPr>
        <w:t>when and how</w:t>
      </w:r>
      <w:r w:rsidRPr="003A1D4B">
        <w:rPr>
          <w:rFonts w:ascii="Times New Roman" w:hAnsi="Times New Roman" w:cs="Times New Roman"/>
        </w:rPr>
        <w:t xml:space="preserve"> RAG systems hallucinate on financial question answering using the open-source subset of </w:t>
      </w:r>
      <w:r w:rsidRPr="003A1D4B">
        <w:rPr>
          <w:rFonts w:ascii="Times New Roman" w:hAnsi="Times New Roman" w:cs="Times New Roman"/>
          <w:b/>
          <w:bCs/>
        </w:rPr>
        <w:t>FinanceBench</w:t>
      </w:r>
      <w:r w:rsidRPr="003A1D4B">
        <w:rPr>
          <w:rFonts w:ascii="Times New Roman" w:hAnsi="Times New Roman" w:cs="Times New Roman"/>
        </w:rPr>
        <w:t xml:space="preserve"> (150 annotated questions over 84 SEC filings). We build four RAG configurations that differ only in retrieval—sparse (BM25), dense (FAISS + MiniLM), query-rewriting, and a known-document upper bound—and evaluate each with RAGAS faithfulness, context precision, and a numeric-tolerant exact match. Three findings emerge. </w:t>
      </w:r>
      <w:r w:rsidRPr="003A1D4B">
        <w:rPr>
          <w:rFonts w:ascii="Times New Roman" w:hAnsi="Times New Roman" w:cs="Times New Roman"/>
          <w:b/>
          <w:bCs/>
        </w:rPr>
        <w:t>(RQ1)</w:t>
      </w:r>
      <w:r w:rsidRPr="003A1D4B">
        <w:rPr>
          <w:rFonts w:ascii="Times New Roman" w:hAnsi="Times New Roman" w:cs="Times New Roman"/>
        </w:rPr>
        <w:t xml:space="preserve"> Retrieval, not generation, is the dominant lever: as the correct filing reaches the top-3 for 43%→64%→69% of questions, coverage, faithfulness, and accuracy all rise in lockstep; a retrieval-depth ablation (top-5 vs. top-3) confirms deeper retrieval helps. </w:t>
      </w:r>
      <w:r w:rsidRPr="003A1D4B">
        <w:rPr>
          <w:rFonts w:ascii="Times New Roman" w:hAnsi="Times New Roman" w:cs="Times New Roman"/>
          <w:b/>
          <w:bCs/>
        </w:rPr>
        <w:t>(RQ2)</w:t>
      </w:r>
      <w:r w:rsidRPr="003A1D4B">
        <w:rPr>
          <w:rFonts w:ascii="Times New Roman" w:hAnsi="Times New Roman" w:cs="Times New Roman"/>
        </w:rPr>
        <w:t xml:space="preserve"> A manual taxonomy of 50 answered-but-incorrect cases shows </w:t>
      </w:r>
      <w:r w:rsidRPr="003A1D4B">
        <w:rPr>
          <w:rFonts w:ascii="Times New Roman" w:hAnsi="Times New Roman" w:cs="Times New Roman"/>
          <w:i/>
          <w:iCs/>
        </w:rPr>
        <w:t>numerical</w:t>
      </w:r>
      <w:r w:rsidRPr="003A1D4B">
        <w:rPr>
          <w:rFonts w:ascii="Times New Roman" w:hAnsi="Times New Roman" w:cs="Times New Roman"/>
        </w:rPr>
        <w:t xml:space="preserve"> errors dominate (46%), followed by </w:t>
      </w:r>
      <w:r w:rsidRPr="003A1D4B">
        <w:rPr>
          <w:rFonts w:ascii="Times New Roman" w:hAnsi="Times New Roman" w:cs="Times New Roman"/>
          <w:i/>
          <w:iCs/>
        </w:rPr>
        <w:t>entity</w:t>
      </w:r>
      <w:r w:rsidRPr="003A1D4B">
        <w:rPr>
          <w:rFonts w:ascii="Times New Roman" w:hAnsi="Times New Roman" w:cs="Times New Roman"/>
        </w:rPr>
        <w:t xml:space="preserve"> (31%), </w:t>
      </w:r>
      <w:r w:rsidRPr="003A1D4B">
        <w:rPr>
          <w:rFonts w:ascii="Times New Roman" w:hAnsi="Times New Roman" w:cs="Times New Roman"/>
          <w:i/>
          <w:iCs/>
        </w:rPr>
        <w:t>unsupported</w:t>
      </w:r>
      <w:r w:rsidRPr="003A1D4B">
        <w:rPr>
          <w:rFonts w:ascii="Times New Roman" w:hAnsi="Times New Roman" w:cs="Times New Roman"/>
        </w:rPr>
        <w:t xml:space="preserve"> (15%), and </w:t>
      </w:r>
      <w:r w:rsidRPr="003A1D4B">
        <w:rPr>
          <w:rFonts w:ascii="Times New Roman" w:hAnsi="Times New Roman" w:cs="Times New Roman"/>
          <w:i/>
          <w:iCs/>
        </w:rPr>
        <w:t>reasoning</w:t>
      </w:r>
      <w:r w:rsidRPr="003A1D4B">
        <w:rPr>
          <w:rFonts w:ascii="Times New Roman" w:hAnsi="Times New Roman" w:cs="Times New Roman"/>
        </w:rPr>
        <w:t xml:space="preserve"> (8%) hallucinations; notably, ~22% of automatically flagged “failures” are in fact correct answers mis-scored by exact match, a caution for automatic hallucination metrics. </w:t>
      </w:r>
      <w:r w:rsidRPr="003A1D4B">
        <w:rPr>
          <w:rFonts w:ascii="Times New Roman" w:hAnsi="Times New Roman" w:cs="Times New Roman"/>
          <w:b/>
          <w:bCs/>
        </w:rPr>
        <w:t>(RQ3)</w:t>
      </w:r>
      <w:r w:rsidRPr="003A1D4B">
        <w:rPr>
          <w:rFonts w:ascii="Times New Roman" w:hAnsi="Times New Roman" w:cs="Times New Roman"/>
        </w:rPr>
        <w:t xml:space="preserve"> Swapping GPT-3.5-turbo for the open Mistral-7B-Instruct on </w:t>
      </w:r>
      <w:r w:rsidRPr="003A1D4B">
        <w:rPr>
          <w:rFonts w:ascii="Times New Roman" w:hAnsi="Times New Roman" w:cs="Times New Roman"/>
          <w:i/>
          <w:iCs/>
        </w:rPr>
        <w:t>identical</w:t>
      </w:r>
      <w:r w:rsidRPr="003A1D4B">
        <w:rPr>
          <w:rFonts w:ascii="Times New Roman" w:hAnsi="Times New Roman" w:cs="Times New Roman"/>
        </w:rPr>
        <w:t xml:space="preserve"> retrieved context makes the smaller model substantially </w:t>
      </w:r>
      <w:r w:rsidRPr="003A1D4B">
        <w:rPr>
          <w:rFonts w:ascii="Times New Roman" w:hAnsi="Times New Roman" w:cs="Times New Roman"/>
          <w:i/>
          <w:iCs/>
        </w:rPr>
        <w:t>more</w:t>
      </w:r>
      <w:r w:rsidRPr="003A1D4B">
        <w:rPr>
          <w:rFonts w:ascii="Times New Roman" w:hAnsi="Times New Roman" w:cs="Times New Roman"/>
        </w:rPr>
        <w:t xml:space="preserve"> faithful (0.59 vs. 0.21) and more numerically accurate, at the cost of answering fewer questions—so abstention behavior, not model scale, drives grounding here.</w:t>
      </w:r>
    </w:p>
    <w:p w14:paraId="10A48A1A" w14:textId="77777777" w:rsidR="00751EA7" w:rsidRPr="003A1D4B" w:rsidRDefault="00751EA7" w:rsidP="00CA552D">
      <w:pPr>
        <w:jc w:val="both"/>
        <w:rPr>
          <w:rFonts w:ascii="Times New Roman" w:hAnsi="Times New Roman" w:cs="Times New Roman"/>
        </w:rPr>
      </w:pPr>
    </w:p>
    <w:p w14:paraId="2FD7E819" w14:textId="77777777" w:rsidR="00341846" w:rsidRPr="003A1D4B" w:rsidRDefault="00000000">
      <w:pPr>
        <w:pStyle w:val="Heading1"/>
        <w:rPr>
          <w:rFonts w:ascii="Times New Roman" w:hAnsi="Times New Roman" w:cs="Times New Roman"/>
        </w:rPr>
      </w:pPr>
      <w:bookmarkStart w:id="0" w:name="introduction"/>
      <w:r w:rsidRPr="003A1D4B">
        <w:rPr>
          <w:rFonts w:ascii="Times New Roman" w:hAnsi="Times New Roman" w:cs="Times New Roman"/>
        </w:rPr>
        <w:t>Introduction</w:t>
      </w:r>
    </w:p>
    <w:p w14:paraId="08EFCBB8"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Retrieval-augmented generation (Lewis et al. 2020) has become the dominant recipe for grounding LLM outputs in verifiable external knowledge. Yet a growing body of work shows that even with relevant context in the prompt, models generate statements that are unsupported by—or contradict—the retrieved passages (Ji et al. 2023; Huang et al. 2023). In </w:t>
      </w:r>
      <w:r w:rsidRPr="003A1D4B">
        <w:rPr>
          <w:rFonts w:ascii="Times New Roman" w:hAnsi="Times New Roman" w:cs="Times New Roman"/>
          <w:i/>
          <w:iCs/>
        </w:rPr>
        <w:t>financial</w:t>
      </w:r>
      <w:r w:rsidRPr="003A1D4B">
        <w:rPr>
          <w:rFonts w:ascii="Times New Roman" w:hAnsi="Times New Roman" w:cs="Times New Roman"/>
        </w:rPr>
        <w:t xml:space="preserve"> question answering this is especially costly: answers are exact numeric values drawn from dense regulatory filings, and a single fabricated or misattributed figure produces a confidently wrong answer.</w:t>
      </w:r>
    </w:p>
    <w:p w14:paraId="72671401" w14:textId="77777777" w:rsidR="00341846" w:rsidRPr="003A1D4B" w:rsidRDefault="00000000">
      <w:pPr>
        <w:rPr>
          <w:rFonts w:ascii="Times New Roman" w:hAnsi="Times New Roman" w:cs="Times New Roman"/>
        </w:rPr>
      </w:pPr>
      <w:r w:rsidRPr="003A1D4B">
        <w:rPr>
          <w:rFonts w:ascii="Times New Roman" w:hAnsi="Times New Roman" w:cs="Times New Roman"/>
        </w:rPr>
        <w:t>We investigate three research questions:</w:t>
      </w:r>
    </w:p>
    <w:p w14:paraId="7777531C" w14:textId="77777777" w:rsidR="00341846" w:rsidRPr="003A1D4B" w:rsidRDefault="00000000" w:rsidP="00CA552D">
      <w:pPr>
        <w:pStyle w:val="ListParagraph"/>
        <w:numPr>
          <w:ilvl w:val="0"/>
          <w:numId w:val="28"/>
        </w:numPr>
        <w:jc w:val="both"/>
        <w:rPr>
          <w:rFonts w:ascii="Times New Roman" w:hAnsi="Times New Roman" w:cs="Times New Roman"/>
        </w:rPr>
      </w:pPr>
      <w:r w:rsidRPr="003A1D4B">
        <w:rPr>
          <w:rFonts w:ascii="Times New Roman" w:hAnsi="Times New Roman" w:cs="Times New Roman"/>
          <w:b/>
          <w:bCs/>
        </w:rPr>
        <w:t>RQ1.</w:t>
      </w:r>
      <w:r w:rsidRPr="003A1D4B">
        <w:rPr>
          <w:rFonts w:ascii="Times New Roman" w:hAnsi="Times New Roman" w:cs="Times New Roman"/>
        </w:rPr>
        <w:t xml:space="preserve"> How frequently do different RAG pipeline configurations hallucinate on financial QA, and what drives the differences?</w:t>
      </w:r>
    </w:p>
    <w:p w14:paraId="37BC56D4" w14:textId="77777777" w:rsidR="00341846" w:rsidRPr="003A1D4B" w:rsidRDefault="00000000" w:rsidP="00CA552D">
      <w:pPr>
        <w:pStyle w:val="ListParagraph"/>
        <w:numPr>
          <w:ilvl w:val="0"/>
          <w:numId w:val="28"/>
        </w:numPr>
        <w:jc w:val="both"/>
        <w:rPr>
          <w:rFonts w:ascii="Times New Roman" w:hAnsi="Times New Roman" w:cs="Times New Roman"/>
        </w:rPr>
      </w:pPr>
      <w:r w:rsidRPr="003A1D4B">
        <w:rPr>
          <w:rFonts w:ascii="Times New Roman" w:hAnsi="Times New Roman" w:cs="Times New Roman"/>
          <w:b/>
          <w:bCs/>
        </w:rPr>
        <w:t>RQ2.</w:t>
      </w:r>
      <w:r w:rsidRPr="003A1D4B">
        <w:rPr>
          <w:rFonts w:ascii="Times New Roman" w:hAnsi="Times New Roman" w:cs="Times New Roman"/>
        </w:rPr>
        <w:t xml:space="preserve"> Which hallucination </w:t>
      </w:r>
      <w:r w:rsidRPr="003A1D4B">
        <w:rPr>
          <w:rFonts w:ascii="Times New Roman" w:hAnsi="Times New Roman" w:cs="Times New Roman"/>
          <w:i/>
          <w:iCs/>
        </w:rPr>
        <w:t>types</w:t>
      </w:r>
      <w:r w:rsidRPr="003A1D4B">
        <w:rPr>
          <w:rFonts w:ascii="Times New Roman" w:hAnsi="Times New Roman" w:cs="Times New Roman"/>
        </w:rPr>
        <w:t xml:space="preserve"> dominate in finance—numerical, entity, reasoning, or unsupported extrapolation?</w:t>
      </w:r>
    </w:p>
    <w:p w14:paraId="4F5BCE05" w14:textId="77777777" w:rsidR="00341846" w:rsidRPr="003A1D4B" w:rsidRDefault="00000000" w:rsidP="00CA552D">
      <w:pPr>
        <w:pStyle w:val="ListParagraph"/>
        <w:numPr>
          <w:ilvl w:val="0"/>
          <w:numId w:val="28"/>
        </w:numPr>
        <w:jc w:val="both"/>
        <w:rPr>
          <w:rFonts w:ascii="Times New Roman" w:hAnsi="Times New Roman" w:cs="Times New Roman"/>
        </w:rPr>
      </w:pPr>
      <w:r w:rsidRPr="003A1D4B">
        <w:rPr>
          <w:rFonts w:ascii="Times New Roman" w:hAnsi="Times New Roman" w:cs="Times New Roman"/>
          <w:b/>
          <w:bCs/>
        </w:rPr>
        <w:t>RQ3.</w:t>
      </w:r>
      <w:r w:rsidRPr="003A1D4B">
        <w:rPr>
          <w:rFonts w:ascii="Times New Roman" w:hAnsi="Times New Roman" w:cs="Times New Roman"/>
        </w:rPr>
        <w:t xml:space="preserve"> Does an open, instruction-tuned LLM hallucinate less than GPT-3.5 given the </w:t>
      </w:r>
      <w:r w:rsidRPr="003A1D4B">
        <w:rPr>
          <w:rFonts w:ascii="Times New Roman" w:hAnsi="Times New Roman" w:cs="Times New Roman"/>
          <w:i/>
          <w:iCs/>
        </w:rPr>
        <w:t>same</w:t>
      </w:r>
      <w:r w:rsidRPr="003A1D4B">
        <w:rPr>
          <w:rFonts w:ascii="Times New Roman" w:hAnsi="Times New Roman" w:cs="Times New Roman"/>
        </w:rPr>
        <w:t xml:space="preserve"> retrieved context?</w:t>
      </w:r>
    </w:p>
    <w:p w14:paraId="0FFB68D7"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To answer them we build an end-to-end RAG testbed on FinanceBench, isolate retrieval as an experimental variable across four pipelines, add an open-model generator comparison, and manually taxonomize the residual hallucinations. Section 2 reviews related work; Section 3 analyzes the dataset and why it stresses grounded generation; Section 4 describes our method; Section 5 reports the retrieval, ablation, and generator results (RQ1, RQ3); Section 6 presents the hallucination taxonomy and case studies (RQ2); and Section 7 concludes with limitations and future work.</w:t>
      </w:r>
    </w:p>
    <w:p w14:paraId="3AF1BD79" w14:textId="77777777" w:rsidR="00341846" w:rsidRDefault="00000000" w:rsidP="00CA552D">
      <w:pPr>
        <w:jc w:val="both"/>
        <w:rPr>
          <w:rFonts w:ascii="Times New Roman" w:hAnsi="Times New Roman" w:cs="Times New Roman"/>
        </w:rPr>
      </w:pPr>
      <w:r w:rsidRPr="003A1D4B">
        <w:rPr>
          <w:rFonts w:ascii="Times New Roman" w:hAnsi="Times New Roman" w:cs="Times New Roman"/>
          <w:b/>
          <w:bCs/>
        </w:rPr>
        <w:t>Contributions by member.</w:t>
      </w:r>
      <w:r w:rsidRPr="003A1D4B">
        <w:rPr>
          <w:rFonts w:ascii="Times New Roman" w:hAnsi="Times New Roman" w:cs="Times New Roman"/>
        </w:rPr>
        <w:t xml:space="preserve"> </w:t>
      </w:r>
      <w:r w:rsidRPr="003A1D4B">
        <w:rPr>
          <w:rFonts w:ascii="Times New Roman" w:hAnsi="Times New Roman" w:cs="Times New Roman"/>
          <w:i/>
          <w:iCs/>
        </w:rPr>
        <w:t>Bhalchandra Shinde:</w:t>
      </w:r>
      <w:r w:rsidRPr="003A1D4B">
        <w:rPr>
          <w:rFonts w:ascii="Times New Roman" w:hAnsi="Times New Roman" w:cs="Times New Roman"/>
        </w:rPr>
        <w:t xml:space="preserve"> repository/infrastructure, environment, data pipeline, exploratory data analysis, dense and query-rewriting pipelines, the Mistral-7B generator comparison, the error-analysis taxonomy/annotation and figures, and literature notes for Lewis et al. (2020) and Islam et al. (2023). </w:t>
      </w:r>
      <w:r w:rsidRPr="003A1D4B">
        <w:rPr>
          <w:rFonts w:ascii="Times New Roman" w:hAnsi="Times New Roman" w:cs="Times New Roman"/>
          <w:i/>
          <w:iCs/>
        </w:rPr>
        <w:t>Anish Kelkar:</w:t>
      </w:r>
      <w:r w:rsidRPr="003A1D4B">
        <w:rPr>
          <w:rFonts w:ascii="Times New Roman" w:hAnsi="Times New Roman" w:cs="Times New Roman"/>
        </w:rPr>
        <w:t xml:space="preserve"> document chunking, the baseline BM25 pipeline, the evaluation harness (RAGAS + F1/EM), and results tabulation. </w:t>
      </w:r>
      <w:r w:rsidRPr="003A1D4B">
        <w:rPr>
          <w:rFonts w:ascii="Times New Roman" w:hAnsi="Times New Roman" w:cs="Times New Roman"/>
          <w:i/>
          <w:iCs/>
        </w:rPr>
        <w:t>Piyush Daga:</w:t>
      </w:r>
      <w:r w:rsidRPr="003A1D4B">
        <w:rPr>
          <w:rFonts w:ascii="Times New Roman" w:hAnsi="Times New Roman" w:cs="Times New Roman"/>
        </w:rPr>
        <w:t xml:space="preserve"> the retrieval-depth (top-k) ablation. </w:t>
      </w:r>
      <w:r w:rsidRPr="003A1D4B">
        <w:rPr>
          <w:rFonts w:ascii="Times New Roman" w:hAnsi="Times New Roman" w:cs="Times New Roman"/>
          <w:i/>
          <w:iCs/>
        </w:rPr>
        <w:t>Rituraj Singh:</w:t>
      </w:r>
      <w:r w:rsidRPr="003A1D4B">
        <w:rPr>
          <w:rFonts w:ascii="Times New Roman" w:hAnsi="Times New Roman" w:cs="Times New Roman"/>
        </w:rPr>
        <w:t xml:space="preserve"> related-work contributions. All members contributed to the final draft.</w:t>
      </w:r>
    </w:p>
    <w:p w14:paraId="684CBC3B" w14:textId="77777777" w:rsidR="00751EA7" w:rsidRPr="003A1D4B" w:rsidRDefault="00751EA7" w:rsidP="00CA552D">
      <w:pPr>
        <w:jc w:val="both"/>
        <w:rPr>
          <w:rFonts w:ascii="Times New Roman" w:hAnsi="Times New Roman" w:cs="Times New Roman"/>
        </w:rPr>
      </w:pPr>
    </w:p>
    <w:p w14:paraId="66FE9BBA" w14:textId="77777777" w:rsidR="00341846" w:rsidRPr="003A1D4B" w:rsidRDefault="00000000">
      <w:pPr>
        <w:pStyle w:val="Heading1"/>
        <w:rPr>
          <w:rFonts w:ascii="Times New Roman" w:hAnsi="Times New Roman" w:cs="Times New Roman"/>
        </w:rPr>
      </w:pPr>
      <w:bookmarkStart w:id="1" w:name="related-work"/>
      <w:bookmarkEnd w:id="0"/>
      <w:r w:rsidRPr="003A1D4B">
        <w:rPr>
          <w:rFonts w:ascii="Times New Roman" w:hAnsi="Times New Roman" w:cs="Times New Roman"/>
        </w:rPr>
        <w:lastRenderedPageBreak/>
        <w:t>Related Work</w:t>
      </w:r>
    </w:p>
    <w:p w14:paraId="50A9276E"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We organize related work into three themes: RAG methods and retrieval, hallucination detection and evaluation, and financial NLP/QA.</w:t>
      </w:r>
    </w:p>
    <w:p w14:paraId="045A8048"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RAG methods and retrieval.</w:t>
      </w:r>
      <w:r w:rsidRPr="003A1D4B">
        <w:rPr>
          <w:rFonts w:ascii="Times New Roman" w:hAnsi="Times New Roman" w:cs="Times New Roman"/>
        </w:rPr>
        <w:t xml:space="preserve"> RAG was introduced by Lewis et al. (2020), coupling a DPR retriever with a BART generator and framing knowledge as </w:t>
      </w:r>
      <w:r w:rsidRPr="003A1D4B">
        <w:rPr>
          <w:rFonts w:ascii="Times New Roman" w:hAnsi="Times New Roman" w:cs="Times New Roman"/>
          <w:i/>
          <w:iCs/>
        </w:rPr>
        <w:t>parametric</w:t>
      </w:r>
      <w:r w:rsidRPr="003A1D4B">
        <w:rPr>
          <w:rFonts w:ascii="Times New Roman" w:hAnsi="Times New Roman" w:cs="Times New Roman"/>
        </w:rPr>
        <w:t xml:space="preserve"> (model weights) versus </w:t>
      </w:r>
      <w:r w:rsidRPr="003A1D4B">
        <w:rPr>
          <w:rFonts w:ascii="Times New Roman" w:hAnsi="Times New Roman" w:cs="Times New Roman"/>
          <w:i/>
          <w:iCs/>
        </w:rPr>
        <w:t>non-parametric</w:t>
      </w:r>
      <w:r w:rsidRPr="003A1D4B">
        <w:rPr>
          <w:rFonts w:ascii="Times New Roman" w:hAnsi="Times New Roman" w:cs="Times New Roman"/>
        </w:rPr>
        <w:t xml:space="preserve"> (an editable document index) memory; it is the architectural baseline our pipelines instantiate. Two of its findings bear directly on our setting. First, RAG answers correctly even when the gold answer appears in </w:t>
      </w:r>
      <w:r w:rsidRPr="003A1D4B">
        <w:rPr>
          <w:rFonts w:ascii="Times New Roman" w:hAnsi="Times New Roman" w:cs="Times New Roman"/>
          <w:i/>
          <w:iCs/>
        </w:rPr>
        <w:t>no</w:t>
      </w:r>
      <w:r w:rsidRPr="003A1D4B">
        <w:rPr>
          <w:rFonts w:ascii="Times New Roman" w:hAnsi="Times New Roman" w:cs="Times New Roman"/>
        </w:rPr>
        <w:t xml:space="preserve"> retrieved passage verbatim (11.8% of Natural Questions cases), where a purely extractive reader scores zero—the same </w:t>
      </w:r>
      <w:r w:rsidRPr="003A1D4B">
        <w:rPr>
          <w:rFonts w:ascii="Times New Roman" w:hAnsi="Times New Roman" w:cs="Times New Roman"/>
          <w:i/>
          <w:iCs/>
        </w:rPr>
        <w:t>abstractive</w:t>
      </w:r>
      <w:r w:rsidRPr="003A1D4B">
        <w:rPr>
          <w:rFonts w:ascii="Times New Roman" w:hAnsi="Times New Roman" w:cs="Times New Roman"/>
        </w:rPr>
        <w:t xml:space="preserve"> regime we observe in FinanceBench, where only 2% of gold answers are verbatim in the evidence (Section 3). Second, swapping the document index updates the model’s world knowledge with no retraining, underscoring that retrieval quality—not generator memory—governs what a RAG system can ground, which is precisely the bottleneck our results expose. The two retrieval families we compare are defined by BM25 (Robertson and Zaragoza 2009), a probabilistic term-matching function that is our baseline retriever, and DPR (Karpukhin et al. 2020), which learns dense question/passage encoders and beats BM25 on most open-domain QA—motivating our dense pipeline. That dense pipeline embeds chunks with Sentence-BERT (Reimers and Gurevych 2019), a siamese-BERT model that produces semantically comparable sentence vectors, the encoder behind our MiniLM index. REALM (Guu et al. 2020) pre-trains the retriever jointly with a masked LM, and Fusion-in-Decoder (Izacard and Grave 2021) instead fuses many retrieved passages in the decoder; both integrate retrieval more deeply than our prompt-based setup and mark upgrade paths. Self-RAG (Asai et al. 2024) trains a model to decide </w:t>
      </w:r>
      <w:r w:rsidRPr="003A1D4B">
        <w:rPr>
          <w:rFonts w:ascii="Times New Roman" w:hAnsi="Times New Roman" w:cs="Times New Roman"/>
          <w:i/>
          <w:iCs/>
        </w:rPr>
        <w:t>when</w:t>
      </w:r>
      <w:r w:rsidRPr="003A1D4B">
        <w:rPr>
          <w:rFonts w:ascii="Times New Roman" w:hAnsi="Times New Roman" w:cs="Times New Roman"/>
        </w:rPr>
        <w:t xml:space="preserve"> to retrieve and to critique its own generations with reflection tokens—directly relevant to cutting the unsupported answers we characterize. Query rewriting (Ma et al. 2023) expands or reformulates the query before retrieval and is the mechanism of our “enhanced” pipeline. The survey of Gao et al. (2023) organizes these advances and motivates our controlled comparison of retrieval strategies.</w:t>
      </w:r>
    </w:p>
    <w:p w14:paraId="1EF7EB0D"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Hallucination detection and evaluation.</w:t>
      </w:r>
      <w:r w:rsidRPr="003A1D4B">
        <w:rPr>
          <w:rFonts w:ascii="Times New Roman" w:hAnsi="Times New Roman" w:cs="Times New Roman"/>
        </w:rPr>
        <w:t xml:space="preserve"> Ji et al. (2023) and Huang et al. (2023) survey hallucination in NLG and LLMs respectively and provide the </w:t>
      </w:r>
      <w:r w:rsidRPr="003A1D4B">
        <w:rPr>
          <w:rFonts w:ascii="Times New Roman" w:hAnsi="Times New Roman" w:cs="Times New Roman"/>
        </w:rPr>
        <w:t>vocabulary (intrinsic vs. extrinsic, faithfulness vs. factuality) our taxonomy refines for finance. For measurement, RAGAS (Es et al. 2024) supplies reference-free metrics—faithfulness, answer relevancy, context precision—that we adopt as our primary hallucination signal. SelfCheckGPT (Manakul, Liusie, and Gales 2023) detects hallucination without external resources by sampling several responses and measuring their mutual consistency, while FActScore (Min et al. 2023) decomposes a generation into atomic facts and scores each against a source—two complementary detection lenses. RAGTruth (Niu et al. 2024) contributes a word-level hallucination corpus and taxonomy that could supervise an automatic classifier, and the RGB benchmark (J. Chen et al. 2024) evaluates LLM robustness to noisy retrieval—the “wrong context” condition our full-corpus retriever deliberately induces. We additionally report token-level F1/EM following the SQuAD protocol (Rajpurkar et al. 2016) to capture correctness that faithfulness alone misses, and note RAGBench (Friel, Belyi, and Sanyal 2024) as a cross-domain resource for future comparison.</w:t>
      </w:r>
    </w:p>
    <w:p w14:paraId="28012199"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Financial NLP and QA.</w:t>
      </w:r>
      <w:r w:rsidRPr="003A1D4B">
        <w:rPr>
          <w:rFonts w:ascii="Times New Roman" w:hAnsi="Times New Roman" w:cs="Times New Roman"/>
        </w:rPr>
        <w:t xml:space="preserve"> FinanceBench (Islam et al. 2023) is our primary benchmark: 10,231 open-book questions over 361 real 10-K/10-Q/8-K/earnings filings from 40 US companies, of which a human-reviewed 150-question subset (the open-source release) is our evaluation set. Its own experiments motivate our study in three ways. (i) 66% of its questions require </w:t>
      </w:r>
      <w:r w:rsidRPr="003A1D4B">
        <w:rPr>
          <w:rFonts w:ascii="Times New Roman" w:hAnsi="Times New Roman" w:cs="Times New Roman"/>
          <w:i/>
          <w:iCs/>
        </w:rPr>
        <w:t>numerical reasoning</w:t>
      </w:r>
      <w:r w:rsidRPr="003A1D4B">
        <w:rPr>
          <w:rFonts w:ascii="Times New Roman" w:hAnsi="Times New Roman" w:cs="Times New Roman"/>
        </w:rPr>
        <w:t xml:space="preserve"> rather than extraction—our EDA independently recovers this numeric skew (Section 3), and our taxonomy finds numerical errors are the most common hallucination (Section 6). (ii) Even the best realistic configuration (GPT-4-Turbo, long context) reaches only ~79% accuracy against an 85% oracle ceiling, and confident </w:t>
      </w:r>
      <w:r w:rsidRPr="003A1D4B">
        <w:rPr>
          <w:rFonts w:ascii="Times New Roman" w:hAnsi="Times New Roman" w:cs="Times New Roman"/>
          <w:i/>
          <w:iCs/>
        </w:rPr>
        <w:t>hallucination</w:t>
      </w:r>
      <w:r w:rsidRPr="003A1D4B">
        <w:rPr>
          <w:rFonts w:ascii="Times New Roman" w:hAnsi="Times New Roman" w:cs="Times New Roman"/>
        </w:rPr>
        <w:t xml:space="preserve"> is a named failure theme—the phenomenon we quantify and taxonomize. (iii) They report that stronger models tend to </w:t>
      </w:r>
      <w:r w:rsidRPr="003A1D4B">
        <w:rPr>
          <w:rFonts w:ascii="Times New Roman" w:hAnsi="Times New Roman" w:cs="Times New Roman"/>
          <w:i/>
          <w:iCs/>
        </w:rPr>
        <w:t>refuse</w:t>
      </w:r>
      <w:r w:rsidRPr="003A1D4B">
        <w:rPr>
          <w:rFonts w:ascii="Times New Roman" w:hAnsi="Times New Roman" w:cs="Times New Roman"/>
        </w:rPr>
        <w:t xml:space="preserve"> when uncertain while weaker ones answer wrong; we observe the same abstention/faithfulness trade-off between GPT-3.5 and Mistral-7B (Section 5.3), and we adopt their finding that placing context </w:t>
      </w:r>
      <w:r w:rsidRPr="003A1D4B">
        <w:rPr>
          <w:rFonts w:ascii="Times New Roman" w:hAnsi="Times New Roman" w:cs="Times New Roman"/>
          <w:i/>
          <w:iCs/>
        </w:rPr>
        <w:t>before</w:t>
      </w:r>
      <w:r w:rsidRPr="003A1D4B">
        <w:rPr>
          <w:rFonts w:ascii="Times New Roman" w:hAnsi="Times New Roman" w:cs="Times New Roman"/>
        </w:rPr>
        <w:t xml:space="preserve"> the question helps. Prior financial QA datasets establish that numerical reasoning over hybrid table/text is the core difficulty our EDA also finds: FinQA (Z. Chen et al. 2021) pairs expert-written questions with executable reasoning programs over earnings-report tables; ConvFinQA (Z. Chen et al. 2022) extends </w:t>
      </w:r>
      <w:r w:rsidRPr="003A1D4B">
        <w:rPr>
          <w:rFonts w:ascii="Times New Roman" w:hAnsi="Times New Roman" w:cs="Times New Roman"/>
        </w:rPr>
        <w:lastRenderedPageBreak/>
        <w:t xml:space="preserve">this to multi-turn conversational chains; and TAT-QA (Zhu et al. 2021) targets questions that jointly span a table and its surrounding text—exactly the table+prose evidence our chunker must preserve. On the model side, BloombergGPT (Wu et al. 2023), a 50B model pre-trained on a large financial corpus, and FinGPT (Yang, Liu, and Wang 2023), an open finance-LLM framework, show the appetite for finance-specialized models but evaluate generation quality rather than isolating </w:t>
      </w:r>
      <w:r w:rsidRPr="003A1D4B">
        <w:rPr>
          <w:rFonts w:ascii="Times New Roman" w:hAnsi="Times New Roman" w:cs="Times New Roman"/>
          <w:i/>
          <w:iCs/>
        </w:rPr>
        <w:t>RAG</w:t>
      </w:r>
      <w:r w:rsidRPr="003A1D4B">
        <w:rPr>
          <w:rFonts w:ascii="Times New Roman" w:hAnsi="Times New Roman" w:cs="Times New Roman"/>
        </w:rPr>
        <w:t xml:space="preserve"> hallucination, which is our focus. Our open-source generator comparison uses Mistral-7B-Instruct (Jiang et al. 2023), a strong 7B open model, as the RQ3 counterpart to GPT-3.5.</w:t>
      </w:r>
    </w:p>
    <w:p w14:paraId="4E72B62F" w14:textId="77777777" w:rsidR="00341846" w:rsidRPr="003A1D4B" w:rsidRDefault="00000000">
      <w:pPr>
        <w:pStyle w:val="Heading1"/>
        <w:rPr>
          <w:rFonts w:ascii="Times New Roman" w:hAnsi="Times New Roman" w:cs="Times New Roman"/>
        </w:rPr>
      </w:pPr>
      <w:bookmarkStart w:id="2" w:name="data-and-exploratory-analysis"/>
      <w:bookmarkEnd w:id="1"/>
      <w:r w:rsidRPr="003A1D4B">
        <w:rPr>
          <w:rFonts w:ascii="Times New Roman" w:hAnsi="Times New Roman" w:cs="Times New Roman"/>
        </w:rPr>
        <w:t>Data and Exploratory Analysis</w:t>
      </w:r>
    </w:p>
    <w:p w14:paraId="21C40D7B"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Dataset.</w:t>
      </w:r>
      <w:r w:rsidRPr="003A1D4B">
        <w:rPr>
          <w:rFonts w:ascii="Times New Roman" w:hAnsi="Times New Roman" w:cs="Times New Roman"/>
        </w:rPr>
        <w:t xml:space="preserve"> We use the open-source subset of FinanceBench (Islam et al. 2023): 150 QA pairs spanning 32 companies and 84 source filings (fiscal years 2015–2024) across 9 GICS sectors. Question types are balanced by design (50 metrics-generated, 50 domain-relevant, 50 novel-generated). Each record carries a gold answer and an evidence span, letting us judge groundedness directly.</w:t>
      </w:r>
    </w:p>
    <w:p w14:paraId="7945EA71"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Findings.</w:t>
      </w:r>
      <w:r w:rsidRPr="003A1D4B">
        <w:rPr>
          <w:rFonts w:ascii="Times New Roman" w:hAnsi="Times New Roman" w:cs="Times New Roman"/>
        </w:rPr>
        <w:t xml:space="preserve"> Figure 1 summarizes the analysis (full notebook and figures in the repository). Four properties make this a stress test for grounded generation: (1) </w:t>
      </w:r>
      <w:r w:rsidRPr="003A1D4B">
        <w:rPr>
          <w:rFonts w:ascii="Times New Roman" w:hAnsi="Times New Roman" w:cs="Times New Roman"/>
          <w:i/>
          <w:iCs/>
        </w:rPr>
        <w:t>Long, tabular context</w:t>
      </w:r>
      <w:r w:rsidRPr="003A1D4B">
        <w:rPr>
          <w:rFonts w:ascii="Times New Roman" w:hAnsi="Times New Roman" w:cs="Times New Roman"/>
        </w:rPr>
        <w:t xml:space="preserve">—source filings have a median of 128 pages and evidence spans are 69% table-heavy, so retrieval operates over large, noisy documents. (2) </w:t>
      </w:r>
      <w:r w:rsidRPr="003A1D4B">
        <w:rPr>
          <w:rFonts w:ascii="Times New Roman" w:hAnsi="Times New Roman" w:cs="Times New Roman"/>
          <w:i/>
          <w:iCs/>
        </w:rPr>
        <w:t>Short, numeric answers</w:t>
      </w:r>
      <w:r w:rsidRPr="003A1D4B">
        <w:rPr>
          <w:rFonts w:ascii="Times New Roman" w:hAnsi="Times New Roman" w:cs="Times New Roman"/>
        </w:rPr>
        <w:t xml:space="preserve">—the median gold answer is 9 words and 84% are numeric, so a single wrong figure flips a correct answer to wrong. (3) </w:t>
      </w:r>
      <w:r w:rsidRPr="003A1D4B">
        <w:rPr>
          <w:rFonts w:ascii="Times New Roman" w:hAnsi="Times New Roman" w:cs="Times New Roman"/>
          <w:i/>
          <w:iCs/>
        </w:rPr>
        <w:t>Abstractive answers</w:t>
      </w:r>
      <w:r w:rsidRPr="003A1D4B">
        <w:rPr>
          <w:rFonts w:ascii="Times New Roman" w:hAnsi="Times New Roman" w:cs="Times New Roman"/>
        </w:rPr>
        <w:t xml:space="preserve">—only 2% of gold answers appear </w:t>
      </w:r>
      <w:r w:rsidRPr="003A1D4B">
        <w:rPr>
          <w:rFonts w:ascii="Times New Roman" w:hAnsi="Times New Roman" w:cs="Times New Roman"/>
          <w:i/>
          <w:iCs/>
        </w:rPr>
        <w:t>verbatim</w:t>
      </w:r>
      <w:r w:rsidRPr="003A1D4B">
        <w:rPr>
          <w:rFonts w:ascii="Times New Roman" w:hAnsi="Times New Roman" w:cs="Times New Roman"/>
        </w:rPr>
        <w:t xml:space="preserve"> in the evidence (mean extractability 0.27); the model must </w:t>
      </w:r>
      <w:r w:rsidRPr="003A1D4B">
        <w:rPr>
          <w:rFonts w:ascii="Times New Roman" w:hAnsi="Times New Roman" w:cs="Times New Roman"/>
          <w:i/>
          <w:iCs/>
        </w:rPr>
        <w:t>synthesize</w:t>
      </w:r>
      <w:r w:rsidRPr="003A1D4B">
        <w:rPr>
          <w:rFonts w:ascii="Times New Roman" w:hAnsi="Times New Roman" w:cs="Times New Roman"/>
        </w:rPr>
        <w:t xml:space="preserve"> a value, not copy it, which is the core hallucination risk. (4) </w:t>
      </w:r>
      <w:r w:rsidRPr="003A1D4B">
        <w:rPr>
          <w:rFonts w:ascii="Times New Roman" w:hAnsi="Times New Roman" w:cs="Times New Roman"/>
          <w:i/>
          <w:iCs/>
        </w:rPr>
        <w:t>Modest lexical overlap</w:t>
      </w:r>
      <w:r w:rsidRPr="003A1D4B">
        <w:rPr>
          <w:rFonts w:ascii="Times New Roman" w:hAnsi="Times New Roman" w:cs="Times New Roman"/>
        </w:rPr>
        <w:t>—median question–evidence cosine similarity is 0.47, so retrievers must bridge a vocabulary gap, and 46% of questions require numerical computation or aggregation. These observations justify measuring faithfulness (RAGAS) alongside F1/EM and motivate our four-category hallucination taxonomy.</w:t>
      </w:r>
    </w:p>
    <w:p w14:paraId="0A3FEB30" w14:textId="77777777" w:rsidR="00341846" w:rsidRPr="003A1D4B" w:rsidRDefault="00000000">
      <w:pPr>
        <w:rPr>
          <w:rFonts w:ascii="Times New Roman" w:hAnsi="Times New Roman" w:cs="Times New Roman"/>
        </w:rPr>
      </w:pPr>
      <w:r w:rsidRPr="003A1D4B">
        <w:rPr>
          <w:rFonts w:ascii="Times New Roman" w:hAnsi="Times New Roman" w:cs="Times New Roman"/>
          <w:noProof/>
        </w:rPr>
        <w:drawing>
          <wp:inline distT="0" distB="0" distL="0" distR="0" wp14:anchorId="02602125" wp14:editId="76C05299">
            <wp:extent cx="2934031" cy="2870421"/>
            <wp:effectExtent l="0" t="0" r="0" b="0"/>
            <wp:docPr id="1" name="Picture" descr="FinanceBench (open-source, n=150) overview: (a) balanced question types, (b) numeric reasoning dominates, (c) 10-K filings dominate the corpus, (d) gold answers are short."/>
            <wp:cNvGraphicFramePr/>
            <a:graphic xmlns:a="http://schemas.openxmlformats.org/drawingml/2006/main">
              <a:graphicData uri="http://schemas.openxmlformats.org/drawingml/2006/picture">
                <pic:pic xmlns:pic="http://schemas.openxmlformats.org/drawingml/2006/picture">
                  <pic:nvPicPr>
                    <pic:cNvPr id="0" name="Picture" descr="fig_eda_overview.png"/>
                    <pic:cNvPicPr>
                      <a:picLocks noChangeAspect="1" noChangeArrowheads="1"/>
                    </pic:cNvPicPr>
                  </pic:nvPicPr>
                  <pic:blipFill>
                    <a:blip r:embed="rId8"/>
                    <a:stretch>
                      <a:fillRect/>
                    </a:stretch>
                  </pic:blipFill>
                  <pic:spPr bwMode="auto">
                    <a:xfrm>
                      <a:off x="0" y="0"/>
                      <a:ext cx="2979447" cy="2914852"/>
                    </a:xfrm>
                    <a:prstGeom prst="rect">
                      <a:avLst/>
                    </a:prstGeom>
                    <a:noFill/>
                    <a:ln w="9525">
                      <a:noFill/>
                      <a:headEnd/>
                      <a:tailEnd/>
                    </a:ln>
                  </pic:spPr>
                </pic:pic>
              </a:graphicData>
            </a:graphic>
          </wp:inline>
        </w:drawing>
      </w:r>
    </w:p>
    <w:p w14:paraId="512E46C3" w14:textId="77777777" w:rsidR="00341846" w:rsidRPr="003A1D4B" w:rsidRDefault="00000000">
      <w:pPr>
        <w:rPr>
          <w:rFonts w:ascii="Times New Roman" w:hAnsi="Times New Roman" w:cs="Times New Roman"/>
          <w:sz w:val="20"/>
          <w:szCs w:val="20"/>
        </w:rPr>
      </w:pPr>
      <w:r w:rsidRPr="003A1D4B">
        <w:rPr>
          <w:rFonts w:ascii="Times New Roman" w:hAnsi="Times New Roman" w:cs="Times New Roman"/>
          <w:sz w:val="20"/>
          <w:szCs w:val="20"/>
        </w:rPr>
        <w:t xml:space="preserve">FinanceBench (open-source, </w:t>
      </w:r>
      <w:r w:rsidRPr="003A1D4B">
        <w:rPr>
          <w:rFonts w:ascii="Times New Roman" w:hAnsi="Times New Roman" w:cs="Times New Roman"/>
          <w:i/>
          <w:iCs/>
          <w:sz w:val="20"/>
          <w:szCs w:val="20"/>
        </w:rPr>
        <w:t>n</w:t>
      </w:r>
      <w:r w:rsidRPr="003A1D4B">
        <w:rPr>
          <w:rFonts w:ascii="Times New Roman" w:hAnsi="Times New Roman" w:cs="Times New Roman"/>
          <w:sz w:val="20"/>
          <w:szCs w:val="20"/>
        </w:rPr>
        <w:t>=150) overview: (a) balanced question types, (b) numeric reasoning dominates, (c) 10-K filings dominate the corpus, (d) gold answers are short.</w:t>
      </w:r>
    </w:p>
    <w:p w14:paraId="775D74C3" w14:textId="77777777" w:rsidR="00341846" w:rsidRPr="003A1D4B" w:rsidRDefault="00000000">
      <w:pPr>
        <w:pStyle w:val="Heading1"/>
        <w:rPr>
          <w:rFonts w:ascii="Times New Roman" w:hAnsi="Times New Roman" w:cs="Times New Roman"/>
        </w:rPr>
      </w:pPr>
      <w:bookmarkStart w:id="3" w:name="method"/>
      <w:bookmarkEnd w:id="2"/>
      <w:r w:rsidRPr="003A1D4B">
        <w:rPr>
          <w:rFonts w:ascii="Times New Roman" w:hAnsi="Times New Roman" w:cs="Times New Roman"/>
        </w:rPr>
        <w:t>Method</w:t>
      </w:r>
    </w:p>
    <w:p w14:paraId="57555972"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Corpus preparation.</w:t>
      </w:r>
      <w:r w:rsidRPr="003A1D4B">
        <w:rPr>
          <w:rFonts w:ascii="Times New Roman" w:hAnsi="Times New Roman" w:cs="Times New Roman"/>
        </w:rPr>
        <w:t xml:space="preserve"> We extract text from all 84 filings with PyMuPDF and split each into fixed 512-token windows (tiktoken cl100k_base) with 64-token overlap, yielding 21,876 chunks. Each chunk retains its source-filing id so we can measure whether retrieval reached the correct document. For dense retrieval we embed every chunk once with all-MiniLM-L6-v2 (Reimers and Gurevych 2019) and cache the vectors.</w:t>
      </w:r>
    </w:p>
    <w:p w14:paraId="005546F4"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Pipelines (retrieval variable).</w:t>
      </w:r>
      <w:r w:rsidRPr="003A1D4B">
        <w:rPr>
          <w:rFonts w:ascii="Times New Roman" w:hAnsi="Times New Roman" w:cs="Times New Roman"/>
        </w:rPr>
        <w:t xml:space="preserve"> All configurations share the same GPT-3.5-turbo generator (temperature 0), the same prompt, 512-token chunks, and top-3 retrieval; </w:t>
      </w:r>
      <w:r w:rsidRPr="003A1D4B">
        <w:rPr>
          <w:rFonts w:ascii="Times New Roman" w:hAnsi="Times New Roman" w:cs="Times New Roman"/>
          <w:i/>
          <w:iCs/>
        </w:rPr>
        <w:t>only retrieval changes</w:t>
      </w:r>
      <w:r w:rsidRPr="003A1D4B">
        <w:rPr>
          <w:rFonts w:ascii="Times New Roman" w:hAnsi="Times New Roman" w:cs="Times New Roman"/>
        </w:rPr>
        <w:t>, which isolates its effect (RQ1). We compare:</w:t>
      </w:r>
    </w:p>
    <w:p w14:paraId="628FBEA1"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Baseline</w:t>
      </w:r>
      <w:r w:rsidRPr="003A1D4B">
        <w:rPr>
          <w:rFonts w:ascii="Times New Roman" w:hAnsi="Times New Roman" w:cs="Times New Roman"/>
        </w:rPr>
        <w:t xml:space="preserve"> — sparse BM25 retrieval over the entire 84-filing corpus.</w:t>
      </w:r>
    </w:p>
    <w:p w14:paraId="3F9104FA"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Dense</w:t>
      </w:r>
      <w:r w:rsidRPr="003A1D4B">
        <w:rPr>
          <w:rFonts w:ascii="Times New Roman" w:hAnsi="Times New Roman" w:cs="Times New Roman"/>
        </w:rPr>
        <w:t xml:space="preserve"> — FAISS inner-product search over L2-normalized MiniLM embeddings (cosine similarity).</w:t>
      </w:r>
    </w:p>
    <w:p w14:paraId="3978AE8E"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Enhanced</w:t>
      </w:r>
      <w:r w:rsidRPr="003A1D4B">
        <w:rPr>
          <w:rFonts w:ascii="Times New Roman" w:hAnsi="Times New Roman" w:cs="Times New Roman"/>
        </w:rPr>
        <w:t xml:space="preserve"> — an LLM first rewrites the question into a retrieval query (spelling out abbreviations, adding financial line-item terms), then dense retrieval runs on the rewritten query.</w:t>
      </w:r>
    </w:p>
    <w:p w14:paraId="65CD5F37" w14:textId="77777777" w:rsidR="00341846" w:rsidRPr="003A1D4B" w:rsidRDefault="00000000" w:rsidP="00CA552D">
      <w:pPr>
        <w:numPr>
          <w:ilvl w:val="0"/>
          <w:numId w:val="26"/>
        </w:numPr>
        <w:jc w:val="both"/>
        <w:rPr>
          <w:rFonts w:ascii="Times New Roman" w:hAnsi="Times New Roman" w:cs="Times New Roman"/>
        </w:rPr>
      </w:pPr>
      <w:r w:rsidRPr="003A1D4B">
        <w:rPr>
          <w:rFonts w:ascii="Times New Roman" w:hAnsi="Times New Roman" w:cs="Times New Roman"/>
          <w:b/>
          <w:bCs/>
        </w:rPr>
        <w:t>Single-doc</w:t>
      </w:r>
      <w:r w:rsidRPr="003A1D4B">
        <w:rPr>
          <w:rFonts w:ascii="Times New Roman" w:hAnsi="Times New Roman" w:cs="Times New Roman"/>
        </w:rPr>
        <w:t xml:space="preserve"> — a known-document upper bound: dense retrieval restricted to the </w:t>
      </w:r>
      <w:r w:rsidRPr="003A1D4B">
        <w:rPr>
          <w:rFonts w:ascii="Times New Roman" w:hAnsi="Times New Roman" w:cs="Times New Roman"/>
        </w:rPr>
        <w:lastRenderedPageBreak/>
        <w:t xml:space="preserve">question’s own filing, isolating </w:t>
      </w:r>
      <w:r w:rsidRPr="003A1D4B">
        <w:rPr>
          <w:rFonts w:ascii="Times New Roman" w:hAnsi="Times New Roman" w:cs="Times New Roman"/>
          <w:i/>
          <w:iCs/>
        </w:rPr>
        <w:t>reading</w:t>
      </w:r>
      <w:r w:rsidRPr="003A1D4B">
        <w:rPr>
          <w:rFonts w:ascii="Times New Roman" w:hAnsi="Times New Roman" w:cs="Times New Roman"/>
        </w:rPr>
        <w:t xml:space="preserve"> difficulty from </w:t>
      </w:r>
      <w:r w:rsidRPr="003A1D4B">
        <w:rPr>
          <w:rFonts w:ascii="Times New Roman" w:hAnsi="Times New Roman" w:cs="Times New Roman"/>
          <w:i/>
          <w:iCs/>
        </w:rPr>
        <w:t>finding-the-filing</w:t>
      </w:r>
      <w:r w:rsidRPr="003A1D4B">
        <w:rPr>
          <w:rFonts w:ascii="Times New Roman" w:hAnsi="Times New Roman" w:cs="Times New Roman"/>
        </w:rPr>
        <w:t xml:space="preserve"> difficulty.</w:t>
      </w:r>
    </w:p>
    <w:p w14:paraId="12CAB4D3"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We index the full corpus on purpose—a retriever that can surface the </w:t>
      </w:r>
      <w:r w:rsidRPr="003A1D4B">
        <w:rPr>
          <w:rFonts w:ascii="Times New Roman" w:hAnsi="Times New Roman" w:cs="Times New Roman"/>
          <w:i/>
          <w:iCs/>
        </w:rPr>
        <w:t>wrong</w:t>
      </w:r>
      <w:r w:rsidRPr="003A1D4B">
        <w:rPr>
          <w:rFonts w:ascii="Times New Roman" w:hAnsi="Times New Roman" w:cs="Times New Roman"/>
        </w:rPr>
        <w:t xml:space="preserve"> filing among 84 is exactly where hallucination appears. The prompt instructs the model to answer only from context and to say “I don’t know” when the answer is absent, so a wrong answer is a grounding failure rather than a memory guess. A fixed output schema lets one harness score every pipeline.</w:t>
      </w:r>
    </w:p>
    <w:p w14:paraId="0587AF17"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Generator comparison (RQ3).</w:t>
      </w:r>
      <w:r w:rsidRPr="003A1D4B">
        <w:rPr>
          <w:rFonts w:ascii="Times New Roman" w:hAnsi="Times New Roman" w:cs="Times New Roman"/>
        </w:rPr>
        <w:t xml:space="preserve"> To test whether the </w:t>
      </w:r>
      <w:r w:rsidRPr="003A1D4B">
        <w:rPr>
          <w:rFonts w:ascii="Times New Roman" w:hAnsi="Times New Roman" w:cs="Times New Roman"/>
          <w:i/>
          <w:iCs/>
        </w:rPr>
        <w:t>generator</w:t>
      </w:r>
      <w:r w:rsidRPr="003A1D4B">
        <w:rPr>
          <w:rFonts w:ascii="Times New Roman" w:hAnsi="Times New Roman" w:cs="Times New Roman"/>
        </w:rPr>
        <w:t xml:space="preserve"> matters independent of retrieval, we hold the Enhanced pipeline’s retrieved context fixed and regenerate every answer with </w:t>
      </w:r>
      <w:r w:rsidRPr="003A1D4B">
        <w:rPr>
          <w:rFonts w:ascii="Times New Roman" w:hAnsi="Times New Roman" w:cs="Times New Roman"/>
          <w:b/>
          <w:bCs/>
        </w:rPr>
        <w:t>Mistral-7B-Instruct</w:t>
      </w:r>
      <w:r w:rsidRPr="003A1D4B">
        <w:rPr>
          <w:rFonts w:ascii="Times New Roman" w:hAnsi="Times New Roman" w:cs="Times New Roman"/>
        </w:rPr>
        <w:t xml:space="preserve"> (Jiang et al. 2023), run locally via Ollama. Because both generators see the </w:t>
      </w:r>
      <w:r w:rsidRPr="003A1D4B">
        <w:rPr>
          <w:rFonts w:ascii="Times New Roman" w:hAnsi="Times New Roman" w:cs="Times New Roman"/>
          <w:i/>
          <w:iCs/>
        </w:rPr>
        <w:t>identical</w:t>
      </w:r>
      <w:r w:rsidRPr="003A1D4B">
        <w:rPr>
          <w:rFonts w:ascii="Times New Roman" w:hAnsi="Times New Roman" w:cs="Times New Roman"/>
        </w:rPr>
        <w:t xml:space="preserve"> contexts and prompt, any metric difference is attributable to the model alone.</w:t>
      </w:r>
    </w:p>
    <w:p w14:paraId="4154ADD1"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Evaluation.</w:t>
      </w:r>
      <w:r w:rsidRPr="003A1D4B">
        <w:rPr>
          <w:rFonts w:ascii="Times New Roman" w:hAnsi="Times New Roman" w:cs="Times New Roman"/>
        </w:rPr>
        <w:t xml:space="preserve"> We report RAGAS (Es et al. 2024) faithfulness, answer relevancy, and context precision, using </w:t>
      </w:r>
      <w:r w:rsidRPr="003A1D4B">
        <w:rPr>
          <w:rFonts w:ascii="Times New Roman" w:hAnsi="Times New Roman" w:cs="Times New Roman"/>
          <w:b/>
          <w:bCs/>
        </w:rPr>
        <w:t>GPT-4o-mini</w:t>
      </w:r>
      <w:r w:rsidRPr="003A1D4B">
        <w:rPr>
          <w:rFonts w:ascii="Times New Roman" w:hAnsi="Times New Roman" w:cs="Times New Roman"/>
        </w:rPr>
        <w:t xml:space="preserve"> as the judge LLM and local sentence-transformer embeddings, plus SQuAD-style token F1 and Exact Match (Rajpurkar et al. 2016). Because gold answers are short numbers formatted many ways ($1,577 vs. 1577.00 vs. 1.577 billion), strict EM is near zero, so we also report a </w:t>
      </w:r>
      <w:r w:rsidRPr="003A1D4B">
        <w:rPr>
          <w:rFonts w:ascii="Times New Roman" w:hAnsi="Times New Roman" w:cs="Times New Roman"/>
          <w:b/>
          <w:bCs/>
        </w:rPr>
        <w:t>numeric-tolerant EM</w:t>
      </w:r>
      <w:r w:rsidRPr="003A1D4B">
        <w:rPr>
          <w:rFonts w:ascii="Times New Roman" w:hAnsi="Times New Roman" w:cs="Times New Roman"/>
        </w:rPr>
        <w:t xml:space="preserve"> (right value within 1%, ignoring format) and faithfulness on the </w:t>
      </w:r>
      <w:r w:rsidRPr="003A1D4B">
        <w:rPr>
          <w:rFonts w:ascii="Times New Roman" w:hAnsi="Times New Roman" w:cs="Times New Roman"/>
          <w:b/>
          <w:bCs/>
        </w:rPr>
        <w:t>answered</w:t>
      </w:r>
      <w:r w:rsidRPr="003A1D4B">
        <w:rPr>
          <w:rFonts w:ascii="Times New Roman" w:hAnsi="Times New Roman" w:cs="Times New Roman"/>
        </w:rPr>
        <w:t xml:space="preserve"> subset (abstentions carry no claims to ground, so scoring them is meaningless). Retr@</w:t>
      </w:r>
      <m:oMath>
        <m:r>
          <w:rPr>
            <w:rFonts w:ascii="Cambria Math" w:hAnsi="Cambria Math" w:cs="Times New Roman"/>
          </w:rPr>
          <m:t>k</m:t>
        </m:r>
      </m:oMath>
      <w:r w:rsidRPr="003A1D4B">
        <w:rPr>
          <w:rFonts w:ascii="Times New Roman" w:hAnsi="Times New Roman" w:cs="Times New Roman"/>
        </w:rPr>
        <w:t xml:space="preserve"> = the share of questions whose top-</w:t>
      </w:r>
      <m:oMath>
        <m:r>
          <w:rPr>
            <w:rFonts w:ascii="Cambria Math" w:hAnsi="Cambria Math" w:cs="Times New Roman"/>
          </w:rPr>
          <m:t>k</m:t>
        </m:r>
      </m:oMath>
      <w:r w:rsidRPr="003A1D4B">
        <w:rPr>
          <w:rFonts w:ascii="Times New Roman" w:hAnsi="Times New Roman" w:cs="Times New Roman"/>
        </w:rPr>
        <w:t xml:space="preserve"> retrieval reached the correct filing.</w:t>
      </w:r>
    </w:p>
    <w:p w14:paraId="4CBBB044" w14:textId="6EDC864B" w:rsidR="00AA0B7D" w:rsidRPr="003A1D4B" w:rsidRDefault="00000000" w:rsidP="00CA552D">
      <w:pPr>
        <w:jc w:val="both"/>
        <w:rPr>
          <w:rFonts w:ascii="Times New Roman" w:hAnsi="Times New Roman" w:cs="Times New Roman"/>
        </w:rPr>
      </w:pPr>
      <w:r w:rsidRPr="003A1D4B">
        <w:rPr>
          <w:rFonts w:ascii="Times New Roman" w:hAnsi="Times New Roman" w:cs="Times New Roman"/>
          <w:b/>
          <w:bCs/>
        </w:rPr>
        <w:t>Error-analysis protocol.</w:t>
      </w:r>
      <w:r w:rsidRPr="003A1D4B">
        <w:rPr>
          <w:rFonts w:ascii="Times New Roman" w:hAnsi="Times New Roman" w:cs="Times New Roman"/>
        </w:rPr>
        <w:t xml:space="preserve"> From the Enhanced pipeline we select the 50 </w:t>
      </w:r>
      <w:r w:rsidRPr="003A1D4B">
        <w:rPr>
          <w:rFonts w:ascii="Times New Roman" w:hAnsi="Times New Roman" w:cs="Times New Roman"/>
          <w:i/>
          <w:iCs/>
        </w:rPr>
        <w:t>answered-but-incorrect</w:t>
      </w:r>
      <w:r w:rsidRPr="003A1D4B">
        <w:rPr>
          <w:rFonts w:ascii="Times New Roman" w:hAnsi="Times New Roman" w:cs="Times New Roman"/>
        </w:rPr>
        <w:t xml:space="preserve"> cases (the model committed to an answer, yet numeric-tolerant EM = 0), stratified across question types. One annotator </w:t>
      </w:r>
      <w:proofErr w:type="gramStart"/>
      <w:r w:rsidRPr="003A1D4B">
        <w:rPr>
          <w:rFonts w:ascii="Times New Roman" w:hAnsi="Times New Roman" w:cs="Times New Roman"/>
        </w:rPr>
        <w:t>labels</w:t>
      </w:r>
      <w:proofErr w:type="gramEnd"/>
      <w:r w:rsidRPr="003A1D4B">
        <w:rPr>
          <w:rFonts w:ascii="Times New Roman" w:hAnsi="Times New Roman" w:cs="Times New Roman"/>
        </w:rPr>
        <w:t xml:space="preserve"> each with a single primary hallucination type (definitions in Section 6), drafting with an LLM and reviewing every label by hand.</w:t>
      </w:r>
    </w:p>
    <w:p w14:paraId="6B4B1F2F" w14:textId="77777777" w:rsidR="00341846" w:rsidRPr="003A1D4B" w:rsidRDefault="00000000">
      <w:pPr>
        <w:pStyle w:val="Heading1"/>
        <w:rPr>
          <w:rFonts w:ascii="Times New Roman" w:hAnsi="Times New Roman" w:cs="Times New Roman"/>
        </w:rPr>
      </w:pPr>
      <w:bookmarkStart w:id="4" w:name="results"/>
      <w:bookmarkEnd w:id="3"/>
      <w:r w:rsidRPr="003A1D4B">
        <w:rPr>
          <w:rFonts w:ascii="Times New Roman" w:hAnsi="Times New Roman" w:cs="Times New Roman"/>
        </w:rPr>
        <w:t>Results</w:t>
      </w:r>
    </w:p>
    <w:p w14:paraId="3BF831F4" w14:textId="77777777" w:rsidR="00341846" w:rsidRPr="003A1D4B" w:rsidRDefault="00000000">
      <w:pPr>
        <w:pStyle w:val="Heading2"/>
        <w:rPr>
          <w:rFonts w:ascii="Times New Roman" w:hAnsi="Times New Roman" w:cs="Times New Roman"/>
          <w:sz w:val="28"/>
          <w:szCs w:val="28"/>
        </w:rPr>
      </w:pPr>
      <w:bookmarkStart w:id="5" w:name="rq1-retrieval-is-the-dominant-lever"/>
      <w:r w:rsidRPr="003A1D4B">
        <w:rPr>
          <w:rFonts w:ascii="Times New Roman" w:hAnsi="Times New Roman" w:cs="Times New Roman"/>
          <w:sz w:val="28"/>
          <w:szCs w:val="28"/>
        </w:rPr>
        <w:t>RQ1: Retrieval is the dominant lever</w:t>
      </w:r>
    </w:p>
    <w:p w14:paraId="3BA13C6D"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Table 1 compares the four retrieval configurations. Every metric improves as retrieval improves. The correct filing reaches the top-3 for </w:t>
      </w:r>
      <w:r w:rsidRPr="003A1D4B">
        <w:rPr>
          <w:rFonts w:ascii="Times New Roman" w:hAnsi="Times New Roman" w:cs="Times New Roman"/>
          <w:b/>
          <w:bCs/>
        </w:rPr>
        <w:t>43% → 64% → 69%</w:t>
      </w:r>
      <w:r w:rsidRPr="003A1D4B">
        <w:rPr>
          <w:rFonts w:ascii="Times New Roman" w:hAnsi="Times New Roman" w:cs="Times New Roman"/>
        </w:rPr>
        <w:t xml:space="preserve"> of questions (BM25 → dense → rewrite); because the model answers only from context, </w:t>
      </w:r>
      <w:r w:rsidRPr="003A1D4B">
        <w:rPr>
          <w:rFonts w:ascii="Times New Roman" w:hAnsi="Times New Roman" w:cs="Times New Roman"/>
        </w:rPr>
        <w:t>coverage rises in lockstep (</w:t>
      </w:r>
      <w:r w:rsidRPr="003A1D4B">
        <w:rPr>
          <w:rFonts w:ascii="Times New Roman" w:hAnsi="Times New Roman" w:cs="Times New Roman"/>
          <w:b/>
          <w:bCs/>
        </w:rPr>
        <w:t>47 → 82 → 87</w:t>
      </w:r>
      <w:r w:rsidRPr="003A1D4B">
        <w:rPr>
          <w:rFonts w:ascii="Times New Roman" w:hAnsi="Times New Roman" w:cs="Times New Roman"/>
        </w:rPr>
        <w:t xml:space="preserve"> of 150), and so do context precision (0.24 → 0.42 → 0.46), faithfulness (0.10 → 0.20 → 0.21), token F1 (0.083 → 0.116 → 0.121), and numeric-tolerant EM (0.12 → 0.18 → 0.21). Since only retrieval changed, this isolates </w:t>
      </w:r>
      <w:r w:rsidRPr="003A1D4B">
        <w:rPr>
          <w:rFonts w:ascii="Times New Roman" w:hAnsi="Times New Roman" w:cs="Times New Roman"/>
          <w:b/>
          <w:bCs/>
        </w:rPr>
        <w:t>retrieval as the dominant lever (RQ1)</w:t>
      </w:r>
      <w:r w:rsidRPr="003A1D4B">
        <w:rPr>
          <w:rFonts w:ascii="Times New Roman" w:hAnsi="Times New Roman" w:cs="Times New Roman"/>
        </w:rPr>
        <w:t>.</w:t>
      </w:r>
    </w:p>
    <w:p w14:paraId="3397F2D2"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Retrieval-strategy comparison on FinanceBench (all 150 questions). Generator = GPT-3.5-turbo (temp 0); RAGAS judge = GPT-4o-mini. Faith(ans) = faithfulness over answered questions only; EM (num) = numeric-tolerant exact match.</w:t>
      </w:r>
    </w:p>
    <w:tbl>
      <w:tblPr>
        <w:tblStyle w:val="TableGridLight"/>
        <w:tblW w:w="5000" w:type="pct"/>
        <w:tblLook w:val="0020" w:firstRow="1" w:lastRow="0" w:firstColumn="0" w:lastColumn="0" w:noHBand="0" w:noVBand="0"/>
        <w:tblCaption w:val="Retrieval-strategy comparison on FinanceBench (all 150 questions). Generator = GPT-3.5-turbo (temp 0); RAGAS judge = GPT-4o-mini. Faith(ans) = faithfulness over answered questions only; EM (num) = numeric-tolerant exact match."/>
      </w:tblPr>
      <w:tblGrid>
        <w:gridCol w:w="609"/>
        <w:gridCol w:w="552"/>
        <w:gridCol w:w="584"/>
        <w:gridCol w:w="654"/>
        <w:gridCol w:w="440"/>
        <w:gridCol w:w="440"/>
        <w:gridCol w:w="642"/>
        <w:gridCol w:w="440"/>
        <w:gridCol w:w="477"/>
      </w:tblGrid>
      <w:tr w:rsidR="00341846" w:rsidRPr="00CB18F4" w14:paraId="0813C012" w14:textId="77777777" w:rsidTr="00CB18F4">
        <w:tc>
          <w:tcPr>
            <w:tcW w:w="0" w:type="auto"/>
          </w:tcPr>
          <w:p w14:paraId="674B383B"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Pipeline</w:t>
            </w:r>
          </w:p>
        </w:tc>
        <w:tc>
          <w:tcPr>
            <w:tcW w:w="0" w:type="auto"/>
          </w:tcPr>
          <w:p w14:paraId="4BB91662"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Retr@3</w:t>
            </w:r>
          </w:p>
        </w:tc>
        <w:tc>
          <w:tcPr>
            <w:tcW w:w="591" w:type="pct"/>
          </w:tcPr>
          <w:p w14:paraId="169C9D79"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Faithful.</w:t>
            </w:r>
          </w:p>
        </w:tc>
        <w:tc>
          <w:tcPr>
            <w:tcW w:w="659" w:type="pct"/>
          </w:tcPr>
          <w:p w14:paraId="1151E5B4"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Faith(ans)</w:t>
            </w:r>
          </w:p>
        </w:tc>
        <w:tc>
          <w:tcPr>
            <w:tcW w:w="0" w:type="auto"/>
          </w:tcPr>
          <w:p w14:paraId="0DE5ED74"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 Rel.</w:t>
            </w:r>
          </w:p>
        </w:tc>
        <w:tc>
          <w:tcPr>
            <w:tcW w:w="0" w:type="auto"/>
          </w:tcPr>
          <w:p w14:paraId="48D3446C"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Ctx. Prec.</w:t>
            </w:r>
          </w:p>
        </w:tc>
        <w:tc>
          <w:tcPr>
            <w:tcW w:w="0" w:type="auto"/>
          </w:tcPr>
          <w:p w14:paraId="6BF4AF6F"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Answered</w:t>
            </w:r>
          </w:p>
        </w:tc>
        <w:tc>
          <w:tcPr>
            <w:tcW w:w="0" w:type="auto"/>
          </w:tcPr>
          <w:p w14:paraId="24FB2B1D"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F1</w:t>
            </w:r>
          </w:p>
        </w:tc>
        <w:tc>
          <w:tcPr>
            <w:tcW w:w="0" w:type="auto"/>
          </w:tcPr>
          <w:p w14:paraId="52B1BFB1"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EM (num)</w:t>
            </w:r>
          </w:p>
        </w:tc>
      </w:tr>
      <w:tr w:rsidR="00341846" w:rsidRPr="00CB18F4" w14:paraId="47C3F697" w14:textId="77777777" w:rsidTr="00CB18F4">
        <w:tc>
          <w:tcPr>
            <w:tcW w:w="0" w:type="auto"/>
          </w:tcPr>
          <w:p w14:paraId="78BC330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Baseline (BM25)</w:t>
            </w:r>
          </w:p>
        </w:tc>
        <w:tc>
          <w:tcPr>
            <w:tcW w:w="0" w:type="auto"/>
          </w:tcPr>
          <w:p w14:paraId="66FF629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43%</w:t>
            </w:r>
          </w:p>
        </w:tc>
        <w:tc>
          <w:tcPr>
            <w:tcW w:w="591" w:type="pct"/>
          </w:tcPr>
          <w:p w14:paraId="6E7752F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0.104</w:t>
            </w:r>
          </w:p>
        </w:tc>
        <w:tc>
          <w:tcPr>
            <w:tcW w:w="659" w:type="pct"/>
          </w:tcPr>
          <w:p w14:paraId="72B79CF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0.408</w:t>
            </w:r>
          </w:p>
        </w:tc>
        <w:tc>
          <w:tcPr>
            <w:tcW w:w="0" w:type="auto"/>
          </w:tcPr>
          <w:p w14:paraId="090D562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0.234</w:t>
            </w:r>
          </w:p>
        </w:tc>
        <w:tc>
          <w:tcPr>
            <w:tcW w:w="0" w:type="auto"/>
          </w:tcPr>
          <w:p w14:paraId="5FAF908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0.240</w:t>
            </w:r>
          </w:p>
        </w:tc>
        <w:tc>
          <w:tcPr>
            <w:tcW w:w="0" w:type="auto"/>
          </w:tcPr>
          <w:p w14:paraId="6D47796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47/150</w:t>
            </w:r>
          </w:p>
        </w:tc>
        <w:tc>
          <w:tcPr>
            <w:tcW w:w="0" w:type="auto"/>
          </w:tcPr>
          <w:p w14:paraId="6A087A3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0.083</w:t>
            </w:r>
          </w:p>
        </w:tc>
        <w:tc>
          <w:tcPr>
            <w:tcW w:w="0" w:type="auto"/>
          </w:tcPr>
          <w:p w14:paraId="62468E0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0.120</w:t>
            </w:r>
          </w:p>
        </w:tc>
      </w:tr>
      <w:tr w:rsidR="00341846" w:rsidRPr="00CB18F4" w14:paraId="0336660E" w14:textId="77777777" w:rsidTr="00CB18F4">
        <w:tc>
          <w:tcPr>
            <w:tcW w:w="0" w:type="auto"/>
          </w:tcPr>
          <w:p w14:paraId="43D7DA5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Dense (FAISS)</w:t>
            </w:r>
          </w:p>
        </w:tc>
        <w:tc>
          <w:tcPr>
            <w:tcW w:w="0" w:type="auto"/>
          </w:tcPr>
          <w:p w14:paraId="4AE0337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64%</w:t>
            </w:r>
          </w:p>
        </w:tc>
        <w:tc>
          <w:tcPr>
            <w:tcW w:w="591" w:type="pct"/>
          </w:tcPr>
          <w:p w14:paraId="1624343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0.197</w:t>
            </w:r>
          </w:p>
        </w:tc>
        <w:tc>
          <w:tcPr>
            <w:tcW w:w="659" w:type="pct"/>
          </w:tcPr>
          <w:p w14:paraId="05F46B8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0.352</w:t>
            </w:r>
          </w:p>
        </w:tc>
        <w:tc>
          <w:tcPr>
            <w:tcW w:w="0" w:type="auto"/>
          </w:tcPr>
          <w:p w14:paraId="0CCE582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0.414</w:t>
            </w:r>
          </w:p>
        </w:tc>
        <w:tc>
          <w:tcPr>
            <w:tcW w:w="0" w:type="auto"/>
          </w:tcPr>
          <w:p w14:paraId="631809B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0.417</w:t>
            </w:r>
          </w:p>
        </w:tc>
        <w:tc>
          <w:tcPr>
            <w:tcW w:w="0" w:type="auto"/>
          </w:tcPr>
          <w:p w14:paraId="2C3A550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82/150</w:t>
            </w:r>
          </w:p>
        </w:tc>
        <w:tc>
          <w:tcPr>
            <w:tcW w:w="0" w:type="auto"/>
          </w:tcPr>
          <w:p w14:paraId="54DCBE5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0.116</w:t>
            </w:r>
          </w:p>
        </w:tc>
        <w:tc>
          <w:tcPr>
            <w:tcW w:w="0" w:type="auto"/>
          </w:tcPr>
          <w:p w14:paraId="337DFBE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0.180</w:t>
            </w:r>
          </w:p>
        </w:tc>
      </w:tr>
      <w:tr w:rsidR="00341846" w:rsidRPr="00CB18F4" w14:paraId="3EFDD67B" w14:textId="77777777" w:rsidTr="00CB18F4">
        <w:tc>
          <w:tcPr>
            <w:tcW w:w="0" w:type="auto"/>
          </w:tcPr>
          <w:p w14:paraId="58F5C7F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Enhanced (rewrite)</w:t>
            </w:r>
          </w:p>
        </w:tc>
        <w:tc>
          <w:tcPr>
            <w:tcW w:w="0" w:type="auto"/>
          </w:tcPr>
          <w:p w14:paraId="6805B80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69%</w:t>
            </w:r>
          </w:p>
        </w:tc>
        <w:tc>
          <w:tcPr>
            <w:tcW w:w="591" w:type="pct"/>
          </w:tcPr>
          <w:p w14:paraId="3E72FA0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0.209</w:t>
            </w:r>
          </w:p>
        </w:tc>
        <w:tc>
          <w:tcPr>
            <w:tcW w:w="659" w:type="pct"/>
          </w:tcPr>
          <w:p w14:paraId="5BEFC66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0.353</w:t>
            </w:r>
          </w:p>
        </w:tc>
        <w:tc>
          <w:tcPr>
            <w:tcW w:w="0" w:type="auto"/>
          </w:tcPr>
          <w:p w14:paraId="189C073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0.432</w:t>
            </w:r>
          </w:p>
        </w:tc>
        <w:tc>
          <w:tcPr>
            <w:tcW w:w="0" w:type="auto"/>
          </w:tcPr>
          <w:p w14:paraId="34CC69C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0.462</w:t>
            </w:r>
          </w:p>
        </w:tc>
        <w:tc>
          <w:tcPr>
            <w:tcW w:w="0" w:type="auto"/>
          </w:tcPr>
          <w:p w14:paraId="21028049"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87/150</w:t>
            </w:r>
          </w:p>
        </w:tc>
        <w:tc>
          <w:tcPr>
            <w:tcW w:w="0" w:type="auto"/>
          </w:tcPr>
          <w:p w14:paraId="7800429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0.121</w:t>
            </w:r>
          </w:p>
        </w:tc>
        <w:tc>
          <w:tcPr>
            <w:tcW w:w="0" w:type="auto"/>
          </w:tcPr>
          <w:p w14:paraId="3D068A8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0.207</w:t>
            </w:r>
          </w:p>
        </w:tc>
      </w:tr>
      <w:tr w:rsidR="00341846" w:rsidRPr="00CB18F4" w14:paraId="5B01E29D" w14:textId="77777777" w:rsidTr="00CB18F4">
        <w:tc>
          <w:tcPr>
            <w:tcW w:w="0" w:type="auto"/>
          </w:tcPr>
          <w:p w14:paraId="2B19FA5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Dense, single-doc</w:t>
            </w:r>
          </w:p>
        </w:tc>
        <w:tc>
          <w:tcPr>
            <w:tcW w:w="0" w:type="auto"/>
          </w:tcPr>
          <w:p w14:paraId="1EA4896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100%</w:t>
            </w:r>
          </w:p>
        </w:tc>
        <w:tc>
          <w:tcPr>
            <w:tcW w:w="591" w:type="pct"/>
          </w:tcPr>
          <w:p w14:paraId="29392DE9"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0.300</w:t>
            </w:r>
          </w:p>
        </w:tc>
        <w:tc>
          <w:tcPr>
            <w:tcW w:w="659" w:type="pct"/>
          </w:tcPr>
          <w:p w14:paraId="11A2FB2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0.572</w:t>
            </w:r>
          </w:p>
        </w:tc>
        <w:tc>
          <w:tcPr>
            <w:tcW w:w="0" w:type="auto"/>
          </w:tcPr>
          <w:p w14:paraId="348A6AF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0.424</w:t>
            </w:r>
          </w:p>
        </w:tc>
        <w:tc>
          <w:tcPr>
            <w:tcW w:w="0" w:type="auto"/>
          </w:tcPr>
          <w:p w14:paraId="3D35CD4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0.435</w:t>
            </w:r>
          </w:p>
        </w:tc>
        <w:tc>
          <w:tcPr>
            <w:tcW w:w="0" w:type="auto"/>
          </w:tcPr>
          <w:p w14:paraId="5412322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96/150</w:t>
            </w:r>
          </w:p>
        </w:tc>
        <w:tc>
          <w:tcPr>
            <w:tcW w:w="0" w:type="auto"/>
          </w:tcPr>
          <w:p w14:paraId="591AF5E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0.139</w:t>
            </w:r>
          </w:p>
        </w:tc>
        <w:tc>
          <w:tcPr>
            <w:tcW w:w="0" w:type="auto"/>
          </w:tcPr>
          <w:p w14:paraId="7A599DA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0.267</w:t>
            </w:r>
          </w:p>
        </w:tc>
      </w:tr>
    </w:tbl>
    <w:p w14:paraId="440BE315" w14:textId="77777777" w:rsidR="00CB18F4" w:rsidRDefault="00CB18F4" w:rsidP="00CA552D">
      <w:pPr>
        <w:jc w:val="both"/>
        <w:rPr>
          <w:rFonts w:ascii="Times New Roman" w:hAnsi="Times New Roman" w:cs="Times New Roman"/>
        </w:rPr>
      </w:pPr>
    </w:p>
    <w:p w14:paraId="0D94372C" w14:textId="656DE58B" w:rsidR="00AA0B7D"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Two nuances matter for interpreting hallucination. First, </w:t>
      </w:r>
      <w:r w:rsidRPr="003A1D4B">
        <w:rPr>
          <w:rFonts w:ascii="Times New Roman" w:hAnsi="Times New Roman" w:cs="Times New Roman"/>
          <w:b/>
          <w:bCs/>
        </w:rPr>
        <w:t>strict EM ≈ 0 understates accuracy</w:t>
      </w:r>
      <w:r w:rsidRPr="003A1D4B">
        <w:rPr>
          <w:rFonts w:ascii="Times New Roman" w:hAnsi="Times New Roman" w:cs="Times New Roman"/>
        </w:rPr>
        <w:t xml:space="preserve">: the numeric-tolerant EM shows 33–42% of </w:t>
      </w:r>
      <w:r w:rsidRPr="003A1D4B">
        <w:rPr>
          <w:rFonts w:ascii="Times New Roman" w:hAnsi="Times New Roman" w:cs="Times New Roman"/>
          <w:i/>
          <w:iCs/>
        </w:rPr>
        <w:t>answered</w:t>
      </w:r>
      <w:r w:rsidRPr="003A1D4B">
        <w:rPr>
          <w:rFonts w:ascii="Times New Roman" w:hAnsi="Times New Roman" w:cs="Times New Roman"/>
        </w:rPr>
        <w:t xml:space="preserve"> questions are actually correct—the model was penalized for formatting, not for being wrong. Second, </w:t>
      </w:r>
      <w:r w:rsidRPr="003A1D4B">
        <w:rPr>
          <w:rFonts w:ascii="Times New Roman" w:hAnsi="Times New Roman" w:cs="Times New Roman"/>
          <w:b/>
          <w:bCs/>
        </w:rPr>
        <w:t>overall faithfulness is dragged down by abstentions</w:t>
      </w:r>
      <w:r w:rsidRPr="003A1D4B">
        <w:rPr>
          <w:rFonts w:ascii="Times New Roman" w:hAnsi="Times New Roman" w:cs="Times New Roman"/>
        </w:rPr>
        <w:t xml:space="preserve"> (an “I don’t know” has nothing to ground); on the answered subset faithfulness is moderate (0.35–0.57), i.e. when the model commits it is partly—not fully—grounded, which is exactly the hallucination we study. The known-document upper bound makes the ceiling explicit: restricting retrieval to the correct filing lifts Retr@3 to 100%, coverage to 96/150, F1 to 0.139, and answered-faithfulness to 0.57—yet a third of questions still go unanswered, so finding the right filing is necessary but not sufficient.</w:t>
      </w:r>
    </w:p>
    <w:p w14:paraId="546CAFDF" w14:textId="77777777" w:rsidR="00341846" w:rsidRPr="003A1D4B" w:rsidRDefault="00000000">
      <w:pPr>
        <w:pStyle w:val="Heading2"/>
        <w:rPr>
          <w:rFonts w:ascii="Times New Roman" w:hAnsi="Times New Roman" w:cs="Times New Roman"/>
          <w:sz w:val="28"/>
          <w:szCs w:val="28"/>
        </w:rPr>
      </w:pPr>
      <w:bookmarkStart w:id="6" w:name="retrieval-depth-ablation-top-k"/>
      <w:bookmarkEnd w:id="5"/>
      <w:r w:rsidRPr="003A1D4B">
        <w:rPr>
          <w:rFonts w:ascii="Times New Roman" w:hAnsi="Times New Roman" w:cs="Times New Roman"/>
          <w:sz w:val="28"/>
          <w:szCs w:val="28"/>
        </w:rPr>
        <w:t>Retrieval-depth ablation (top-k)</w:t>
      </w:r>
    </w:p>
    <w:p w14:paraId="68A3F260"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Holding the dense pipeline otherwise fixed, we vary retrieval depth (Table 2). Increasing top-</w:t>
      </w:r>
      <m:oMath>
        <m:r>
          <w:rPr>
            <w:rFonts w:ascii="Cambria Math" w:hAnsi="Cambria Math" w:cs="Times New Roman"/>
          </w:rPr>
          <m:t>k</m:t>
        </m:r>
      </m:oMath>
      <w:r w:rsidRPr="003A1D4B">
        <w:rPr>
          <w:rFonts w:ascii="Times New Roman" w:hAnsi="Times New Roman" w:cs="Times New Roman"/>
        </w:rPr>
        <w:t xml:space="preserve"> from 3 to 5 raises the chance the correct filing is retrieved (Retr@</w:t>
      </w:r>
      <m:oMath>
        <m:r>
          <w:rPr>
            <w:rFonts w:ascii="Cambria Math" w:hAnsi="Cambria Math" w:cs="Times New Roman"/>
          </w:rPr>
          <m:t>k</m:t>
        </m:r>
      </m:oMath>
      <w:r w:rsidRPr="003A1D4B">
        <w:rPr>
          <w:rFonts w:ascii="Times New Roman" w:hAnsi="Times New Roman" w:cs="Times New Roman"/>
        </w:rPr>
        <w:t xml:space="preserve"> 64% → 73%), lifts coverage (82 → 97 of </w:t>
      </w:r>
      <w:r w:rsidRPr="003A1D4B">
        <w:rPr>
          <w:rFonts w:ascii="Times New Roman" w:hAnsi="Times New Roman" w:cs="Times New Roman"/>
        </w:rPr>
        <w:lastRenderedPageBreak/>
        <w:t>150), and improves faithfulness (0.197 → 0.248), F1, and numeric-tolerant EM. Context precision dips slightly (0.42 → 0.39), as expected when more chunks are admitted, but the net effect is positive—consistent with retrieval recall being the binding constraint.</w:t>
      </w:r>
    </w:p>
    <w:p w14:paraId="74962A15"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Retrieval-depth ablation on the dense pipeline (GPT-3.5, 512-token chunks, GPT-4o-mini judge).</w:t>
      </w:r>
    </w:p>
    <w:tbl>
      <w:tblPr>
        <w:tblStyle w:val="TableGridLight"/>
        <w:tblW w:w="0" w:type="pct"/>
        <w:tblLook w:val="0020" w:firstRow="1" w:lastRow="0" w:firstColumn="0" w:lastColumn="0" w:noHBand="0" w:noVBand="0"/>
        <w:tblCaption w:val="Retrieval-depth ablation on the dense pipeline (GPT-3.5, 512-token chunks, GPT-4o-mini judge)."/>
      </w:tblPr>
      <w:tblGrid>
        <w:gridCol w:w="434"/>
        <w:gridCol w:w="586"/>
        <w:gridCol w:w="608"/>
        <w:gridCol w:w="682"/>
        <w:gridCol w:w="455"/>
        <w:gridCol w:w="455"/>
        <w:gridCol w:w="670"/>
        <w:gridCol w:w="455"/>
        <w:gridCol w:w="493"/>
      </w:tblGrid>
      <w:tr w:rsidR="00341846" w:rsidRPr="00CB18F4" w14:paraId="476AAEE0" w14:textId="77777777" w:rsidTr="00CA552D">
        <w:tc>
          <w:tcPr>
            <w:tcW w:w="0" w:type="auto"/>
          </w:tcPr>
          <w:p w14:paraId="3FD96655" w14:textId="6478F3FF"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Top-</w:t>
            </w:r>
            <m:oMath>
              <m:r>
                <m:rPr>
                  <m:sty m:val="bi"/>
                </m:rPr>
                <w:rPr>
                  <w:rFonts w:ascii="Cambria Math" w:hAnsi="Cambria Math" w:cs="Times New Roman"/>
                  <w:sz w:val="18"/>
                  <w:szCs w:val="18"/>
                </w:rPr>
                <m:t>k</m:t>
              </m:r>
            </m:oMath>
          </w:p>
        </w:tc>
        <w:tc>
          <w:tcPr>
            <w:tcW w:w="0" w:type="auto"/>
          </w:tcPr>
          <w:p w14:paraId="1237AAB7" w14:textId="0FDC2D4B" w:rsidR="00341846" w:rsidRPr="00AA5186" w:rsidRDefault="00000000">
            <w:pPr>
              <w:rPr>
                <w:rFonts w:ascii="Times New Roman" w:hAnsi="Times New Roman" w:cs="Times New Roman"/>
                <w:b/>
                <w:bCs/>
                <w:sz w:val="18"/>
                <w:szCs w:val="18"/>
              </w:rPr>
            </w:pPr>
            <w:proofErr w:type="spellStart"/>
            <w:r w:rsidRPr="00AA5186">
              <w:rPr>
                <w:rFonts w:ascii="Times New Roman" w:hAnsi="Times New Roman" w:cs="Times New Roman"/>
                <w:b/>
                <w:bCs/>
                <w:sz w:val="18"/>
                <w:szCs w:val="18"/>
              </w:rPr>
              <w:t>Retr</w:t>
            </w:r>
            <w:proofErr w:type="spellEnd"/>
            <w:r w:rsidRPr="00AA5186">
              <w:rPr>
                <w:rFonts w:ascii="Times New Roman" w:hAnsi="Times New Roman" w:cs="Times New Roman"/>
                <w:b/>
                <w:bCs/>
                <w:sz w:val="18"/>
                <w:szCs w:val="18"/>
              </w:rPr>
              <w:t>@</w:t>
            </w:r>
            <m:oMath>
              <m:r>
                <m:rPr>
                  <m:sty m:val="bi"/>
                </m:rPr>
                <w:rPr>
                  <w:rFonts w:ascii="Cambria Math" w:hAnsi="Cambria Math" w:cs="Times New Roman"/>
                  <w:sz w:val="18"/>
                  <w:szCs w:val="18"/>
                </w:rPr>
                <m:t>k</m:t>
              </m:r>
            </m:oMath>
          </w:p>
        </w:tc>
        <w:tc>
          <w:tcPr>
            <w:tcW w:w="0" w:type="auto"/>
          </w:tcPr>
          <w:p w14:paraId="7C9CEE2B"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Faithful.</w:t>
            </w:r>
          </w:p>
        </w:tc>
        <w:tc>
          <w:tcPr>
            <w:tcW w:w="0" w:type="auto"/>
          </w:tcPr>
          <w:p w14:paraId="2B69D099"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Faith(ans)</w:t>
            </w:r>
          </w:p>
        </w:tc>
        <w:tc>
          <w:tcPr>
            <w:tcW w:w="0" w:type="auto"/>
          </w:tcPr>
          <w:p w14:paraId="1574437E"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 Rel.</w:t>
            </w:r>
          </w:p>
        </w:tc>
        <w:tc>
          <w:tcPr>
            <w:tcW w:w="0" w:type="auto"/>
          </w:tcPr>
          <w:p w14:paraId="284DFE4F"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Ctx. Prec.</w:t>
            </w:r>
          </w:p>
        </w:tc>
        <w:tc>
          <w:tcPr>
            <w:tcW w:w="0" w:type="auto"/>
          </w:tcPr>
          <w:p w14:paraId="5321E5C1"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Answered</w:t>
            </w:r>
          </w:p>
        </w:tc>
        <w:tc>
          <w:tcPr>
            <w:tcW w:w="0" w:type="auto"/>
          </w:tcPr>
          <w:p w14:paraId="5677FAC6"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F1</w:t>
            </w:r>
          </w:p>
        </w:tc>
        <w:tc>
          <w:tcPr>
            <w:tcW w:w="0" w:type="auto"/>
          </w:tcPr>
          <w:p w14:paraId="53DC59B7"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EM (num)</w:t>
            </w:r>
          </w:p>
        </w:tc>
      </w:tr>
      <w:tr w:rsidR="00341846" w:rsidRPr="00CB18F4" w14:paraId="26D59413" w14:textId="77777777" w:rsidTr="00CA552D">
        <w:tc>
          <w:tcPr>
            <w:tcW w:w="0" w:type="auto"/>
          </w:tcPr>
          <w:p w14:paraId="62C3A8B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3</w:t>
            </w:r>
          </w:p>
        </w:tc>
        <w:tc>
          <w:tcPr>
            <w:tcW w:w="0" w:type="auto"/>
          </w:tcPr>
          <w:p w14:paraId="072BFFB9"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64%</w:t>
            </w:r>
          </w:p>
        </w:tc>
        <w:tc>
          <w:tcPr>
            <w:tcW w:w="0" w:type="auto"/>
          </w:tcPr>
          <w:p w14:paraId="3DFE192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0.197</w:t>
            </w:r>
          </w:p>
        </w:tc>
        <w:tc>
          <w:tcPr>
            <w:tcW w:w="0" w:type="auto"/>
          </w:tcPr>
          <w:p w14:paraId="5816ADF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0.352</w:t>
            </w:r>
          </w:p>
        </w:tc>
        <w:tc>
          <w:tcPr>
            <w:tcW w:w="0" w:type="auto"/>
          </w:tcPr>
          <w:p w14:paraId="791C2E7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0.414</w:t>
            </w:r>
          </w:p>
        </w:tc>
        <w:tc>
          <w:tcPr>
            <w:tcW w:w="0" w:type="auto"/>
          </w:tcPr>
          <w:p w14:paraId="4930BB9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0.417</w:t>
            </w:r>
          </w:p>
        </w:tc>
        <w:tc>
          <w:tcPr>
            <w:tcW w:w="0" w:type="auto"/>
          </w:tcPr>
          <w:p w14:paraId="6D98860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82/150</w:t>
            </w:r>
          </w:p>
        </w:tc>
        <w:tc>
          <w:tcPr>
            <w:tcW w:w="0" w:type="auto"/>
          </w:tcPr>
          <w:p w14:paraId="0F5BEC3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0.116</w:t>
            </w:r>
          </w:p>
        </w:tc>
        <w:tc>
          <w:tcPr>
            <w:tcW w:w="0" w:type="auto"/>
          </w:tcPr>
          <w:p w14:paraId="548253C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0.180</w:t>
            </w:r>
          </w:p>
        </w:tc>
      </w:tr>
      <w:tr w:rsidR="00341846" w:rsidRPr="00CB18F4" w14:paraId="460370AC" w14:textId="77777777" w:rsidTr="00CA552D">
        <w:tc>
          <w:tcPr>
            <w:tcW w:w="0" w:type="auto"/>
          </w:tcPr>
          <w:p w14:paraId="6A9E640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5</w:t>
            </w:r>
          </w:p>
        </w:tc>
        <w:tc>
          <w:tcPr>
            <w:tcW w:w="0" w:type="auto"/>
          </w:tcPr>
          <w:p w14:paraId="596F890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73%</w:t>
            </w:r>
          </w:p>
        </w:tc>
        <w:tc>
          <w:tcPr>
            <w:tcW w:w="0" w:type="auto"/>
          </w:tcPr>
          <w:p w14:paraId="26E8A56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0.248</w:t>
            </w:r>
          </w:p>
        </w:tc>
        <w:tc>
          <w:tcPr>
            <w:tcW w:w="0" w:type="auto"/>
          </w:tcPr>
          <w:p w14:paraId="461DAA9F"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0.397</w:t>
            </w:r>
          </w:p>
        </w:tc>
        <w:tc>
          <w:tcPr>
            <w:tcW w:w="0" w:type="auto"/>
          </w:tcPr>
          <w:p w14:paraId="7B275F9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0.468</w:t>
            </w:r>
          </w:p>
        </w:tc>
        <w:tc>
          <w:tcPr>
            <w:tcW w:w="0" w:type="auto"/>
          </w:tcPr>
          <w:p w14:paraId="308A144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0.388</w:t>
            </w:r>
          </w:p>
        </w:tc>
        <w:tc>
          <w:tcPr>
            <w:tcW w:w="0" w:type="auto"/>
          </w:tcPr>
          <w:p w14:paraId="3C395A3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97/150</w:t>
            </w:r>
          </w:p>
        </w:tc>
        <w:tc>
          <w:tcPr>
            <w:tcW w:w="0" w:type="auto"/>
          </w:tcPr>
          <w:p w14:paraId="7F45AE3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0.126</w:t>
            </w:r>
          </w:p>
        </w:tc>
        <w:tc>
          <w:tcPr>
            <w:tcW w:w="0" w:type="auto"/>
          </w:tcPr>
          <w:p w14:paraId="2F39587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0.220</w:t>
            </w:r>
          </w:p>
        </w:tc>
      </w:tr>
    </w:tbl>
    <w:p w14:paraId="355C84CF" w14:textId="3D56B8FB" w:rsidR="00AA0B7D" w:rsidRPr="003A1D4B" w:rsidRDefault="00AA0B7D" w:rsidP="00CB18F4">
      <w:pPr>
        <w:pStyle w:val="Heading2"/>
        <w:numPr>
          <w:ilvl w:val="0"/>
          <w:numId w:val="0"/>
        </w:numPr>
        <w:ind w:left="567" w:hanging="567"/>
        <w:rPr>
          <w:rFonts w:ascii="Times New Roman" w:hAnsi="Times New Roman" w:cs="Times New Roman"/>
          <w:b/>
          <w:bCs/>
          <w:sz w:val="28"/>
          <w:szCs w:val="28"/>
        </w:rPr>
      </w:pPr>
      <w:bookmarkStart w:id="7" w:name="rq3-generator-held-to-identical-context"/>
      <w:bookmarkEnd w:id="6"/>
    </w:p>
    <w:p w14:paraId="0D064D1B" w14:textId="739BA6D7" w:rsidR="00341846" w:rsidRPr="003A1D4B" w:rsidRDefault="00000000">
      <w:pPr>
        <w:pStyle w:val="Heading2"/>
        <w:rPr>
          <w:rFonts w:ascii="Times New Roman" w:hAnsi="Times New Roman" w:cs="Times New Roman"/>
          <w:sz w:val="28"/>
          <w:szCs w:val="28"/>
        </w:rPr>
      </w:pPr>
      <w:r w:rsidRPr="003A1D4B">
        <w:rPr>
          <w:rFonts w:ascii="Times New Roman" w:hAnsi="Times New Roman" w:cs="Times New Roman"/>
          <w:sz w:val="28"/>
          <w:szCs w:val="28"/>
        </w:rPr>
        <w:t>RQ3: Generator held to identical context</w:t>
      </w:r>
    </w:p>
    <w:p w14:paraId="45C8B763"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Table 3 compares GPT-3.5-turbo and Mistral-7B-Instruct answering over the </w:t>
      </w:r>
      <w:r w:rsidRPr="003A1D4B">
        <w:rPr>
          <w:rFonts w:ascii="Times New Roman" w:hAnsi="Times New Roman" w:cs="Times New Roman"/>
          <w:i/>
          <w:iCs/>
        </w:rPr>
        <w:t>same</w:t>
      </w:r>
      <w:r w:rsidRPr="003A1D4B">
        <w:rPr>
          <w:rFonts w:ascii="Times New Roman" w:hAnsi="Times New Roman" w:cs="Times New Roman"/>
        </w:rPr>
        <w:t xml:space="preserve"> retrieved contexts. Given identical evidence, the smaller open model is </w:t>
      </w:r>
      <w:r w:rsidRPr="003A1D4B">
        <w:rPr>
          <w:rFonts w:ascii="Times New Roman" w:hAnsi="Times New Roman" w:cs="Times New Roman"/>
          <w:b/>
          <w:bCs/>
        </w:rPr>
        <w:t>markedly more faithful</w:t>
      </w:r>
      <w:r w:rsidRPr="003A1D4B">
        <w:rPr>
          <w:rFonts w:ascii="Times New Roman" w:hAnsi="Times New Roman" w:cs="Times New Roman"/>
        </w:rPr>
        <w:t xml:space="preserve"> (0.59 vs. 0.21 overall; 0.63 vs. 0.35 on answered questions only, so the gap is not merely an abstention artifact) and nearly </w:t>
      </w:r>
      <w:r w:rsidRPr="003A1D4B">
        <w:rPr>
          <w:rFonts w:ascii="Times New Roman" w:hAnsi="Times New Roman" w:cs="Times New Roman"/>
          <w:b/>
          <w:bCs/>
        </w:rPr>
        <w:t>twice as accurate on numbers</w:t>
      </w:r>
      <w:r w:rsidRPr="003A1D4B">
        <w:rPr>
          <w:rFonts w:ascii="Times New Roman" w:hAnsi="Times New Roman" w:cs="Times New Roman"/>
        </w:rPr>
        <w:t xml:space="preserve"> (numeric-EM 0.37 vs. 0.21). The trade-off is coverage: Mistral is </w:t>
      </w:r>
      <w:r w:rsidRPr="003A1D4B">
        <w:rPr>
          <w:rFonts w:ascii="Times New Roman" w:hAnsi="Times New Roman" w:cs="Times New Roman"/>
          <w:b/>
          <w:bCs/>
        </w:rPr>
        <w:t>more conservative</w:t>
      </w:r>
      <w:r w:rsidRPr="003A1D4B">
        <w:rPr>
          <w:rFonts w:ascii="Times New Roman" w:hAnsi="Times New Roman" w:cs="Times New Roman"/>
        </w:rPr>
        <w:t>, answering 69/150 versus GPT-3.5’s 87 and preferring “I don’t know” over a guess. Its lower answer relevancy (0.25 vs. 0.43) largely reflects that higher abstention rate, since a refusal scores as not relevant to the question.</w:t>
      </w:r>
    </w:p>
    <w:p w14:paraId="40301BBE"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Generator comparison on identical Enhanced retrieval (RQ3). Only the answer generator differs.</w:t>
      </w:r>
    </w:p>
    <w:tbl>
      <w:tblPr>
        <w:tblStyle w:val="TableGridLight"/>
        <w:tblW w:w="5000" w:type="pct"/>
        <w:tblLook w:val="0020" w:firstRow="1" w:lastRow="0" w:firstColumn="0" w:lastColumn="0" w:noHBand="0" w:noVBand="0"/>
        <w:tblCaption w:val="Generator comparison on identical Enhanced retrieval (RQ3). Only the answer generator differs."/>
      </w:tblPr>
      <w:tblGrid>
        <w:gridCol w:w="745"/>
        <w:gridCol w:w="655"/>
        <w:gridCol w:w="738"/>
        <w:gridCol w:w="483"/>
        <w:gridCol w:w="483"/>
        <w:gridCol w:w="724"/>
        <w:gridCol w:w="483"/>
        <w:gridCol w:w="527"/>
      </w:tblGrid>
      <w:tr w:rsidR="00341846" w:rsidRPr="00CB18F4" w14:paraId="46D3FFB4" w14:textId="77777777" w:rsidTr="00AA0B7D">
        <w:tc>
          <w:tcPr>
            <w:tcW w:w="0" w:type="auto"/>
          </w:tcPr>
          <w:p w14:paraId="10A52C81"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Generator</w:t>
            </w:r>
          </w:p>
        </w:tc>
        <w:tc>
          <w:tcPr>
            <w:tcW w:w="933" w:type="pct"/>
          </w:tcPr>
          <w:p w14:paraId="2BA91A98"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Faithful.</w:t>
            </w:r>
          </w:p>
        </w:tc>
        <w:tc>
          <w:tcPr>
            <w:tcW w:w="460" w:type="pct"/>
          </w:tcPr>
          <w:p w14:paraId="116E08DF"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Faith(ans)</w:t>
            </w:r>
          </w:p>
        </w:tc>
        <w:tc>
          <w:tcPr>
            <w:tcW w:w="0" w:type="auto"/>
          </w:tcPr>
          <w:p w14:paraId="455709B6"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 Rel.</w:t>
            </w:r>
          </w:p>
        </w:tc>
        <w:tc>
          <w:tcPr>
            <w:tcW w:w="0" w:type="auto"/>
          </w:tcPr>
          <w:p w14:paraId="371C5586"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Ctx. Prec.</w:t>
            </w:r>
          </w:p>
        </w:tc>
        <w:tc>
          <w:tcPr>
            <w:tcW w:w="0" w:type="auto"/>
          </w:tcPr>
          <w:p w14:paraId="5509B751"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Answered</w:t>
            </w:r>
          </w:p>
        </w:tc>
        <w:tc>
          <w:tcPr>
            <w:tcW w:w="0" w:type="auto"/>
          </w:tcPr>
          <w:p w14:paraId="70CA7CC2"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F1</w:t>
            </w:r>
          </w:p>
        </w:tc>
        <w:tc>
          <w:tcPr>
            <w:tcW w:w="0" w:type="auto"/>
          </w:tcPr>
          <w:p w14:paraId="2321129E"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EM (num)</w:t>
            </w:r>
          </w:p>
        </w:tc>
      </w:tr>
      <w:tr w:rsidR="00341846" w:rsidRPr="00CB18F4" w14:paraId="2E00C775" w14:textId="77777777" w:rsidTr="00AA0B7D">
        <w:tc>
          <w:tcPr>
            <w:tcW w:w="0" w:type="auto"/>
          </w:tcPr>
          <w:p w14:paraId="4E05811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GPT-3.5-turbo</w:t>
            </w:r>
          </w:p>
        </w:tc>
        <w:tc>
          <w:tcPr>
            <w:tcW w:w="933" w:type="pct"/>
          </w:tcPr>
          <w:p w14:paraId="4436545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0.209</w:t>
            </w:r>
          </w:p>
        </w:tc>
        <w:tc>
          <w:tcPr>
            <w:tcW w:w="460" w:type="pct"/>
          </w:tcPr>
          <w:p w14:paraId="734EEA5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0.353</w:t>
            </w:r>
          </w:p>
        </w:tc>
        <w:tc>
          <w:tcPr>
            <w:tcW w:w="0" w:type="auto"/>
          </w:tcPr>
          <w:p w14:paraId="3581102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0.432</w:t>
            </w:r>
          </w:p>
        </w:tc>
        <w:tc>
          <w:tcPr>
            <w:tcW w:w="0" w:type="auto"/>
          </w:tcPr>
          <w:p w14:paraId="33558E7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0.462</w:t>
            </w:r>
          </w:p>
        </w:tc>
        <w:tc>
          <w:tcPr>
            <w:tcW w:w="0" w:type="auto"/>
          </w:tcPr>
          <w:p w14:paraId="744682E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87/150</w:t>
            </w:r>
          </w:p>
        </w:tc>
        <w:tc>
          <w:tcPr>
            <w:tcW w:w="0" w:type="auto"/>
          </w:tcPr>
          <w:p w14:paraId="5019C44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0.121</w:t>
            </w:r>
          </w:p>
        </w:tc>
        <w:tc>
          <w:tcPr>
            <w:tcW w:w="0" w:type="auto"/>
          </w:tcPr>
          <w:p w14:paraId="078C576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0.207</w:t>
            </w:r>
          </w:p>
        </w:tc>
      </w:tr>
      <w:tr w:rsidR="00341846" w:rsidRPr="00CB18F4" w14:paraId="0C68FDDF" w14:textId="77777777" w:rsidTr="00AA0B7D">
        <w:tc>
          <w:tcPr>
            <w:tcW w:w="0" w:type="auto"/>
          </w:tcPr>
          <w:p w14:paraId="6EF0953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Mistral-7B-Instruct</w:t>
            </w:r>
          </w:p>
        </w:tc>
        <w:tc>
          <w:tcPr>
            <w:tcW w:w="933" w:type="pct"/>
          </w:tcPr>
          <w:p w14:paraId="1E994449"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0.592</w:t>
            </w:r>
          </w:p>
        </w:tc>
        <w:tc>
          <w:tcPr>
            <w:tcW w:w="460" w:type="pct"/>
          </w:tcPr>
          <w:p w14:paraId="78DD6E2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0.631</w:t>
            </w:r>
          </w:p>
        </w:tc>
        <w:tc>
          <w:tcPr>
            <w:tcW w:w="0" w:type="auto"/>
          </w:tcPr>
          <w:p w14:paraId="61D87D0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0.254</w:t>
            </w:r>
          </w:p>
        </w:tc>
        <w:tc>
          <w:tcPr>
            <w:tcW w:w="0" w:type="auto"/>
          </w:tcPr>
          <w:p w14:paraId="494156B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0.411</w:t>
            </w:r>
          </w:p>
        </w:tc>
        <w:tc>
          <w:tcPr>
            <w:tcW w:w="0" w:type="auto"/>
          </w:tcPr>
          <w:p w14:paraId="6AA8E799"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69/150</w:t>
            </w:r>
          </w:p>
        </w:tc>
        <w:tc>
          <w:tcPr>
            <w:tcW w:w="0" w:type="auto"/>
          </w:tcPr>
          <w:p w14:paraId="6CC9C41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0.128</w:t>
            </w:r>
          </w:p>
        </w:tc>
        <w:tc>
          <w:tcPr>
            <w:tcW w:w="0" w:type="auto"/>
          </w:tcPr>
          <w:p w14:paraId="13750C6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0.373</w:t>
            </w:r>
          </w:p>
        </w:tc>
      </w:tr>
    </w:tbl>
    <w:p w14:paraId="32E00790"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This inverts the naive expectation behind RQ3 (“do larger models hallucinate less?”): here the 7B open model is the </w:t>
      </w:r>
      <w:r w:rsidRPr="003A1D4B">
        <w:rPr>
          <w:rFonts w:ascii="Times New Roman" w:hAnsi="Times New Roman" w:cs="Times New Roman"/>
          <w:i/>
          <w:iCs/>
        </w:rPr>
        <w:t>more</w:t>
      </w:r>
      <w:r w:rsidRPr="003A1D4B">
        <w:rPr>
          <w:rFonts w:ascii="Times New Roman" w:hAnsi="Times New Roman" w:cs="Times New Roman"/>
        </w:rPr>
        <w:t xml:space="preserve"> faithful one. The mechanism is abstention—Mistral declines more often, so its committed answers are better grounded. Thus on this benchmark </w:t>
      </w:r>
      <w:r w:rsidRPr="003A1D4B">
        <w:rPr>
          <w:rFonts w:ascii="Times New Roman" w:hAnsi="Times New Roman" w:cs="Times New Roman"/>
          <w:b/>
          <w:bCs/>
        </w:rPr>
        <w:t>abstention behavior, not raw model scale, is what drives faithfulness</w:t>
      </w:r>
      <w:r w:rsidRPr="003A1D4B">
        <w:rPr>
          <w:rFonts w:ascii="Times New Roman" w:hAnsi="Times New Roman" w:cs="Times New Roman"/>
        </w:rPr>
        <w:t>, echoing the refuse-vs-answer-wrong contrast reported for FinanceBench (Islam et al. 2023).</w:t>
      </w:r>
    </w:p>
    <w:p w14:paraId="578EF7F4" w14:textId="77777777" w:rsidR="00341846" w:rsidRPr="003A1D4B" w:rsidRDefault="00000000">
      <w:pPr>
        <w:pStyle w:val="Heading1"/>
        <w:rPr>
          <w:rFonts w:ascii="Times New Roman" w:hAnsi="Times New Roman" w:cs="Times New Roman"/>
        </w:rPr>
      </w:pPr>
      <w:bookmarkStart w:id="8" w:name="Xb01618d9d9ed337f1dbb1f8dfd63b0099dd4e25"/>
      <w:bookmarkEnd w:id="4"/>
      <w:bookmarkEnd w:id="7"/>
      <w:r w:rsidRPr="003A1D4B">
        <w:rPr>
          <w:rFonts w:ascii="Times New Roman" w:hAnsi="Times New Roman" w:cs="Times New Roman"/>
        </w:rPr>
        <w:t>Error Analysis and Hallucination Taxonomy (RQ2)</w:t>
      </w:r>
    </w:p>
    <w:p w14:paraId="22CB20E9"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Taxonomy.</w:t>
      </w:r>
      <w:r w:rsidRPr="003A1D4B">
        <w:rPr>
          <w:rFonts w:ascii="Times New Roman" w:hAnsi="Times New Roman" w:cs="Times New Roman"/>
        </w:rPr>
        <w:t xml:space="preserve"> We label each answered-but-incorrect case with one primary hallucination type:</w:t>
      </w:r>
    </w:p>
    <w:p w14:paraId="65BA593E"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Numerical</w:t>
      </w:r>
      <w:r w:rsidRPr="003A1D4B">
        <w:rPr>
          <w:rFonts w:ascii="Times New Roman" w:hAnsi="Times New Roman" w:cs="Times New Roman"/>
        </w:rPr>
        <w:t xml:space="preserve"> — the entities and intent are right but the </w:t>
      </w:r>
      <w:r w:rsidRPr="003A1D4B">
        <w:rPr>
          <w:rFonts w:ascii="Times New Roman" w:hAnsi="Times New Roman" w:cs="Times New Roman"/>
          <w:i/>
          <w:iCs/>
        </w:rPr>
        <w:t>value</w:t>
      </w:r>
      <w:r w:rsidRPr="003A1D4B">
        <w:rPr>
          <w:rFonts w:ascii="Times New Roman" w:hAnsi="Times New Roman" w:cs="Times New Roman"/>
        </w:rPr>
        <w:t xml:space="preserve"> is wrong (miscalculation, wrong period/unit, misread figure).</w:t>
      </w:r>
    </w:p>
    <w:p w14:paraId="38FE8E1E"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Entity</w:t>
      </w:r>
      <w:r w:rsidRPr="003A1D4B">
        <w:rPr>
          <w:rFonts w:ascii="Times New Roman" w:hAnsi="Times New Roman" w:cs="Times New Roman"/>
        </w:rPr>
        <w:t xml:space="preserve"> — the wrong </w:t>
      </w:r>
      <w:r w:rsidRPr="003A1D4B">
        <w:rPr>
          <w:rFonts w:ascii="Times New Roman" w:hAnsi="Times New Roman" w:cs="Times New Roman"/>
          <w:i/>
          <w:iCs/>
        </w:rPr>
        <w:t>source entity</w:t>
      </w:r>
      <w:r w:rsidRPr="003A1D4B">
        <w:rPr>
          <w:rFonts w:ascii="Times New Roman" w:hAnsi="Times New Roman" w:cs="Times New Roman"/>
        </w:rPr>
        <w:t>: wrong company, segment, or statement, often because retrieval surfaced the wrong filing.</w:t>
      </w:r>
    </w:p>
    <w:p w14:paraId="189EF2A3"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Reasoning</w:t>
      </w:r>
      <w:r w:rsidRPr="003A1D4B">
        <w:rPr>
          <w:rFonts w:ascii="Times New Roman" w:hAnsi="Times New Roman" w:cs="Times New Roman"/>
        </w:rPr>
        <w:t xml:space="preserve"> — the retrieved numbers are right but the </w:t>
      </w:r>
      <w:r w:rsidRPr="003A1D4B">
        <w:rPr>
          <w:rFonts w:ascii="Times New Roman" w:hAnsi="Times New Roman" w:cs="Times New Roman"/>
          <w:i/>
          <w:iCs/>
        </w:rPr>
        <w:t>inference</w:t>
      </w:r>
      <w:r w:rsidRPr="003A1D4B">
        <w:rPr>
          <w:rFonts w:ascii="Times New Roman" w:hAnsi="Times New Roman" w:cs="Times New Roman"/>
        </w:rPr>
        <w:t xml:space="preserve"> connecting them to the answer is flawed.</w:t>
      </w:r>
    </w:p>
    <w:p w14:paraId="24CF139C" w14:textId="77777777" w:rsidR="00341846" w:rsidRPr="003A1D4B" w:rsidRDefault="00000000" w:rsidP="00CA552D">
      <w:pPr>
        <w:numPr>
          <w:ilvl w:val="0"/>
          <w:numId w:val="27"/>
        </w:numPr>
        <w:jc w:val="both"/>
        <w:rPr>
          <w:rFonts w:ascii="Times New Roman" w:hAnsi="Times New Roman" w:cs="Times New Roman"/>
        </w:rPr>
      </w:pPr>
      <w:r w:rsidRPr="003A1D4B">
        <w:rPr>
          <w:rFonts w:ascii="Times New Roman" w:hAnsi="Times New Roman" w:cs="Times New Roman"/>
          <w:b/>
          <w:bCs/>
        </w:rPr>
        <w:t>Unsupported</w:t>
      </w:r>
      <w:r w:rsidRPr="003A1D4B">
        <w:rPr>
          <w:rFonts w:ascii="Times New Roman" w:hAnsi="Times New Roman" w:cs="Times New Roman"/>
        </w:rPr>
        <w:t xml:space="preserve"> — a claim not traceable to any retrieved passage (fabricated figure or qualitative claim).</w:t>
      </w:r>
    </w:p>
    <w:p w14:paraId="37300A95"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A caution on automatic flagging.</w:t>
      </w:r>
      <w:r w:rsidRPr="003A1D4B">
        <w:rPr>
          <w:rFonts w:ascii="Times New Roman" w:hAnsi="Times New Roman" w:cs="Times New Roman"/>
        </w:rPr>
        <w:t xml:space="preserve"> Of the 50 cases automatically flagged as failures, manual review found </w:t>
      </w:r>
      <w:r w:rsidRPr="003A1D4B">
        <w:rPr>
          <w:rFonts w:ascii="Times New Roman" w:hAnsi="Times New Roman" w:cs="Times New Roman"/>
          <w:b/>
          <w:bCs/>
        </w:rPr>
        <w:t>11 (≈22%) were actually correct</w:t>
      </w:r>
      <w:r w:rsidRPr="003A1D4B">
        <w:rPr>
          <w:rFonts w:ascii="Times New Roman" w:hAnsi="Times New Roman" w:cs="Times New Roman"/>
        </w:rPr>
        <w:t>—the model answered the question well but was mis-scored (e.g. a format the numeric filter missed, or a “Yes”+extra-figures answer graded against a “Yes”-only gold). We exclude these from the taxonomy and report them as a finding in their own right: automatic hallucination/accuracy metrics on numeric financial QA carry a non-trivial false-positive rate, and human review remains necessary.</w:t>
      </w:r>
    </w:p>
    <w:p w14:paraId="4912D7D6" w14:textId="77777777" w:rsidR="00341846" w:rsidRDefault="00000000" w:rsidP="00CA552D">
      <w:pPr>
        <w:jc w:val="both"/>
        <w:rPr>
          <w:rFonts w:ascii="Times New Roman" w:hAnsi="Times New Roman" w:cs="Times New Roman"/>
        </w:rPr>
      </w:pPr>
      <w:r w:rsidRPr="003A1D4B">
        <w:rPr>
          <w:rFonts w:ascii="Times New Roman" w:hAnsi="Times New Roman" w:cs="Times New Roman"/>
          <w:b/>
          <w:bCs/>
        </w:rPr>
        <w:t>Type frequencies.</w:t>
      </w:r>
      <w:r w:rsidRPr="003A1D4B">
        <w:rPr>
          <w:rFonts w:ascii="Times New Roman" w:hAnsi="Times New Roman" w:cs="Times New Roman"/>
        </w:rPr>
        <w:t xml:space="preserve"> Among the 39 genuine hallucinations, numerical errors dominate (Figure 2): </w:t>
      </w:r>
      <w:r w:rsidRPr="003A1D4B">
        <w:rPr>
          <w:rFonts w:ascii="Times New Roman" w:hAnsi="Times New Roman" w:cs="Times New Roman"/>
          <w:b/>
          <w:bCs/>
        </w:rPr>
        <w:t>numerical 46% (18)</w:t>
      </w:r>
      <w:r w:rsidRPr="003A1D4B">
        <w:rPr>
          <w:rFonts w:ascii="Times New Roman" w:hAnsi="Times New Roman" w:cs="Times New Roman"/>
        </w:rPr>
        <w:t xml:space="preserve">, </w:t>
      </w:r>
      <w:r w:rsidRPr="003A1D4B">
        <w:rPr>
          <w:rFonts w:ascii="Times New Roman" w:hAnsi="Times New Roman" w:cs="Times New Roman"/>
          <w:b/>
          <w:bCs/>
        </w:rPr>
        <w:t>entity 31% (12)</w:t>
      </w:r>
      <w:r w:rsidRPr="003A1D4B">
        <w:rPr>
          <w:rFonts w:ascii="Times New Roman" w:hAnsi="Times New Roman" w:cs="Times New Roman"/>
        </w:rPr>
        <w:t xml:space="preserve">, </w:t>
      </w:r>
      <w:r w:rsidRPr="003A1D4B">
        <w:rPr>
          <w:rFonts w:ascii="Times New Roman" w:hAnsi="Times New Roman" w:cs="Times New Roman"/>
          <w:b/>
          <w:bCs/>
        </w:rPr>
        <w:t>unsupported 15% (6)</w:t>
      </w:r>
      <w:r w:rsidRPr="003A1D4B">
        <w:rPr>
          <w:rFonts w:ascii="Times New Roman" w:hAnsi="Times New Roman" w:cs="Times New Roman"/>
        </w:rPr>
        <w:t xml:space="preserve">, </w:t>
      </w:r>
      <w:r w:rsidRPr="003A1D4B">
        <w:rPr>
          <w:rFonts w:ascii="Times New Roman" w:hAnsi="Times New Roman" w:cs="Times New Roman"/>
          <w:b/>
          <w:bCs/>
        </w:rPr>
        <w:t>reasoning 8% (3)</w:t>
      </w:r>
      <w:r w:rsidRPr="003A1D4B">
        <w:rPr>
          <w:rFonts w:ascii="Times New Roman" w:hAnsi="Times New Roman" w:cs="Times New Roman"/>
        </w:rPr>
        <w:t xml:space="preserve">. This matches the dataset’s numeric skew (Section 3): the hardest part is producing the </w:t>
      </w:r>
      <w:r w:rsidRPr="003A1D4B">
        <w:rPr>
          <w:rFonts w:ascii="Times New Roman" w:hAnsi="Times New Roman" w:cs="Times New Roman"/>
          <w:i/>
          <w:iCs/>
        </w:rPr>
        <w:t>right number</w:t>
      </w:r>
      <w:r w:rsidRPr="003A1D4B">
        <w:rPr>
          <w:rFonts w:ascii="Times New Roman" w:hAnsi="Times New Roman" w:cs="Times New Roman"/>
        </w:rPr>
        <w:t xml:space="preserve"> from the right place, not stringing together a chain of inferences. Entity errors—the second most common—are overwhelmingly retrieval failures where the model answered confidently from the wrong filing, tying RQ2 back to the retrieval bottleneck of RQ1.</w:t>
      </w:r>
    </w:p>
    <w:p w14:paraId="11DD7BDA" w14:textId="77777777" w:rsidR="00CB18F4" w:rsidRPr="003A1D4B" w:rsidRDefault="00CB18F4" w:rsidP="00CA552D">
      <w:pPr>
        <w:jc w:val="both"/>
        <w:rPr>
          <w:rFonts w:ascii="Times New Roman" w:hAnsi="Times New Roman" w:cs="Times New Roman"/>
        </w:rPr>
      </w:pPr>
    </w:p>
    <w:p w14:paraId="72EF012F" w14:textId="77777777" w:rsidR="00341846" w:rsidRPr="003A1D4B" w:rsidRDefault="00000000">
      <w:pPr>
        <w:rPr>
          <w:rFonts w:ascii="Times New Roman" w:hAnsi="Times New Roman" w:cs="Times New Roman"/>
        </w:rPr>
      </w:pPr>
      <w:r w:rsidRPr="003A1D4B">
        <w:rPr>
          <w:rFonts w:ascii="Times New Roman" w:hAnsi="Times New Roman" w:cs="Times New Roman"/>
          <w:noProof/>
        </w:rPr>
        <w:lastRenderedPageBreak/>
        <w:drawing>
          <wp:inline distT="0" distB="0" distL="0" distR="0" wp14:anchorId="1AF27703" wp14:editId="5FD8DC42">
            <wp:extent cx="3245370" cy="1499017"/>
            <wp:effectExtent l="0" t="0" r="0" b="0"/>
            <wp:docPr id="1853978832" name="Picture" descr="Distribution of hallucination types over the 39 genuine answered-but-wrong cases."/>
            <wp:cNvGraphicFramePr/>
            <a:graphic xmlns:a="http://schemas.openxmlformats.org/drawingml/2006/main">
              <a:graphicData uri="http://schemas.openxmlformats.org/drawingml/2006/picture">
                <pic:pic xmlns:pic="http://schemas.openxmlformats.org/drawingml/2006/picture">
                  <pic:nvPicPr>
                    <pic:cNvPr id="0" name="Picture" descr="fig_hallucination_types.png"/>
                    <pic:cNvPicPr>
                      <a:picLocks noChangeAspect="1" noChangeArrowheads="1"/>
                    </pic:cNvPicPr>
                  </pic:nvPicPr>
                  <pic:blipFill>
                    <a:blip r:embed="rId9"/>
                    <a:stretch>
                      <a:fillRect/>
                    </a:stretch>
                  </pic:blipFill>
                  <pic:spPr bwMode="auto">
                    <a:xfrm>
                      <a:off x="0" y="0"/>
                      <a:ext cx="3364721" cy="1554144"/>
                    </a:xfrm>
                    <a:prstGeom prst="rect">
                      <a:avLst/>
                    </a:prstGeom>
                    <a:noFill/>
                    <a:ln w="9525">
                      <a:noFill/>
                      <a:headEnd/>
                      <a:tailEnd/>
                    </a:ln>
                  </pic:spPr>
                </pic:pic>
              </a:graphicData>
            </a:graphic>
          </wp:inline>
        </w:drawing>
      </w:r>
    </w:p>
    <w:p w14:paraId="560D5D1C" w14:textId="77777777" w:rsidR="00341846" w:rsidRPr="003A1D4B" w:rsidRDefault="00000000">
      <w:pPr>
        <w:rPr>
          <w:rFonts w:ascii="Times New Roman" w:hAnsi="Times New Roman" w:cs="Times New Roman"/>
          <w:sz w:val="20"/>
          <w:szCs w:val="20"/>
        </w:rPr>
      </w:pPr>
      <w:r w:rsidRPr="003A1D4B">
        <w:rPr>
          <w:rFonts w:ascii="Times New Roman" w:hAnsi="Times New Roman" w:cs="Times New Roman"/>
          <w:sz w:val="20"/>
          <w:szCs w:val="20"/>
        </w:rPr>
        <w:t>Distribution of hallucination types over the 39 genuine answered-but-wrong cases.</w:t>
      </w:r>
    </w:p>
    <w:p w14:paraId="59B9F0BC"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Case studies.</w:t>
      </w:r>
      <w:r w:rsidRPr="003A1D4B">
        <w:rPr>
          <w:rFonts w:ascii="Times New Roman" w:hAnsi="Times New Roman" w:cs="Times New Roman"/>
        </w:rPr>
        <w:t xml:space="preserve"> Table 4 gives two representative examples per type. The numerical cases include order-of-magnitude slips (a $25.8B free-cash-flow answer where the gold is $3.2B) and wrong intermediate figures (a dividend-payout ratio of 0.43 vs. 0.8). Entity cases are stark: asked what drove AMD’s FY22 revenue, the model answered with Lockheed Martin F-16/F-22 content pulled from the wrong filing. Unsupported cases fabricate specifics—naming a registered security when the gold answer is “there are none.” Reasoning cases keep the right inputs but draw the wrong conclusion, e.g. comparing the wrong pair of fiscal years and thus reporting debt as rising when it fell.</w:t>
      </w:r>
    </w:p>
    <w:p w14:paraId="4D5535E9" w14:textId="77777777" w:rsidR="00341846" w:rsidRPr="003A1D4B" w:rsidRDefault="00000000">
      <w:pPr>
        <w:rPr>
          <w:rFonts w:ascii="Times New Roman" w:hAnsi="Times New Roman" w:cs="Times New Roman"/>
        </w:rPr>
      </w:pPr>
      <w:r w:rsidRPr="003A1D4B">
        <w:rPr>
          <w:rFonts w:ascii="Times New Roman" w:hAnsi="Times New Roman" w:cs="Times New Roman"/>
        </w:rPr>
        <w:t>Representative case studies, two per hallucination type (from the 50 labeled cases).</w:t>
      </w:r>
    </w:p>
    <w:tbl>
      <w:tblPr>
        <w:tblStyle w:val="TableGridLight"/>
        <w:tblW w:w="4999" w:type="pct"/>
        <w:tblLook w:val="0020" w:firstRow="1" w:lastRow="0" w:firstColumn="0" w:lastColumn="0" w:noHBand="0" w:noVBand="0"/>
        <w:tblCaption w:val="Representative case studies, two per hallucination type (from the 50 labeled cases)."/>
      </w:tblPr>
      <w:tblGrid>
        <w:gridCol w:w="816"/>
        <w:gridCol w:w="699"/>
        <w:gridCol w:w="847"/>
        <w:gridCol w:w="834"/>
        <w:gridCol w:w="802"/>
        <w:gridCol w:w="840"/>
      </w:tblGrid>
      <w:tr w:rsidR="00341846" w:rsidRPr="00CB18F4" w14:paraId="48F36482" w14:textId="77777777" w:rsidTr="00CA552D">
        <w:tc>
          <w:tcPr>
            <w:tcW w:w="0" w:type="auto"/>
          </w:tcPr>
          <w:p w14:paraId="59020EC6"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Type</w:t>
            </w:r>
          </w:p>
        </w:tc>
        <w:tc>
          <w:tcPr>
            <w:tcW w:w="0" w:type="auto"/>
          </w:tcPr>
          <w:p w14:paraId="3EFDA7AF"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Company</w:t>
            </w:r>
          </w:p>
        </w:tc>
        <w:tc>
          <w:tcPr>
            <w:tcW w:w="0" w:type="auto"/>
          </w:tcPr>
          <w:p w14:paraId="2416B1AD"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Question</w:t>
            </w:r>
          </w:p>
        </w:tc>
        <w:tc>
          <w:tcPr>
            <w:tcW w:w="0" w:type="auto"/>
          </w:tcPr>
          <w:p w14:paraId="15AB102B"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Model answer</w:t>
            </w:r>
          </w:p>
        </w:tc>
        <w:tc>
          <w:tcPr>
            <w:tcW w:w="0" w:type="auto"/>
          </w:tcPr>
          <w:p w14:paraId="5E97FEB0"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Gold</w:t>
            </w:r>
          </w:p>
        </w:tc>
        <w:tc>
          <w:tcPr>
            <w:tcW w:w="0" w:type="auto"/>
          </w:tcPr>
          <w:p w14:paraId="08128134" w14:textId="77777777" w:rsidR="00341846" w:rsidRPr="00AA5186" w:rsidRDefault="00000000">
            <w:pPr>
              <w:rPr>
                <w:rFonts w:ascii="Times New Roman" w:hAnsi="Times New Roman" w:cs="Times New Roman"/>
                <w:b/>
                <w:bCs/>
                <w:sz w:val="18"/>
                <w:szCs w:val="18"/>
              </w:rPr>
            </w:pPr>
            <w:r w:rsidRPr="00AA5186">
              <w:rPr>
                <w:rFonts w:ascii="Times New Roman" w:hAnsi="Times New Roman" w:cs="Times New Roman"/>
                <w:b/>
                <w:bCs/>
                <w:sz w:val="18"/>
                <w:szCs w:val="18"/>
              </w:rPr>
              <w:t>Why it is wrong</w:t>
            </w:r>
          </w:p>
        </w:tc>
      </w:tr>
      <w:tr w:rsidR="00341846" w:rsidRPr="00CB18F4" w14:paraId="719116BC" w14:textId="77777777" w:rsidTr="00CA552D">
        <w:tc>
          <w:tcPr>
            <w:tcW w:w="0" w:type="auto"/>
          </w:tcPr>
          <w:p w14:paraId="3C63A70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Numerical</w:t>
            </w:r>
          </w:p>
        </w:tc>
        <w:tc>
          <w:tcPr>
            <w:tcW w:w="0" w:type="auto"/>
          </w:tcPr>
          <w:p w14:paraId="560C265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General Mills</w:t>
            </w:r>
          </w:p>
        </w:tc>
        <w:tc>
          <w:tcPr>
            <w:tcW w:w="0" w:type="auto"/>
          </w:tcPr>
          <w:p w14:paraId="2B27AD2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FY2020 free cash flow (from cash-flow statement)</w:t>
            </w:r>
          </w:p>
        </w:tc>
        <w:tc>
          <w:tcPr>
            <w:tcW w:w="0" w:type="auto"/>
          </w:tcPr>
          <w:p w14:paraId="2C2B5B7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$25,825 million</w:t>
            </w:r>
          </w:p>
        </w:tc>
        <w:tc>
          <w:tcPr>
            <w:tcW w:w="0" w:type="auto"/>
          </w:tcPr>
          <w:p w14:paraId="1660759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$3,215</w:t>
            </w:r>
          </w:p>
        </w:tc>
        <w:tc>
          <w:tcPr>
            <w:tcW w:w="0" w:type="auto"/>
          </w:tcPr>
          <w:p w14:paraId="0D8CE74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order-of-magnitude error</w:t>
            </w:r>
          </w:p>
        </w:tc>
      </w:tr>
      <w:tr w:rsidR="00341846" w:rsidRPr="00CB18F4" w14:paraId="1BA0B6BA" w14:textId="77777777" w:rsidTr="00CA552D">
        <w:tc>
          <w:tcPr>
            <w:tcW w:w="0" w:type="auto"/>
          </w:tcPr>
          <w:p w14:paraId="66220DE0"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Numerical</w:t>
            </w:r>
          </w:p>
        </w:tc>
        <w:tc>
          <w:tcPr>
            <w:tcW w:w="0" w:type="auto"/>
          </w:tcPr>
          <w:p w14:paraId="437B33A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Coca-Cola</w:t>
            </w:r>
          </w:p>
        </w:tc>
        <w:tc>
          <w:tcPr>
            <w:tcW w:w="0" w:type="auto"/>
          </w:tcPr>
          <w:p w14:paraId="6879490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FY2022 dividend payout ratio</w:t>
            </w:r>
          </w:p>
        </w:tc>
        <w:tc>
          <w:tcPr>
            <w:tcW w:w="0" w:type="auto"/>
          </w:tcPr>
          <w:p w14:paraId="0FF2CC8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42.68%</w:t>
            </w:r>
          </w:p>
        </w:tc>
        <w:tc>
          <w:tcPr>
            <w:tcW w:w="0" w:type="auto"/>
          </w:tcPr>
          <w:p w14:paraId="709D727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0.8</w:t>
            </w:r>
          </w:p>
        </w:tc>
        <w:tc>
          <w:tcPr>
            <w:tcW w:w="0" w:type="auto"/>
          </w:tcPr>
          <w:p w14:paraId="633C4E9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wrong dividends figure</w:t>
            </w:r>
          </w:p>
        </w:tc>
      </w:tr>
      <w:tr w:rsidR="00341846" w:rsidRPr="00CB18F4" w14:paraId="770FCB4D" w14:textId="77777777" w:rsidTr="00CA552D">
        <w:tc>
          <w:tcPr>
            <w:tcW w:w="0" w:type="auto"/>
          </w:tcPr>
          <w:p w14:paraId="7F8EC14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Entity</w:t>
            </w:r>
          </w:p>
        </w:tc>
        <w:tc>
          <w:tcPr>
            <w:tcW w:w="0" w:type="auto"/>
          </w:tcPr>
          <w:p w14:paraId="229AAEF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AMD</w:t>
            </w:r>
          </w:p>
        </w:tc>
        <w:tc>
          <w:tcPr>
            <w:tcW w:w="0" w:type="auto"/>
          </w:tcPr>
          <w:p w14:paraId="23372DA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What drove FY22 revenue change?</w:t>
            </w:r>
          </w:p>
        </w:tc>
        <w:tc>
          <w:tcPr>
            <w:tcW w:w="0" w:type="auto"/>
          </w:tcPr>
          <w:p w14:paraId="16DEECB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Lockheed F-16/F-22 program volume</w:t>
            </w:r>
          </w:p>
        </w:tc>
        <w:tc>
          <w:tcPr>
            <w:tcW w:w="0" w:type="auto"/>
          </w:tcPr>
          <w:p w14:paraId="012BA67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AMD EPYC/semi-custom sales</w:t>
            </w:r>
          </w:p>
        </w:tc>
        <w:tc>
          <w:tcPr>
            <w:tcW w:w="0" w:type="auto"/>
          </w:tcPr>
          <w:p w14:paraId="029DB405"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answered from the wrong company’s filing</w:t>
            </w:r>
          </w:p>
        </w:tc>
      </w:tr>
      <w:tr w:rsidR="00341846" w:rsidRPr="00CB18F4" w14:paraId="167CC1D8" w14:textId="77777777" w:rsidTr="00CA552D">
        <w:tc>
          <w:tcPr>
            <w:tcW w:w="0" w:type="auto"/>
          </w:tcPr>
          <w:p w14:paraId="33F74A1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Entity</w:t>
            </w:r>
          </w:p>
        </w:tc>
        <w:tc>
          <w:tcPr>
            <w:tcW w:w="0" w:type="auto"/>
          </w:tcPr>
          <w:p w14:paraId="30E2EC5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Amex</w:t>
            </w:r>
          </w:p>
        </w:tc>
        <w:tc>
          <w:tcPr>
            <w:tcW w:w="0" w:type="auto"/>
          </w:tcPr>
          <w:p w14:paraId="0C927D9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Geographies it operates in (2022)</w:t>
            </w:r>
          </w:p>
        </w:tc>
        <w:tc>
          <w:tcPr>
            <w:tcW w:w="0" w:type="auto"/>
          </w:tcPr>
          <w:p w14:paraId="6AE98AA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Phoenix, Sunrise, Gurgaon, …</w:t>
            </w:r>
          </w:p>
        </w:tc>
        <w:tc>
          <w:tcPr>
            <w:tcW w:w="0" w:type="auto"/>
          </w:tcPr>
          <w:p w14:paraId="1C78553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US, EMEA, APAC, LACC</w:t>
            </w:r>
          </w:p>
        </w:tc>
        <w:tc>
          <w:tcPr>
            <w:tcW w:w="0" w:type="auto"/>
          </w:tcPr>
          <w:p w14:paraId="4F69520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listed office cities, not operating regions</w:t>
            </w:r>
          </w:p>
        </w:tc>
      </w:tr>
      <w:tr w:rsidR="00341846" w:rsidRPr="00CB18F4" w14:paraId="642996BB" w14:textId="77777777" w:rsidTr="00CA552D">
        <w:tc>
          <w:tcPr>
            <w:tcW w:w="0" w:type="auto"/>
          </w:tcPr>
          <w:p w14:paraId="4B25332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Unsupp</w:t>
            </w:r>
            <w:r w:rsidRPr="00CB18F4">
              <w:rPr>
                <w:rFonts w:ascii="Times New Roman" w:hAnsi="Times New Roman" w:cs="Times New Roman"/>
                <w:sz w:val="18"/>
                <w:szCs w:val="18"/>
              </w:rPr>
              <w:t>orted</w:t>
            </w:r>
          </w:p>
        </w:tc>
        <w:tc>
          <w:tcPr>
            <w:tcW w:w="0" w:type="auto"/>
          </w:tcPr>
          <w:p w14:paraId="6D27C45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Amex</w:t>
            </w:r>
          </w:p>
        </w:tc>
        <w:tc>
          <w:tcPr>
            <w:tcW w:w="0" w:type="auto"/>
          </w:tcPr>
          <w:p w14:paraId="29A43CC3"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Debt securities registered to trade</w:t>
            </w:r>
          </w:p>
        </w:tc>
        <w:tc>
          <w:tcPr>
            <w:tcW w:w="0" w:type="auto"/>
          </w:tcPr>
          <w:p w14:paraId="1CBBC1C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a specific deferred-comp plan</w:t>
            </w:r>
          </w:p>
        </w:tc>
        <w:tc>
          <w:tcPr>
            <w:tcW w:w="0" w:type="auto"/>
          </w:tcPr>
          <w:p w14:paraId="6A04FCC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there are none</w:t>
            </w:r>
          </w:p>
        </w:tc>
        <w:tc>
          <w:tcPr>
            <w:tcW w:w="0" w:type="auto"/>
          </w:tcPr>
          <w:p w14:paraId="5C632FB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fabricated a security</w:t>
            </w:r>
          </w:p>
        </w:tc>
      </w:tr>
      <w:tr w:rsidR="00341846" w:rsidRPr="00CB18F4" w14:paraId="77F495D4" w14:textId="77777777" w:rsidTr="00CA552D">
        <w:tc>
          <w:tcPr>
            <w:tcW w:w="0" w:type="auto"/>
          </w:tcPr>
          <w:p w14:paraId="2A88605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Unsupported</w:t>
            </w:r>
          </w:p>
        </w:tc>
        <w:tc>
          <w:tcPr>
            <w:tcW w:w="0" w:type="auto"/>
          </w:tcPr>
          <w:p w14:paraId="4CE4023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Pfizer</w:t>
            </w:r>
          </w:p>
        </w:tc>
        <w:tc>
          <w:tcPr>
            <w:tcW w:w="0" w:type="auto"/>
          </w:tcPr>
          <w:p w14:paraId="62356B9E"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Spinning off any large segments (Q2’23)?</w:t>
            </w:r>
          </w:p>
        </w:tc>
        <w:tc>
          <w:tcPr>
            <w:tcW w:w="0" w:type="auto"/>
          </w:tcPr>
          <w:p w14:paraId="366E675D"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not spinning off any</w:t>
            </w:r>
          </w:p>
        </w:tc>
        <w:tc>
          <w:tcPr>
            <w:tcW w:w="0" w:type="auto"/>
          </w:tcPr>
          <w:p w14:paraId="448021E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Yes—Upjohn</w:t>
            </w:r>
          </w:p>
        </w:tc>
        <w:tc>
          <w:tcPr>
            <w:tcW w:w="0" w:type="auto"/>
          </w:tcPr>
          <w:p w14:paraId="02A1102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contradicts the filing</w:t>
            </w:r>
          </w:p>
        </w:tc>
      </w:tr>
      <w:tr w:rsidR="00341846" w:rsidRPr="00CB18F4" w14:paraId="27110890" w14:textId="77777777" w:rsidTr="00CA552D">
        <w:tc>
          <w:tcPr>
            <w:tcW w:w="0" w:type="auto"/>
          </w:tcPr>
          <w:p w14:paraId="7D24F008"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Reasoning</w:t>
            </w:r>
          </w:p>
        </w:tc>
        <w:tc>
          <w:tcPr>
            <w:tcW w:w="0" w:type="auto"/>
          </w:tcPr>
          <w:p w14:paraId="0D196A01"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Verizon</w:t>
            </w:r>
          </w:p>
        </w:tc>
        <w:tc>
          <w:tcPr>
            <w:tcW w:w="0" w:type="auto"/>
          </w:tcPr>
          <w:p w14:paraId="23046F0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Did debt increase 2021→2022?</w:t>
            </w:r>
          </w:p>
        </w:tc>
        <w:tc>
          <w:tcPr>
            <w:tcW w:w="0" w:type="auto"/>
          </w:tcPr>
          <w:p w14:paraId="7C23F7A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Yes (used 2020→2021)</w:t>
            </w:r>
          </w:p>
        </w:tc>
        <w:tc>
          <w:tcPr>
            <w:tcW w:w="0" w:type="auto"/>
          </w:tcPr>
          <w:p w14:paraId="0AE147B2"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No, it decreased</w:t>
            </w:r>
          </w:p>
        </w:tc>
        <w:tc>
          <w:tcPr>
            <w:tcW w:w="0" w:type="auto"/>
          </w:tcPr>
          <w:p w14:paraId="7F8832C7"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compared the wrong fiscal years</w:t>
            </w:r>
          </w:p>
        </w:tc>
      </w:tr>
      <w:tr w:rsidR="00341846" w:rsidRPr="00CB18F4" w14:paraId="1B0E4DBE" w14:textId="77777777" w:rsidTr="00CA552D">
        <w:tc>
          <w:tcPr>
            <w:tcW w:w="0" w:type="auto"/>
          </w:tcPr>
          <w:p w14:paraId="538230F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Reasoning</w:t>
            </w:r>
          </w:p>
        </w:tc>
        <w:tc>
          <w:tcPr>
            <w:tcW w:w="0" w:type="auto"/>
          </w:tcPr>
          <w:p w14:paraId="449E27FC"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3M</w:t>
            </w:r>
          </w:p>
        </w:tc>
        <w:tc>
          <w:tcPr>
            <w:tcW w:w="0" w:type="auto"/>
          </w:tcPr>
          <w:p w14:paraId="0270D2BB"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Capital-intensive in FY2022?</w:t>
            </w:r>
          </w:p>
        </w:tc>
        <w:tc>
          <w:tcPr>
            <w:tcW w:w="0" w:type="auto"/>
          </w:tcPr>
          <w:p w14:paraId="3D50FDCA"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Yes</w:t>
            </w:r>
          </w:p>
        </w:tc>
        <w:tc>
          <w:tcPr>
            <w:tcW w:w="0" w:type="auto"/>
          </w:tcPr>
          <w:p w14:paraId="67250E84"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No</w:t>
            </w:r>
          </w:p>
        </w:tc>
        <w:tc>
          <w:tcPr>
            <w:tcW w:w="0" w:type="auto"/>
          </w:tcPr>
          <w:p w14:paraId="13AAD086" w14:textId="77777777" w:rsidR="00341846" w:rsidRPr="00CB18F4" w:rsidRDefault="00000000">
            <w:pPr>
              <w:rPr>
                <w:rFonts w:ascii="Times New Roman" w:hAnsi="Times New Roman" w:cs="Times New Roman"/>
                <w:sz w:val="18"/>
                <w:szCs w:val="18"/>
              </w:rPr>
            </w:pPr>
            <w:r w:rsidRPr="00CB18F4">
              <w:rPr>
                <w:rFonts w:ascii="Times New Roman" w:hAnsi="Times New Roman" w:cs="Times New Roman"/>
                <w:sz w:val="18"/>
                <w:szCs w:val="18"/>
              </w:rPr>
              <w:t>opposite interpretation of the same figures</w:t>
            </w:r>
          </w:p>
        </w:tc>
      </w:tr>
    </w:tbl>
    <w:p w14:paraId="406C104E" w14:textId="77777777" w:rsidR="00751EA7" w:rsidRPr="00CB18F4" w:rsidRDefault="00751EA7" w:rsidP="00751EA7">
      <w:pPr>
        <w:pStyle w:val="Heading1"/>
        <w:numPr>
          <w:ilvl w:val="0"/>
          <w:numId w:val="0"/>
        </w:numPr>
        <w:ind w:left="397"/>
        <w:rPr>
          <w:rFonts w:ascii="Times New Roman" w:hAnsi="Times New Roman" w:cs="Times New Roman"/>
          <w:sz w:val="22"/>
          <w:szCs w:val="22"/>
        </w:rPr>
      </w:pPr>
      <w:bookmarkStart w:id="9" w:name="conclusion-limitations-and-future-work"/>
      <w:bookmarkEnd w:id="8"/>
    </w:p>
    <w:p w14:paraId="0EC93A2F" w14:textId="698C24C9" w:rsidR="00341846" w:rsidRPr="003A1D4B" w:rsidRDefault="00000000">
      <w:pPr>
        <w:pStyle w:val="Heading1"/>
        <w:rPr>
          <w:rFonts w:ascii="Times New Roman" w:hAnsi="Times New Roman" w:cs="Times New Roman"/>
        </w:rPr>
      </w:pPr>
      <w:r w:rsidRPr="003A1D4B">
        <w:rPr>
          <w:rFonts w:ascii="Times New Roman" w:hAnsi="Times New Roman" w:cs="Times New Roman"/>
        </w:rPr>
        <w:t>Conclusion, Limitations, and Future Work</w:t>
      </w:r>
    </w:p>
    <w:p w14:paraId="58C9CD7A"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rPr>
        <w:t xml:space="preserve">We studied when and how RAG systems hallucinate on financial QA. Across four pipelines that differ only in retrieval, </w:t>
      </w:r>
      <w:r w:rsidRPr="003A1D4B">
        <w:rPr>
          <w:rFonts w:ascii="Times New Roman" w:hAnsi="Times New Roman" w:cs="Times New Roman"/>
          <w:b/>
          <w:bCs/>
        </w:rPr>
        <w:t>retrieval quality is the dominant lever</w:t>
      </w:r>
      <w:r w:rsidRPr="003A1D4B">
        <w:rPr>
          <w:rFonts w:ascii="Times New Roman" w:hAnsi="Times New Roman" w:cs="Times New Roman"/>
        </w:rPr>
        <w:t xml:space="preserve"> on faithfulness and accuracy (RQ1), reinforced by a top-</w:t>
      </w:r>
      <m:oMath>
        <m:r>
          <w:rPr>
            <w:rFonts w:ascii="Cambria Math" w:hAnsi="Cambria Math" w:cs="Times New Roman"/>
          </w:rPr>
          <m:t>k</m:t>
        </m:r>
      </m:oMath>
      <w:r w:rsidRPr="003A1D4B">
        <w:rPr>
          <w:rFonts w:ascii="Times New Roman" w:hAnsi="Times New Roman" w:cs="Times New Roman"/>
        </w:rPr>
        <w:t xml:space="preserve"> ablation. A manual taxonomy shows </w:t>
      </w:r>
      <w:r w:rsidRPr="003A1D4B">
        <w:rPr>
          <w:rFonts w:ascii="Times New Roman" w:hAnsi="Times New Roman" w:cs="Times New Roman"/>
          <w:b/>
          <w:bCs/>
        </w:rPr>
        <w:t>numerical errors dominate</w:t>
      </w:r>
      <w:r w:rsidRPr="003A1D4B">
        <w:rPr>
          <w:rFonts w:ascii="Times New Roman" w:hAnsi="Times New Roman" w:cs="Times New Roman"/>
        </w:rPr>
        <w:t xml:space="preserve"> the residual hallucinations, with entity errors—mostly wrong-filing retrievals—a close second (RQ2). Holding retrieved context fixed, the open </w:t>
      </w:r>
      <w:r w:rsidRPr="003A1D4B">
        <w:rPr>
          <w:rFonts w:ascii="Times New Roman" w:hAnsi="Times New Roman" w:cs="Times New Roman"/>
          <w:b/>
          <w:bCs/>
        </w:rPr>
        <w:t>Mistral-7B-Instruct is more faithful than GPT-3.5</w:t>
      </w:r>
      <w:r w:rsidRPr="003A1D4B">
        <w:rPr>
          <w:rFonts w:ascii="Times New Roman" w:hAnsi="Times New Roman" w:cs="Times New Roman"/>
        </w:rPr>
        <w:t xml:space="preserve"> by abstaining more (RQ3), indicating that grounding on this benchmark is governed more by abstention behavior than by model scale. We also find that ~22% of automatically flagged failures are correct answers mis-scored—a caution for automatic evaluation.</w:t>
      </w:r>
    </w:p>
    <w:p w14:paraId="50DCA832" w14:textId="77777777" w:rsidR="00341846" w:rsidRPr="003A1D4B" w:rsidRDefault="00000000" w:rsidP="00CA552D">
      <w:pPr>
        <w:jc w:val="both"/>
        <w:rPr>
          <w:rFonts w:ascii="Times New Roman" w:hAnsi="Times New Roman" w:cs="Times New Roman"/>
        </w:rPr>
      </w:pPr>
      <w:r w:rsidRPr="003A1D4B">
        <w:rPr>
          <w:rFonts w:ascii="Times New Roman" w:hAnsi="Times New Roman" w:cs="Times New Roman"/>
          <w:b/>
          <w:bCs/>
        </w:rPr>
        <w:t>Limitations.</w:t>
      </w:r>
      <w:r w:rsidRPr="003A1D4B">
        <w:rPr>
          <w:rFonts w:ascii="Times New Roman" w:hAnsi="Times New Roman" w:cs="Times New Roman"/>
        </w:rPr>
        <w:t xml:space="preserve"> (1) </w:t>
      </w:r>
      <w:r w:rsidRPr="003A1D4B">
        <w:rPr>
          <w:rFonts w:ascii="Times New Roman" w:hAnsi="Times New Roman" w:cs="Times New Roman"/>
          <w:i/>
          <w:iCs/>
        </w:rPr>
        <w:t>Single annotator.</w:t>
      </w:r>
      <w:r w:rsidRPr="003A1D4B">
        <w:rPr>
          <w:rFonts w:ascii="Times New Roman" w:hAnsi="Times New Roman" w:cs="Times New Roman"/>
        </w:rPr>
        <w:t xml:space="preserve"> The 50 cases were labeled by one annotator (LLM-drafted, human-reviewed), so we do not report inter-annotator agreement (Cohen’s kappa); a second independent pass would strengthen the taxonomy. (2) </w:t>
      </w:r>
      <w:r w:rsidRPr="003A1D4B">
        <w:rPr>
          <w:rFonts w:ascii="Times New Roman" w:hAnsi="Times New Roman" w:cs="Times New Roman"/>
          <w:i/>
          <w:iCs/>
        </w:rPr>
        <w:t>PDF table extraction</w:t>
      </w:r>
      <w:r w:rsidRPr="003A1D4B">
        <w:rPr>
          <w:rFonts w:ascii="Times New Roman" w:hAnsi="Times New Roman" w:cs="Times New Roman"/>
        </w:rPr>
        <w:t xml:space="preserve"> flattens tables into linear text, which can sever a figure from its row/column headers and is a plausible source of numerical errors. (3) </w:t>
      </w:r>
      <w:r w:rsidRPr="003A1D4B">
        <w:rPr>
          <w:rFonts w:ascii="Times New Roman" w:hAnsi="Times New Roman" w:cs="Times New Roman"/>
          <w:i/>
          <w:iCs/>
        </w:rPr>
        <w:t>Scale:</w:t>
      </w:r>
      <w:r w:rsidRPr="003A1D4B">
        <w:rPr>
          <w:rFonts w:ascii="Times New Roman" w:hAnsi="Times New Roman" w:cs="Times New Roman"/>
        </w:rPr>
        <w:t xml:space="preserve"> we evaluate the 150-question open subset, not the full 10,231-question FinanceBench. (4) </w:t>
      </w:r>
      <w:r w:rsidRPr="003A1D4B">
        <w:rPr>
          <w:rFonts w:ascii="Times New Roman" w:hAnsi="Times New Roman" w:cs="Times New Roman"/>
          <w:i/>
          <w:iCs/>
        </w:rPr>
        <w:t>Judge dependence:</w:t>
      </w:r>
      <w:r w:rsidRPr="003A1D4B">
        <w:rPr>
          <w:rFonts w:ascii="Times New Roman" w:hAnsi="Times New Roman" w:cs="Times New Roman"/>
        </w:rPr>
        <w:t xml:space="preserve"> RAGAS faithfulness relies </w:t>
      </w:r>
      <w:r w:rsidRPr="003A1D4B">
        <w:rPr>
          <w:rFonts w:ascii="Times New Roman" w:hAnsi="Times New Roman" w:cs="Times New Roman"/>
        </w:rPr>
        <w:lastRenderedPageBreak/>
        <w:t>on an LLM judge (GPT-4o-mini); absolute values should be read comparatively.</w:t>
      </w:r>
    </w:p>
    <w:p w14:paraId="3C2D6F10" w14:textId="77777777" w:rsidR="00341846" w:rsidRDefault="00000000" w:rsidP="00CA552D">
      <w:pPr>
        <w:jc w:val="both"/>
        <w:rPr>
          <w:rFonts w:ascii="Times New Roman" w:hAnsi="Times New Roman" w:cs="Times New Roman"/>
        </w:rPr>
      </w:pPr>
      <w:r w:rsidRPr="003A1D4B">
        <w:rPr>
          <w:rFonts w:ascii="Times New Roman" w:hAnsi="Times New Roman" w:cs="Times New Roman"/>
          <w:b/>
          <w:bCs/>
        </w:rPr>
        <w:t>Future work.</w:t>
      </w:r>
      <w:r w:rsidRPr="003A1D4B">
        <w:rPr>
          <w:rFonts w:ascii="Times New Roman" w:hAnsi="Times New Roman" w:cs="Times New Roman"/>
        </w:rPr>
        <w:t xml:space="preserve"> Table-aware chunking that preserves headers; retrieval upgrades (Fusion-in-Decoder (Izacard and Grave 2021), Self-RAG (Asai et al. 2024)) to close the remaining recall gap; an automatic hallucination classifier supervised by RAGTruth (Niu et al. 2024) and validated against our human labels; and scaling the evaluation to the full benchmark.</w:t>
      </w:r>
    </w:p>
    <w:p w14:paraId="64F41894" w14:textId="77777777" w:rsidR="00751EA7" w:rsidRPr="003A1D4B" w:rsidRDefault="00751EA7" w:rsidP="00CA552D">
      <w:pPr>
        <w:jc w:val="both"/>
        <w:rPr>
          <w:rFonts w:ascii="Times New Roman" w:hAnsi="Times New Roman" w:cs="Times New Roman"/>
        </w:rPr>
      </w:pPr>
    </w:p>
    <w:p w14:paraId="360A9E0B" w14:textId="77777777" w:rsidR="00341846" w:rsidRPr="003A1D4B" w:rsidRDefault="00000000">
      <w:pPr>
        <w:pStyle w:val="Heading1"/>
        <w:rPr>
          <w:rFonts w:ascii="Times New Roman" w:hAnsi="Times New Roman" w:cs="Times New Roman"/>
        </w:rPr>
      </w:pPr>
      <w:bookmarkStart w:id="10" w:name="references"/>
      <w:bookmarkEnd w:id="9"/>
      <w:r w:rsidRPr="003A1D4B">
        <w:rPr>
          <w:rFonts w:ascii="Times New Roman" w:hAnsi="Times New Roman" w:cs="Times New Roman"/>
        </w:rPr>
        <w:t>References</w:t>
      </w:r>
    </w:p>
    <w:p w14:paraId="505DCEAE" w14:textId="77777777" w:rsidR="00341846" w:rsidRPr="003A1D4B" w:rsidRDefault="00000000" w:rsidP="00CA552D">
      <w:pPr>
        <w:jc w:val="both"/>
        <w:rPr>
          <w:rFonts w:ascii="Times New Roman" w:hAnsi="Times New Roman" w:cs="Times New Roman"/>
        </w:rPr>
      </w:pPr>
      <w:bookmarkStart w:id="11" w:name="ref-asai2024selfrag"/>
      <w:bookmarkStart w:id="12" w:name="refs"/>
      <w:r w:rsidRPr="003A1D4B">
        <w:rPr>
          <w:rFonts w:ascii="Times New Roman" w:hAnsi="Times New Roman" w:cs="Times New Roman"/>
        </w:rPr>
        <w:t xml:space="preserve">Asai, Akari, Zeqiu Wu, Yizhong Wang, Avirup Sil, and Hannaneh Hajishirzi. 2024. “Self-RAG: Learning to Retrieve, Generate, and Critique Through Self-Reflection.” In </w:t>
      </w:r>
      <w:r w:rsidRPr="003A1D4B">
        <w:rPr>
          <w:rFonts w:ascii="Times New Roman" w:hAnsi="Times New Roman" w:cs="Times New Roman"/>
          <w:i/>
          <w:iCs/>
        </w:rPr>
        <w:t>Proceedings of ICLR</w:t>
      </w:r>
      <w:r w:rsidRPr="003A1D4B">
        <w:rPr>
          <w:rFonts w:ascii="Times New Roman" w:hAnsi="Times New Roman" w:cs="Times New Roman"/>
        </w:rPr>
        <w:t>.</w:t>
      </w:r>
    </w:p>
    <w:p w14:paraId="39CEDC60" w14:textId="77777777" w:rsidR="00341846" w:rsidRPr="003A1D4B" w:rsidRDefault="00000000" w:rsidP="00CA552D">
      <w:pPr>
        <w:jc w:val="both"/>
        <w:rPr>
          <w:rFonts w:ascii="Times New Roman" w:hAnsi="Times New Roman" w:cs="Times New Roman"/>
        </w:rPr>
      </w:pPr>
      <w:bookmarkStart w:id="13" w:name="ref-chen2024rgb"/>
      <w:bookmarkEnd w:id="11"/>
      <w:r w:rsidRPr="003A1D4B">
        <w:rPr>
          <w:rFonts w:ascii="Times New Roman" w:hAnsi="Times New Roman" w:cs="Times New Roman"/>
        </w:rPr>
        <w:t xml:space="preserve">Chen, Jiawei, Hongyu Lin, Xianpei Han, and Le Sun. 2024. “Benchmarking Large Language Models in Retrieval-Augmented Generation.” In </w:t>
      </w:r>
      <w:r w:rsidRPr="003A1D4B">
        <w:rPr>
          <w:rFonts w:ascii="Times New Roman" w:hAnsi="Times New Roman" w:cs="Times New Roman"/>
          <w:i/>
          <w:iCs/>
        </w:rPr>
        <w:t>Proceedings of AAAI</w:t>
      </w:r>
      <w:r w:rsidRPr="003A1D4B">
        <w:rPr>
          <w:rFonts w:ascii="Times New Roman" w:hAnsi="Times New Roman" w:cs="Times New Roman"/>
        </w:rPr>
        <w:t>.</w:t>
      </w:r>
    </w:p>
    <w:p w14:paraId="4FE92FAF" w14:textId="77777777" w:rsidR="00341846" w:rsidRPr="003A1D4B" w:rsidRDefault="00000000" w:rsidP="00CA552D">
      <w:pPr>
        <w:jc w:val="both"/>
        <w:rPr>
          <w:rFonts w:ascii="Times New Roman" w:hAnsi="Times New Roman" w:cs="Times New Roman"/>
        </w:rPr>
      </w:pPr>
      <w:bookmarkStart w:id="14" w:name="ref-chen2021finqa"/>
      <w:bookmarkEnd w:id="13"/>
      <w:r w:rsidRPr="003A1D4B">
        <w:rPr>
          <w:rFonts w:ascii="Times New Roman" w:hAnsi="Times New Roman" w:cs="Times New Roman"/>
        </w:rPr>
        <w:t xml:space="preserve">Chen, Zhiyu, Wenhu Chen, Charese Smiley, Sameena Shah, Iana Borova, Dylan Langdon, Reema Moussa, et al. 2021. “FinQA: A Dataset of Numerical Reasoning over Financial Data.” In </w:t>
      </w:r>
      <w:r w:rsidRPr="003A1D4B">
        <w:rPr>
          <w:rFonts w:ascii="Times New Roman" w:hAnsi="Times New Roman" w:cs="Times New Roman"/>
          <w:i/>
          <w:iCs/>
        </w:rPr>
        <w:t>Proceedings of EMNLP</w:t>
      </w:r>
      <w:r w:rsidRPr="003A1D4B">
        <w:rPr>
          <w:rFonts w:ascii="Times New Roman" w:hAnsi="Times New Roman" w:cs="Times New Roman"/>
        </w:rPr>
        <w:t>.</w:t>
      </w:r>
    </w:p>
    <w:p w14:paraId="3FD71A20" w14:textId="77777777" w:rsidR="00341846" w:rsidRPr="003A1D4B" w:rsidRDefault="00000000" w:rsidP="00CA552D">
      <w:pPr>
        <w:jc w:val="both"/>
        <w:rPr>
          <w:rFonts w:ascii="Times New Roman" w:hAnsi="Times New Roman" w:cs="Times New Roman"/>
        </w:rPr>
      </w:pPr>
      <w:bookmarkStart w:id="15" w:name="ref-chen2022convfinqa"/>
      <w:bookmarkEnd w:id="14"/>
      <w:r w:rsidRPr="003A1D4B">
        <w:rPr>
          <w:rFonts w:ascii="Times New Roman" w:hAnsi="Times New Roman" w:cs="Times New Roman"/>
        </w:rPr>
        <w:t xml:space="preserve">Chen, Zhiyu, Shiyang Li, Charese Smiley, Zhiqiang Ma, Sameena Shah, and William Yang Wang. 2022. “ConvFinQA: Exploring the Chain of Numerical Reasoning in Conversational Finance Question Answering.” In </w:t>
      </w:r>
      <w:r w:rsidRPr="003A1D4B">
        <w:rPr>
          <w:rFonts w:ascii="Times New Roman" w:hAnsi="Times New Roman" w:cs="Times New Roman"/>
          <w:i/>
          <w:iCs/>
        </w:rPr>
        <w:t>Proceedings of EMNLP</w:t>
      </w:r>
      <w:r w:rsidRPr="003A1D4B">
        <w:rPr>
          <w:rFonts w:ascii="Times New Roman" w:hAnsi="Times New Roman" w:cs="Times New Roman"/>
        </w:rPr>
        <w:t>.</w:t>
      </w:r>
    </w:p>
    <w:p w14:paraId="3A121764" w14:textId="77777777" w:rsidR="00341846" w:rsidRPr="003A1D4B" w:rsidRDefault="00000000" w:rsidP="00CA552D">
      <w:pPr>
        <w:jc w:val="both"/>
        <w:rPr>
          <w:rFonts w:ascii="Times New Roman" w:hAnsi="Times New Roman" w:cs="Times New Roman"/>
        </w:rPr>
      </w:pPr>
      <w:bookmarkStart w:id="16" w:name="ref-es2024ragas"/>
      <w:bookmarkEnd w:id="15"/>
      <w:r w:rsidRPr="003A1D4B">
        <w:rPr>
          <w:rFonts w:ascii="Times New Roman" w:hAnsi="Times New Roman" w:cs="Times New Roman"/>
        </w:rPr>
        <w:t xml:space="preserve">Es, Shahul, Jithin James, Luis Espinosa-Anke, and Steven Schockaert. 2024. “RAGAS: Automated Evaluation of Retrieval Augmented Generation.” In </w:t>
      </w:r>
      <w:r w:rsidRPr="003A1D4B">
        <w:rPr>
          <w:rFonts w:ascii="Times New Roman" w:hAnsi="Times New Roman" w:cs="Times New Roman"/>
          <w:i/>
          <w:iCs/>
        </w:rPr>
        <w:t>Proceedings of EACL: System Demonstrations</w:t>
      </w:r>
      <w:r w:rsidRPr="003A1D4B">
        <w:rPr>
          <w:rFonts w:ascii="Times New Roman" w:hAnsi="Times New Roman" w:cs="Times New Roman"/>
        </w:rPr>
        <w:t>.</w:t>
      </w:r>
    </w:p>
    <w:p w14:paraId="63182208" w14:textId="77777777" w:rsidR="00341846" w:rsidRPr="003A1D4B" w:rsidRDefault="00000000" w:rsidP="00CA552D">
      <w:pPr>
        <w:jc w:val="both"/>
        <w:rPr>
          <w:rFonts w:ascii="Times New Roman" w:hAnsi="Times New Roman" w:cs="Times New Roman"/>
        </w:rPr>
      </w:pPr>
      <w:bookmarkStart w:id="17" w:name="ref-friel2024ragbench"/>
      <w:bookmarkEnd w:id="16"/>
      <w:r w:rsidRPr="003A1D4B">
        <w:rPr>
          <w:rFonts w:ascii="Times New Roman" w:hAnsi="Times New Roman" w:cs="Times New Roman"/>
        </w:rPr>
        <w:t xml:space="preserve">Friel, Robert, Masha Belyi, and Atindriyo Sanyal. 2024. “RAGBench: Explainable Benchmark for Retrieval-Augmented Generation Systems.” </w:t>
      </w:r>
      <w:r w:rsidRPr="003A1D4B">
        <w:rPr>
          <w:rFonts w:ascii="Times New Roman" w:hAnsi="Times New Roman" w:cs="Times New Roman"/>
          <w:i/>
          <w:iCs/>
        </w:rPr>
        <w:t>arXiv Preprint arXiv:2407.11005</w:t>
      </w:r>
      <w:r w:rsidRPr="003A1D4B">
        <w:rPr>
          <w:rFonts w:ascii="Times New Roman" w:hAnsi="Times New Roman" w:cs="Times New Roman"/>
        </w:rPr>
        <w:t>.</w:t>
      </w:r>
    </w:p>
    <w:p w14:paraId="2FDE6A6B" w14:textId="77777777" w:rsidR="00341846" w:rsidRPr="003A1D4B" w:rsidRDefault="00000000" w:rsidP="00CA552D">
      <w:pPr>
        <w:jc w:val="both"/>
        <w:rPr>
          <w:rFonts w:ascii="Times New Roman" w:hAnsi="Times New Roman" w:cs="Times New Roman"/>
        </w:rPr>
      </w:pPr>
      <w:bookmarkStart w:id="18" w:name="ref-gao2023ragsurvey"/>
      <w:bookmarkEnd w:id="17"/>
      <w:r w:rsidRPr="003A1D4B">
        <w:rPr>
          <w:rFonts w:ascii="Times New Roman" w:hAnsi="Times New Roman" w:cs="Times New Roman"/>
        </w:rPr>
        <w:t xml:space="preserve">Gao, Yunfan, Yun Xiong, Xinyu Gao, Kangxiang Jia, Jinliu Pan, Yuxi Bi, Yi Dai, Jiawei Sun, and Haofen Wang. 2023. “Retrieval-Augmented Generation for Large Language Models: A Survey.” </w:t>
      </w:r>
      <w:r w:rsidRPr="003A1D4B">
        <w:rPr>
          <w:rFonts w:ascii="Times New Roman" w:hAnsi="Times New Roman" w:cs="Times New Roman"/>
          <w:i/>
          <w:iCs/>
        </w:rPr>
        <w:t>arXiv Preprint arXiv:2312.10997</w:t>
      </w:r>
      <w:r w:rsidRPr="003A1D4B">
        <w:rPr>
          <w:rFonts w:ascii="Times New Roman" w:hAnsi="Times New Roman" w:cs="Times New Roman"/>
        </w:rPr>
        <w:t>.</w:t>
      </w:r>
    </w:p>
    <w:p w14:paraId="02A558BA" w14:textId="77777777" w:rsidR="00341846" w:rsidRPr="003A1D4B" w:rsidRDefault="00000000" w:rsidP="00CA552D">
      <w:pPr>
        <w:jc w:val="both"/>
        <w:rPr>
          <w:rFonts w:ascii="Times New Roman" w:hAnsi="Times New Roman" w:cs="Times New Roman"/>
        </w:rPr>
      </w:pPr>
      <w:bookmarkStart w:id="19" w:name="ref-guu2020realm"/>
      <w:bookmarkEnd w:id="18"/>
      <w:r w:rsidRPr="003A1D4B">
        <w:rPr>
          <w:rFonts w:ascii="Times New Roman" w:hAnsi="Times New Roman" w:cs="Times New Roman"/>
        </w:rPr>
        <w:t xml:space="preserve">Guu, Kelvin, Kenton Lee, Zora Tung, Panupong Pasupat, and Ming-Wei Chang. 2020. “REALM: </w:t>
      </w:r>
      <w:r w:rsidRPr="003A1D4B">
        <w:rPr>
          <w:rFonts w:ascii="Times New Roman" w:hAnsi="Times New Roman" w:cs="Times New Roman"/>
        </w:rPr>
        <w:t xml:space="preserve">Retrieval-Augmented Language Model Pre-Training.” In </w:t>
      </w:r>
      <w:r w:rsidRPr="003A1D4B">
        <w:rPr>
          <w:rFonts w:ascii="Times New Roman" w:hAnsi="Times New Roman" w:cs="Times New Roman"/>
          <w:i/>
          <w:iCs/>
        </w:rPr>
        <w:t>Proceedings of ICML</w:t>
      </w:r>
      <w:r w:rsidRPr="003A1D4B">
        <w:rPr>
          <w:rFonts w:ascii="Times New Roman" w:hAnsi="Times New Roman" w:cs="Times New Roman"/>
        </w:rPr>
        <w:t>.</w:t>
      </w:r>
    </w:p>
    <w:p w14:paraId="1C49807C" w14:textId="77777777" w:rsidR="00341846" w:rsidRPr="003A1D4B" w:rsidRDefault="00000000" w:rsidP="00CA552D">
      <w:pPr>
        <w:jc w:val="both"/>
        <w:rPr>
          <w:rFonts w:ascii="Times New Roman" w:hAnsi="Times New Roman" w:cs="Times New Roman"/>
        </w:rPr>
      </w:pPr>
      <w:bookmarkStart w:id="20" w:name="ref-huang2023hallucinationsurvey"/>
      <w:bookmarkEnd w:id="19"/>
      <w:r w:rsidRPr="003A1D4B">
        <w:rPr>
          <w:rFonts w:ascii="Times New Roman" w:hAnsi="Times New Roman" w:cs="Times New Roman"/>
        </w:rPr>
        <w:t xml:space="preserve">Huang, Lei, Weijiang Yu, Weitao Ma, Weihong Zhong, Zhangyin Feng, Haotian Wang, Qianglong Chen, et al. 2023. “A Survey on Hallucination in Large Language Models: Principles, Taxonomy, Challenges, and Open Questions.” </w:t>
      </w:r>
      <w:r w:rsidRPr="003A1D4B">
        <w:rPr>
          <w:rFonts w:ascii="Times New Roman" w:hAnsi="Times New Roman" w:cs="Times New Roman"/>
          <w:i/>
          <w:iCs/>
        </w:rPr>
        <w:t>arXiv Preprint arXiv:2311.05232</w:t>
      </w:r>
      <w:r w:rsidRPr="003A1D4B">
        <w:rPr>
          <w:rFonts w:ascii="Times New Roman" w:hAnsi="Times New Roman" w:cs="Times New Roman"/>
        </w:rPr>
        <w:t>.</w:t>
      </w:r>
    </w:p>
    <w:p w14:paraId="4AD2CF45" w14:textId="77777777" w:rsidR="00341846" w:rsidRPr="003A1D4B" w:rsidRDefault="00000000" w:rsidP="00CA552D">
      <w:pPr>
        <w:jc w:val="both"/>
        <w:rPr>
          <w:rFonts w:ascii="Times New Roman" w:hAnsi="Times New Roman" w:cs="Times New Roman"/>
        </w:rPr>
      </w:pPr>
      <w:bookmarkStart w:id="21" w:name="ref-islam2023financebench"/>
      <w:bookmarkEnd w:id="20"/>
      <w:r w:rsidRPr="003A1D4B">
        <w:rPr>
          <w:rFonts w:ascii="Times New Roman" w:hAnsi="Times New Roman" w:cs="Times New Roman"/>
        </w:rPr>
        <w:t xml:space="preserve">Islam, Pranab, Anand Kannappan, Douwe Kiela, Rebecca Qian, Nino Scherrer, and Bertie Vidgen. 2023. “FinanceBench: A New Benchmark for Financial Question Answering.” </w:t>
      </w:r>
      <w:r w:rsidRPr="003A1D4B">
        <w:rPr>
          <w:rFonts w:ascii="Times New Roman" w:hAnsi="Times New Roman" w:cs="Times New Roman"/>
          <w:i/>
          <w:iCs/>
        </w:rPr>
        <w:t>arXiv Preprint arXiv:2311.11944</w:t>
      </w:r>
      <w:r w:rsidRPr="003A1D4B">
        <w:rPr>
          <w:rFonts w:ascii="Times New Roman" w:hAnsi="Times New Roman" w:cs="Times New Roman"/>
        </w:rPr>
        <w:t>.</w:t>
      </w:r>
    </w:p>
    <w:p w14:paraId="146659B8" w14:textId="77777777" w:rsidR="00341846" w:rsidRPr="003A1D4B" w:rsidRDefault="00000000" w:rsidP="00CA552D">
      <w:pPr>
        <w:jc w:val="both"/>
        <w:rPr>
          <w:rFonts w:ascii="Times New Roman" w:hAnsi="Times New Roman" w:cs="Times New Roman"/>
        </w:rPr>
      </w:pPr>
      <w:bookmarkStart w:id="22" w:name="ref-izacard2021fid"/>
      <w:bookmarkEnd w:id="21"/>
      <w:r w:rsidRPr="003A1D4B">
        <w:rPr>
          <w:rFonts w:ascii="Times New Roman" w:hAnsi="Times New Roman" w:cs="Times New Roman"/>
        </w:rPr>
        <w:t xml:space="preserve">Izacard, Gautier, and Edouard Grave. 2021. “Leveraging Passage Retrieval with Generative Models for Open Domain Question Answering.” In </w:t>
      </w:r>
      <w:r w:rsidRPr="003A1D4B">
        <w:rPr>
          <w:rFonts w:ascii="Times New Roman" w:hAnsi="Times New Roman" w:cs="Times New Roman"/>
          <w:i/>
          <w:iCs/>
        </w:rPr>
        <w:t>Proceedings of EACL</w:t>
      </w:r>
      <w:r w:rsidRPr="003A1D4B">
        <w:rPr>
          <w:rFonts w:ascii="Times New Roman" w:hAnsi="Times New Roman" w:cs="Times New Roman"/>
        </w:rPr>
        <w:t>.</w:t>
      </w:r>
    </w:p>
    <w:p w14:paraId="358C9E8B" w14:textId="77777777" w:rsidR="00341846" w:rsidRPr="003A1D4B" w:rsidRDefault="00000000" w:rsidP="00CA552D">
      <w:pPr>
        <w:jc w:val="both"/>
        <w:rPr>
          <w:rFonts w:ascii="Times New Roman" w:hAnsi="Times New Roman" w:cs="Times New Roman"/>
        </w:rPr>
      </w:pPr>
      <w:bookmarkStart w:id="23" w:name="ref-ji2023hallucination"/>
      <w:bookmarkEnd w:id="22"/>
      <w:r w:rsidRPr="003A1D4B">
        <w:rPr>
          <w:rFonts w:ascii="Times New Roman" w:hAnsi="Times New Roman" w:cs="Times New Roman"/>
        </w:rPr>
        <w:t xml:space="preserve">Ji, Ziwei, Nayeon Lee, Rita Frieske, Tiezheng Yu, Dan Su, Yan Xu, Etsuko Ishii, Ye Jin Bang, Andrea Madotto, and Pascale Fung. 2023. “Survey of Hallucination in Natural Language Generation.” </w:t>
      </w:r>
      <w:r w:rsidRPr="003A1D4B">
        <w:rPr>
          <w:rFonts w:ascii="Times New Roman" w:hAnsi="Times New Roman" w:cs="Times New Roman"/>
          <w:i/>
          <w:iCs/>
        </w:rPr>
        <w:t>ACM Computing Surveys</w:t>
      </w:r>
      <w:r w:rsidRPr="003A1D4B">
        <w:rPr>
          <w:rFonts w:ascii="Times New Roman" w:hAnsi="Times New Roman" w:cs="Times New Roman"/>
        </w:rPr>
        <w:t xml:space="preserve"> 55 (12): 1–38.</w:t>
      </w:r>
    </w:p>
    <w:p w14:paraId="6EAB04E6" w14:textId="77777777" w:rsidR="00341846" w:rsidRPr="003A1D4B" w:rsidRDefault="00000000" w:rsidP="00CA552D">
      <w:pPr>
        <w:jc w:val="both"/>
        <w:rPr>
          <w:rFonts w:ascii="Times New Roman" w:hAnsi="Times New Roman" w:cs="Times New Roman"/>
        </w:rPr>
      </w:pPr>
      <w:bookmarkStart w:id="24" w:name="ref-jiang2023mistral"/>
      <w:bookmarkEnd w:id="23"/>
      <w:r w:rsidRPr="003A1D4B">
        <w:rPr>
          <w:rFonts w:ascii="Times New Roman" w:hAnsi="Times New Roman" w:cs="Times New Roman"/>
        </w:rPr>
        <w:t xml:space="preserve">Jiang, Albert Q., Alexandre Sablayrolles, Arthur Mensch, Chris Bamford, Devendra Singh Chaplot, Diego de las Casas, Florian Bressand, et al. 2023. “Mistral 7B.” </w:t>
      </w:r>
      <w:r w:rsidRPr="003A1D4B">
        <w:rPr>
          <w:rFonts w:ascii="Times New Roman" w:hAnsi="Times New Roman" w:cs="Times New Roman"/>
          <w:i/>
          <w:iCs/>
        </w:rPr>
        <w:t>arXiv Preprint arXiv:2310.06825</w:t>
      </w:r>
      <w:r w:rsidRPr="003A1D4B">
        <w:rPr>
          <w:rFonts w:ascii="Times New Roman" w:hAnsi="Times New Roman" w:cs="Times New Roman"/>
        </w:rPr>
        <w:t>.</w:t>
      </w:r>
    </w:p>
    <w:p w14:paraId="31E7D38E" w14:textId="77777777" w:rsidR="00341846" w:rsidRPr="003A1D4B" w:rsidRDefault="00000000" w:rsidP="00CA552D">
      <w:pPr>
        <w:jc w:val="both"/>
        <w:rPr>
          <w:rFonts w:ascii="Times New Roman" w:hAnsi="Times New Roman" w:cs="Times New Roman"/>
        </w:rPr>
      </w:pPr>
      <w:bookmarkStart w:id="25" w:name="ref-karpukhin2020dpr"/>
      <w:bookmarkEnd w:id="24"/>
      <w:r w:rsidRPr="003A1D4B">
        <w:rPr>
          <w:rFonts w:ascii="Times New Roman" w:hAnsi="Times New Roman" w:cs="Times New Roman"/>
        </w:rPr>
        <w:t xml:space="preserve">Karpukhin, Vladimir, Barlas Oğuz, Sewon Min, Patrick Lewis, Ledell Wu, Sergey Edunov, Danqi Chen, and Wen-tau Yih. 2020. “Dense Passage Retrieval for Open-Domain Question Answering.” In </w:t>
      </w:r>
      <w:r w:rsidRPr="003A1D4B">
        <w:rPr>
          <w:rFonts w:ascii="Times New Roman" w:hAnsi="Times New Roman" w:cs="Times New Roman"/>
          <w:i/>
          <w:iCs/>
        </w:rPr>
        <w:t>Proceedings of EMNLP</w:t>
      </w:r>
      <w:r w:rsidRPr="003A1D4B">
        <w:rPr>
          <w:rFonts w:ascii="Times New Roman" w:hAnsi="Times New Roman" w:cs="Times New Roman"/>
        </w:rPr>
        <w:t>.</w:t>
      </w:r>
    </w:p>
    <w:p w14:paraId="25ABCCEC" w14:textId="77777777" w:rsidR="00341846" w:rsidRPr="003A1D4B" w:rsidRDefault="00000000" w:rsidP="00CA552D">
      <w:pPr>
        <w:jc w:val="both"/>
        <w:rPr>
          <w:rFonts w:ascii="Times New Roman" w:hAnsi="Times New Roman" w:cs="Times New Roman"/>
        </w:rPr>
      </w:pPr>
      <w:bookmarkStart w:id="26" w:name="ref-lewis2020rag"/>
      <w:bookmarkEnd w:id="25"/>
      <w:r w:rsidRPr="003A1D4B">
        <w:rPr>
          <w:rFonts w:ascii="Times New Roman" w:hAnsi="Times New Roman" w:cs="Times New Roman"/>
        </w:rPr>
        <w:t xml:space="preserve">Lewis, Patrick, Ethan Perez, Aleksandra Piktus, Fabio Petroni, Vladimir Karpukhin, Naman Goyal, Heinrich Küttler, et al. 2020. “Retrieval-Augmented Generation for Knowledge-Intensive NLP Tasks.” In </w:t>
      </w:r>
      <w:r w:rsidRPr="003A1D4B">
        <w:rPr>
          <w:rFonts w:ascii="Times New Roman" w:hAnsi="Times New Roman" w:cs="Times New Roman"/>
          <w:i/>
          <w:iCs/>
        </w:rPr>
        <w:t>Advances in Neural Information Processing Systems (NeurIPS)</w:t>
      </w:r>
      <w:r w:rsidRPr="003A1D4B">
        <w:rPr>
          <w:rFonts w:ascii="Times New Roman" w:hAnsi="Times New Roman" w:cs="Times New Roman"/>
        </w:rPr>
        <w:t>.</w:t>
      </w:r>
    </w:p>
    <w:p w14:paraId="4AE14782" w14:textId="77777777" w:rsidR="00341846" w:rsidRPr="003A1D4B" w:rsidRDefault="00000000" w:rsidP="00CA552D">
      <w:pPr>
        <w:jc w:val="both"/>
        <w:rPr>
          <w:rFonts w:ascii="Times New Roman" w:hAnsi="Times New Roman" w:cs="Times New Roman"/>
        </w:rPr>
      </w:pPr>
      <w:bookmarkStart w:id="27" w:name="ref-ma2023queryrewriting"/>
      <w:bookmarkEnd w:id="26"/>
      <w:r w:rsidRPr="003A1D4B">
        <w:rPr>
          <w:rFonts w:ascii="Times New Roman" w:hAnsi="Times New Roman" w:cs="Times New Roman"/>
        </w:rPr>
        <w:t xml:space="preserve">Ma, Xinbei, Yeyun Gong, Pengcheng He, Hai Zhao, and Nan Duan. 2023. “Query Rewriting for Retrieval-Augmented Large Language Models.” In </w:t>
      </w:r>
      <w:r w:rsidRPr="003A1D4B">
        <w:rPr>
          <w:rFonts w:ascii="Times New Roman" w:hAnsi="Times New Roman" w:cs="Times New Roman"/>
          <w:i/>
          <w:iCs/>
        </w:rPr>
        <w:t>Proceedings of EMNLP</w:t>
      </w:r>
      <w:r w:rsidRPr="003A1D4B">
        <w:rPr>
          <w:rFonts w:ascii="Times New Roman" w:hAnsi="Times New Roman" w:cs="Times New Roman"/>
        </w:rPr>
        <w:t>.</w:t>
      </w:r>
    </w:p>
    <w:p w14:paraId="3F8134E5" w14:textId="77777777" w:rsidR="00341846" w:rsidRPr="003A1D4B" w:rsidRDefault="00000000" w:rsidP="00CA552D">
      <w:pPr>
        <w:jc w:val="both"/>
        <w:rPr>
          <w:rFonts w:ascii="Times New Roman" w:hAnsi="Times New Roman" w:cs="Times New Roman"/>
        </w:rPr>
      </w:pPr>
      <w:bookmarkStart w:id="28" w:name="ref-manakul2023selfcheckgpt"/>
      <w:bookmarkEnd w:id="27"/>
      <w:r w:rsidRPr="003A1D4B">
        <w:rPr>
          <w:rFonts w:ascii="Times New Roman" w:hAnsi="Times New Roman" w:cs="Times New Roman"/>
        </w:rPr>
        <w:t xml:space="preserve">Manakul, Potsawee, Adian Liusie, and Mark J. F. Gales. 2023. “SelfCheckGPT: Zero-Resource Black-Box Hallucination Detection for Generative Large Language Models.” In </w:t>
      </w:r>
      <w:r w:rsidRPr="003A1D4B">
        <w:rPr>
          <w:rFonts w:ascii="Times New Roman" w:hAnsi="Times New Roman" w:cs="Times New Roman"/>
          <w:i/>
          <w:iCs/>
        </w:rPr>
        <w:t>Proceedings of EMNLP</w:t>
      </w:r>
      <w:r w:rsidRPr="003A1D4B">
        <w:rPr>
          <w:rFonts w:ascii="Times New Roman" w:hAnsi="Times New Roman" w:cs="Times New Roman"/>
        </w:rPr>
        <w:t>.</w:t>
      </w:r>
    </w:p>
    <w:p w14:paraId="5AD719E5" w14:textId="77777777" w:rsidR="00341846" w:rsidRPr="003A1D4B" w:rsidRDefault="00000000" w:rsidP="00CA552D">
      <w:pPr>
        <w:jc w:val="both"/>
        <w:rPr>
          <w:rFonts w:ascii="Times New Roman" w:hAnsi="Times New Roman" w:cs="Times New Roman"/>
        </w:rPr>
      </w:pPr>
      <w:bookmarkStart w:id="29" w:name="ref-min2023factscore"/>
      <w:bookmarkEnd w:id="28"/>
      <w:r w:rsidRPr="003A1D4B">
        <w:rPr>
          <w:rFonts w:ascii="Times New Roman" w:hAnsi="Times New Roman" w:cs="Times New Roman"/>
        </w:rPr>
        <w:lastRenderedPageBreak/>
        <w:t xml:space="preserve">Min, Sewon, Kalpesh Krishna, Xinxi Lyu, Mike Lewis, Wen-tau Yih, Pang Wei Koh, Mohit Iyyer, Luke Zettlemoyer, and Hannaneh Hajishirzi. 2023. “FActScore: Fine-Grained Atomic Evaluation of Factual Precision in Long Form Text Generation.” In </w:t>
      </w:r>
      <w:r w:rsidRPr="003A1D4B">
        <w:rPr>
          <w:rFonts w:ascii="Times New Roman" w:hAnsi="Times New Roman" w:cs="Times New Roman"/>
          <w:i/>
          <w:iCs/>
        </w:rPr>
        <w:t>Proceedings of EMNLP</w:t>
      </w:r>
      <w:r w:rsidRPr="003A1D4B">
        <w:rPr>
          <w:rFonts w:ascii="Times New Roman" w:hAnsi="Times New Roman" w:cs="Times New Roman"/>
        </w:rPr>
        <w:t>.</w:t>
      </w:r>
    </w:p>
    <w:p w14:paraId="090944D4" w14:textId="77777777" w:rsidR="00341846" w:rsidRPr="003A1D4B" w:rsidRDefault="00000000" w:rsidP="00CA552D">
      <w:pPr>
        <w:jc w:val="both"/>
        <w:rPr>
          <w:rFonts w:ascii="Times New Roman" w:hAnsi="Times New Roman" w:cs="Times New Roman"/>
        </w:rPr>
      </w:pPr>
      <w:bookmarkStart w:id="30" w:name="ref-niu2024ragtruth"/>
      <w:bookmarkEnd w:id="29"/>
      <w:r w:rsidRPr="003A1D4B">
        <w:rPr>
          <w:rFonts w:ascii="Times New Roman" w:hAnsi="Times New Roman" w:cs="Times New Roman"/>
        </w:rPr>
        <w:t xml:space="preserve">Niu, Cheng, Yuanhao Wu, Juno Zhu, Siliang Xu, Kashun Shum, Randy Zhong, Juntong Song, and Tong Zhang. 2024. “RAGTruth: A Hallucination Corpus for Developing Trustworthy Retrieval-Augmented Language Models.” In </w:t>
      </w:r>
      <w:r w:rsidRPr="003A1D4B">
        <w:rPr>
          <w:rFonts w:ascii="Times New Roman" w:hAnsi="Times New Roman" w:cs="Times New Roman"/>
          <w:i/>
          <w:iCs/>
        </w:rPr>
        <w:t>Proceedings of ACL</w:t>
      </w:r>
      <w:r w:rsidRPr="003A1D4B">
        <w:rPr>
          <w:rFonts w:ascii="Times New Roman" w:hAnsi="Times New Roman" w:cs="Times New Roman"/>
        </w:rPr>
        <w:t>.</w:t>
      </w:r>
    </w:p>
    <w:p w14:paraId="43A23C4D" w14:textId="77777777" w:rsidR="00341846" w:rsidRPr="003A1D4B" w:rsidRDefault="00000000" w:rsidP="00CA552D">
      <w:pPr>
        <w:jc w:val="both"/>
        <w:rPr>
          <w:rFonts w:ascii="Times New Roman" w:hAnsi="Times New Roman" w:cs="Times New Roman"/>
        </w:rPr>
      </w:pPr>
      <w:bookmarkStart w:id="31" w:name="ref-rajpurkar2016squad"/>
      <w:bookmarkEnd w:id="30"/>
      <w:r w:rsidRPr="003A1D4B">
        <w:rPr>
          <w:rFonts w:ascii="Times New Roman" w:hAnsi="Times New Roman" w:cs="Times New Roman"/>
        </w:rPr>
        <w:t xml:space="preserve">Rajpurkar, Pranav, Jian Zhang, Konstantin Lopyrev, and Percy Liang. 2016. “SQuAD: 100,000+ Questions for Machine Comprehension of Text.” In </w:t>
      </w:r>
      <w:r w:rsidRPr="003A1D4B">
        <w:rPr>
          <w:rFonts w:ascii="Times New Roman" w:hAnsi="Times New Roman" w:cs="Times New Roman"/>
          <w:i/>
          <w:iCs/>
        </w:rPr>
        <w:t>Proceedings of EMNLP</w:t>
      </w:r>
      <w:r w:rsidRPr="003A1D4B">
        <w:rPr>
          <w:rFonts w:ascii="Times New Roman" w:hAnsi="Times New Roman" w:cs="Times New Roman"/>
        </w:rPr>
        <w:t>.</w:t>
      </w:r>
    </w:p>
    <w:p w14:paraId="41F03428" w14:textId="77777777" w:rsidR="00341846" w:rsidRPr="003A1D4B" w:rsidRDefault="00000000" w:rsidP="00CA552D">
      <w:pPr>
        <w:jc w:val="both"/>
        <w:rPr>
          <w:rFonts w:ascii="Times New Roman" w:hAnsi="Times New Roman" w:cs="Times New Roman"/>
        </w:rPr>
      </w:pPr>
      <w:bookmarkStart w:id="32" w:name="ref-reimers2019sbert"/>
      <w:bookmarkEnd w:id="31"/>
      <w:r w:rsidRPr="003A1D4B">
        <w:rPr>
          <w:rFonts w:ascii="Times New Roman" w:hAnsi="Times New Roman" w:cs="Times New Roman"/>
        </w:rPr>
        <w:t xml:space="preserve">Reimers, Nils, and Iryna Gurevych. 2019. “Sentence-BERT: Sentence Embeddings Using Siamese BERT-Networks.” In </w:t>
      </w:r>
      <w:r w:rsidRPr="003A1D4B">
        <w:rPr>
          <w:rFonts w:ascii="Times New Roman" w:hAnsi="Times New Roman" w:cs="Times New Roman"/>
          <w:i/>
          <w:iCs/>
        </w:rPr>
        <w:t>Proceedings of EMNLP</w:t>
      </w:r>
      <w:r w:rsidRPr="003A1D4B">
        <w:rPr>
          <w:rFonts w:ascii="Times New Roman" w:hAnsi="Times New Roman" w:cs="Times New Roman"/>
        </w:rPr>
        <w:t>.</w:t>
      </w:r>
    </w:p>
    <w:p w14:paraId="370DC8BC" w14:textId="77777777" w:rsidR="00341846" w:rsidRPr="003A1D4B" w:rsidRDefault="00000000" w:rsidP="00CA552D">
      <w:pPr>
        <w:jc w:val="both"/>
        <w:rPr>
          <w:rFonts w:ascii="Times New Roman" w:hAnsi="Times New Roman" w:cs="Times New Roman"/>
        </w:rPr>
      </w:pPr>
      <w:bookmarkStart w:id="33" w:name="ref-robertson2009bm25"/>
      <w:bookmarkEnd w:id="32"/>
      <w:r w:rsidRPr="003A1D4B">
        <w:rPr>
          <w:rFonts w:ascii="Times New Roman" w:hAnsi="Times New Roman" w:cs="Times New Roman"/>
        </w:rPr>
        <w:t xml:space="preserve">Robertson, Stephen, and Hugo Zaragoza. 2009. “The Probabilistic Relevance Framework: Bm25 and Beyond.” </w:t>
      </w:r>
      <w:r w:rsidRPr="003A1D4B">
        <w:rPr>
          <w:rFonts w:ascii="Times New Roman" w:hAnsi="Times New Roman" w:cs="Times New Roman"/>
          <w:i/>
          <w:iCs/>
        </w:rPr>
        <w:t>Foundations and Trends in Information Retrieval</w:t>
      </w:r>
      <w:r w:rsidRPr="003A1D4B">
        <w:rPr>
          <w:rFonts w:ascii="Times New Roman" w:hAnsi="Times New Roman" w:cs="Times New Roman"/>
        </w:rPr>
        <w:t xml:space="preserve"> 3 (4): 333–89.</w:t>
      </w:r>
    </w:p>
    <w:p w14:paraId="26DAA4D9" w14:textId="77777777" w:rsidR="00341846" w:rsidRPr="003A1D4B" w:rsidRDefault="00000000" w:rsidP="00CA552D">
      <w:pPr>
        <w:jc w:val="both"/>
        <w:rPr>
          <w:rFonts w:ascii="Times New Roman" w:hAnsi="Times New Roman" w:cs="Times New Roman"/>
        </w:rPr>
      </w:pPr>
      <w:bookmarkStart w:id="34" w:name="ref-wu2023bloomberggpt"/>
      <w:bookmarkEnd w:id="33"/>
      <w:r w:rsidRPr="003A1D4B">
        <w:rPr>
          <w:rFonts w:ascii="Times New Roman" w:hAnsi="Times New Roman" w:cs="Times New Roman"/>
        </w:rPr>
        <w:t xml:space="preserve">Wu, Shijie, Ozan Irsoy, Steven Lu, Vadim Dabravolski, Mark Dredze, Sebastian Gehrmann, Prabhanjan Kambadur, David Rosenberg, and Gideon Mann. 2023. “BloombergGPT: A Large Language Model for Finance.” </w:t>
      </w:r>
      <w:r w:rsidRPr="003A1D4B">
        <w:rPr>
          <w:rFonts w:ascii="Times New Roman" w:hAnsi="Times New Roman" w:cs="Times New Roman"/>
          <w:i/>
          <w:iCs/>
        </w:rPr>
        <w:t>arXiv Preprint arXiv:2303.17564</w:t>
      </w:r>
      <w:r w:rsidRPr="003A1D4B">
        <w:rPr>
          <w:rFonts w:ascii="Times New Roman" w:hAnsi="Times New Roman" w:cs="Times New Roman"/>
        </w:rPr>
        <w:t>.</w:t>
      </w:r>
    </w:p>
    <w:p w14:paraId="2CF2D66D" w14:textId="77777777" w:rsidR="00341846" w:rsidRPr="003A1D4B" w:rsidRDefault="00000000" w:rsidP="00CA552D">
      <w:pPr>
        <w:jc w:val="both"/>
        <w:rPr>
          <w:rFonts w:ascii="Times New Roman" w:hAnsi="Times New Roman" w:cs="Times New Roman"/>
        </w:rPr>
      </w:pPr>
      <w:bookmarkStart w:id="35" w:name="ref-yang2023fingpt"/>
      <w:bookmarkEnd w:id="34"/>
      <w:r w:rsidRPr="003A1D4B">
        <w:rPr>
          <w:rFonts w:ascii="Times New Roman" w:hAnsi="Times New Roman" w:cs="Times New Roman"/>
        </w:rPr>
        <w:t xml:space="preserve">Yang, Hongyang, Xiao-Yang Liu, and Christina Dan Wang. 2023. “FinGPT: Open-Source Financial Large Language Models.” </w:t>
      </w:r>
      <w:r w:rsidRPr="003A1D4B">
        <w:rPr>
          <w:rFonts w:ascii="Times New Roman" w:hAnsi="Times New Roman" w:cs="Times New Roman"/>
          <w:i/>
          <w:iCs/>
        </w:rPr>
        <w:t>arXiv Preprint arXiv:2306.06031</w:t>
      </w:r>
      <w:r w:rsidRPr="003A1D4B">
        <w:rPr>
          <w:rFonts w:ascii="Times New Roman" w:hAnsi="Times New Roman" w:cs="Times New Roman"/>
        </w:rPr>
        <w:t>.</w:t>
      </w:r>
    </w:p>
    <w:p w14:paraId="7B18D2E9" w14:textId="77777777" w:rsidR="00341846" w:rsidRPr="003A1D4B" w:rsidRDefault="00000000" w:rsidP="00CA552D">
      <w:pPr>
        <w:jc w:val="both"/>
        <w:rPr>
          <w:rFonts w:ascii="Times New Roman" w:hAnsi="Times New Roman" w:cs="Times New Roman"/>
        </w:rPr>
      </w:pPr>
      <w:bookmarkStart w:id="36" w:name="ref-zhu2021tatqa"/>
      <w:bookmarkEnd w:id="35"/>
      <w:r w:rsidRPr="003A1D4B">
        <w:rPr>
          <w:rFonts w:ascii="Times New Roman" w:hAnsi="Times New Roman" w:cs="Times New Roman"/>
        </w:rPr>
        <w:t xml:space="preserve">Zhu, Fengbin, Wenqiang Lei, Youcheng Huang, Chao Wang, Shuo Zhang, Jiancheng Lv, Fuli Feng, and Tat-Seng Chua. 2021. “TAT-QA: A Question Answering Benchmark on a Hybrid of Tabular and Textual Content in Finance.” In </w:t>
      </w:r>
      <w:r w:rsidRPr="003A1D4B">
        <w:rPr>
          <w:rFonts w:ascii="Times New Roman" w:hAnsi="Times New Roman" w:cs="Times New Roman"/>
          <w:i/>
          <w:iCs/>
        </w:rPr>
        <w:t>Proceedings of ACL</w:t>
      </w:r>
      <w:r w:rsidRPr="003A1D4B">
        <w:rPr>
          <w:rFonts w:ascii="Times New Roman" w:hAnsi="Times New Roman" w:cs="Times New Roman"/>
        </w:rPr>
        <w:t>.</w:t>
      </w:r>
    </w:p>
    <w:bookmarkEnd w:id="10"/>
    <w:bookmarkEnd w:id="12"/>
    <w:bookmarkEnd w:id="36"/>
    <w:p w14:paraId="75CDEB9F" w14:textId="77777777" w:rsidR="00CA552D" w:rsidRPr="003A1D4B" w:rsidRDefault="00CA552D">
      <w:pPr>
        <w:rPr>
          <w:rFonts w:ascii="Times New Roman" w:hAnsi="Times New Roman" w:cs="Times New Roman"/>
        </w:rPr>
      </w:pPr>
    </w:p>
    <w:p w14:paraId="46CCE156" w14:textId="77777777" w:rsidR="00CA552D" w:rsidRPr="003A1D4B" w:rsidRDefault="00CA552D">
      <w:pPr>
        <w:rPr>
          <w:rFonts w:ascii="Times New Roman" w:hAnsi="Times New Roman" w:cs="Times New Roman"/>
        </w:rPr>
      </w:pPr>
    </w:p>
    <w:p w14:paraId="2F1D1F4D" w14:textId="77777777" w:rsidR="003A1D4B" w:rsidRPr="003A1D4B" w:rsidRDefault="003A1D4B">
      <w:pPr>
        <w:rPr>
          <w:rFonts w:ascii="Times New Roman" w:hAnsi="Times New Roman" w:cs="Times New Roman"/>
        </w:rPr>
      </w:pPr>
    </w:p>
    <w:p w14:paraId="360783F2" w14:textId="77777777" w:rsidR="003A1D4B" w:rsidRPr="003A1D4B" w:rsidRDefault="003A1D4B">
      <w:pPr>
        <w:rPr>
          <w:rFonts w:ascii="Times New Roman" w:hAnsi="Times New Roman" w:cs="Times New Roman"/>
        </w:rPr>
      </w:pPr>
    </w:p>
    <w:sectPr w:rsidR="003A1D4B" w:rsidRPr="003A1D4B" w:rsidSect="003A1D4B">
      <w:footerReference w:type="default" r:id="rId10"/>
      <w:pgSz w:w="11894" w:h="16819" w:code="9"/>
      <w:pgMar w:top="1152" w:right="1152" w:bottom="1152" w:left="1152" w:header="0" w:footer="144" w:gutter="0"/>
      <w:cols w:num="2" w:space="34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A53DA5" w14:textId="77777777" w:rsidR="001950FF" w:rsidRDefault="001950FF">
      <w:pPr>
        <w:spacing w:after="0" w:line="240" w:lineRule="auto"/>
      </w:pPr>
      <w:r>
        <w:separator/>
      </w:r>
    </w:p>
  </w:endnote>
  <w:endnote w:type="continuationSeparator" w:id="0">
    <w:p w14:paraId="61A70F0E" w14:textId="77777777" w:rsidR="001950FF" w:rsidRDefault="00195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604020202020204"/>
    <w:charset w:val="00"/>
    <w:family w:val="auto"/>
    <w:pitch w:val="variable"/>
    <w:sig w:usb0="00000000"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cs="Times New Roman"/>
      </w:rPr>
      <w:id w:val="-1739698369"/>
      <w:docPartObj>
        <w:docPartGallery w:val="Page Numbers (Bottom of Page)"/>
        <w:docPartUnique/>
      </w:docPartObj>
    </w:sdtPr>
    <w:sdtEndPr>
      <w:rPr>
        <w:noProof/>
      </w:rPr>
    </w:sdtEndPr>
    <w:sdtContent>
      <w:p w14:paraId="04430B7F" w14:textId="77777777" w:rsidR="00000000" w:rsidRPr="002401E1" w:rsidRDefault="00000000">
        <w:pPr>
          <w:pStyle w:val="Footer"/>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Pr>
            <w:rFonts w:ascii="Times New Roman" w:hAnsi="Times New Roman" w:cs="Times New Roman"/>
            <w:noProof/>
          </w:rPr>
          <w:t>3</w:t>
        </w:r>
        <w:r w:rsidRPr="002401E1">
          <w:rPr>
            <w:rFonts w:ascii="Times New Roman" w:hAnsi="Times New Roman" w:cs="Times New Roman"/>
            <w:noProof/>
          </w:rPr>
          <w:fldChar w:fldCharType="end"/>
        </w:r>
      </w:p>
    </w:sdtContent>
  </w:sdt>
  <w:p w14:paraId="1B1CABDB" w14:textId="77777777" w:rsidR="00000000" w:rsidRDefault="00000000">
    <w:pPr>
      <w:pStyle w:val="Footer"/>
    </w:pPr>
  </w:p>
  <w:p w14:paraId="35F9A42F"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DC129B" w14:textId="77777777" w:rsidR="001950FF" w:rsidRDefault="001950FF">
      <w:r>
        <w:separator/>
      </w:r>
    </w:p>
  </w:footnote>
  <w:footnote w:type="continuationSeparator" w:id="0">
    <w:p w14:paraId="00F0B0A2" w14:textId="77777777" w:rsidR="001950FF" w:rsidRDefault="00195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06288BC0"/>
    <w:lvl w:ilvl="0">
      <w:numFmt w:val="bullet"/>
      <w:lvlText w:val="•"/>
      <w:lvlJc w:val="left"/>
      <w:pPr>
        <w:ind w:left="480" w:hanging="480"/>
      </w:pPr>
    </w:lvl>
    <w:lvl w:ilvl="1">
      <w:numFmt w:val="bullet"/>
      <w:lvlText w:val="–"/>
      <w:lvlJc w:val="left"/>
      <w:pPr>
        <w:ind w:left="1200" w:hanging="480"/>
      </w:pPr>
    </w:lvl>
    <w:lvl w:ilvl="2">
      <w:numFmt w:val="bullet"/>
      <w:lvlText w:val="•"/>
      <w:lvlJc w:val="left"/>
      <w:pPr>
        <w:ind w:left="1920" w:hanging="480"/>
      </w:pPr>
    </w:lvl>
    <w:lvl w:ilvl="3">
      <w:numFmt w:val="bullet"/>
      <w:lvlText w:val="–"/>
      <w:lvlJc w:val="left"/>
      <w:pPr>
        <w:ind w:left="2640" w:hanging="480"/>
      </w:pPr>
    </w:lvl>
    <w:lvl w:ilvl="4">
      <w:numFmt w:val="bullet"/>
      <w:lvlText w:val="•"/>
      <w:lvlJc w:val="left"/>
      <w:pPr>
        <w:ind w:left="3360" w:hanging="480"/>
      </w:pPr>
    </w:lvl>
    <w:lvl w:ilvl="5">
      <w:numFmt w:val="bullet"/>
      <w:lvlText w:val="–"/>
      <w:lvlJc w:val="left"/>
      <w:pPr>
        <w:ind w:left="4080" w:hanging="480"/>
      </w:pPr>
    </w:lvl>
    <w:lvl w:ilvl="6">
      <w:numFmt w:val="bullet"/>
      <w:lvlText w:val="•"/>
      <w:lvlJc w:val="left"/>
      <w:pPr>
        <w:ind w:left="4800" w:hanging="480"/>
      </w:pPr>
    </w:lvl>
    <w:lvl w:ilvl="7">
      <w:numFmt w:val="bullet"/>
      <w:lvlText w:val="–"/>
      <w:lvlJc w:val="left"/>
      <w:pPr>
        <w:ind w:left="5520" w:hanging="480"/>
      </w:pPr>
    </w:lvl>
    <w:lvl w:ilvl="8">
      <w:numFmt w:val="bullet"/>
      <w:lvlText w:val="•"/>
      <w:lvlJc w:val="left"/>
      <w:pPr>
        <w:ind w:left="6240" w:hanging="480"/>
      </w:pPr>
    </w:lvl>
  </w:abstractNum>
  <w:abstractNum w:abstractNumId="1" w15:restartNumberingAfterBreak="0">
    <w:nsid w:val="FFFFFF7C"/>
    <w:multiLevelType w:val="singleLevel"/>
    <w:tmpl w:val="F90E38D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D66FE8C"/>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78A4A12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E9C4A7B0"/>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C6B48442"/>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B42C7CD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7888B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E3C24DC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64F44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5CCD9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F97AB1"/>
    <w:multiLevelType w:val="multilevel"/>
    <w:tmpl w:val="D3F4CD66"/>
    <w:lvl w:ilvl="0">
      <w:start w:val="1"/>
      <w:numFmt w:val="decimal"/>
      <w:pStyle w:val="Heading1"/>
      <w:lvlText w:val="%1"/>
      <w:lvlJc w:val="left"/>
      <w:pPr>
        <w:tabs>
          <w:tab w:val="num" w:pos="397"/>
        </w:tabs>
        <w:ind w:left="397" w:hanging="39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Heading2"/>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2" w15:restartNumberingAfterBreak="0">
    <w:nsid w:val="0C73562A"/>
    <w:multiLevelType w:val="hybridMultilevel"/>
    <w:tmpl w:val="8230E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1E6798"/>
    <w:multiLevelType w:val="hybridMultilevel"/>
    <w:tmpl w:val="1120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6E582D"/>
    <w:multiLevelType w:val="hybridMultilevel"/>
    <w:tmpl w:val="5E18486E"/>
    <w:lvl w:ilvl="0" w:tplc="F90A7C5E">
      <w:start w:val="1"/>
      <w:numFmt w:val="decimal"/>
      <w:pStyle w:val="ACLEnumeratedList"/>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5" w15:restartNumberingAfterBreak="0">
    <w:nsid w:val="2C1AE401"/>
    <w:multiLevelType w:val="multilevel"/>
    <w:tmpl w:val="2884BC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6" w15:restartNumberingAfterBreak="0">
    <w:nsid w:val="37E62335"/>
    <w:multiLevelType w:val="hybridMultilevel"/>
    <w:tmpl w:val="BE369E2A"/>
    <w:lvl w:ilvl="0" w:tplc="341C8F8A">
      <w:start w:val="1"/>
      <w:numFmt w:val="bullet"/>
      <w:pStyle w:val="ACLBulleted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2F4FBE"/>
    <w:multiLevelType w:val="multilevel"/>
    <w:tmpl w:val="15F257CC"/>
    <w:lvl w:ilvl="0">
      <w:start w:val="1"/>
      <w:numFmt w:val="decimal"/>
      <w:isLg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18" w15:restartNumberingAfterBreak="0">
    <w:nsid w:val="488729BD"/>
    <w:multiLevelType w:val="hybridMultilevel"/>
    <w:tmpl w:val="F648AAD4"/>
    <w:lvl w:ilvl="0" w:tplc="04090001">
      <w:start w:val="1"/>
      <w:numFmt w:val="bullet"/>
      <w:lvlText w:val=""/>
      <w:lvlJc w:val="left"/>
      <w:pPr>
        <w:ind w:left="590" w:hanging="360"/>
      </w:pPr>
      <w:rPr>
        <w:rFonts w:ascii="Symbol" w:hAnsi="Symbol"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19" w15:restartNumberingAfterBreak="0">
    <w:nsid w:val="526C30E4"/>
    <w:multiLevelType w:val="multilevel"/>
    <w:tmpl w:val="8D42BCB6"/>
    <w:lvl w:ilvl="0">
      <w:start w:val="1"/>
      <w:numFmt w:val="decimal"/>
      <w:lvlText w:val="%1"/>
      <w:lvlJc w:val="left"/>
      <w:pPr>
        <w:tabs>
          <w:tab w:val="num" w:pos="567"/>
        </w:tabs>
        <w:ind w:left="567" w:hanging="567"/>
      </w:pPr>
      <w:rPr>
        <w:rFonts w:ascii="Times New Roman" w:hAnsi="Times New Roman" w:cs="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val="num" w:pos="567"/>
        </w:tabs>
        <w:ind w:left="567" w:hanging="567"/>
      </w:pPr>
      <w:rPr>
        <w:rFonts w:ascii="Times New Roman" w:hAnsi="Times New Roman" w:cs="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val="num" w:pos="567"/>
        </w:tabs>
        <w:ind w:left="567" w:hanging="567"/>
      </w:pPr>
      <w:rPr>
        <w:rFonts w:ascii="Times New Roman" w:hAnsi="Times New Roman" w:cs="Times New Roman" w:hint="default"/>
        <w:b/>
        <w:i w:val="0"/>
        <w:sz w:val="22"/>
        <w:szCs w:val="22"/>
      </w:rPr>
    </w:lvl>
    <w:lvl w:ilvl="3">
      <w:start w:val="1"/>
      <w:numFmt w:val="none"/>
      <w:lvlText w:val="%1.%2.%3.%4."/>
      <w:lvlJc w:val="left"/>
      <w:pPr>
        <w:tabs>
          <w:tab w:val="num" w:pos="720"/>
        </w:tabs>
        <w:ind w:left="567" w:hanging="567"/>
      </w:pPr>
      <w:rPr>
        <w:rFonts w:ascii="Times New Roman" w:hAnsi="Times New Roman" w:cs="Times New Roman" w:hint="default"/>
        <w:sz w:val="24"/>
        <w:szCs w:val="24"/>
      </w:rPr>
    </w:lvl>
    <w:lvl w:ilvl="4">
      <w:start w:val="1"/>
      <w:numFmt w:val="none"/>
      <w:lvlText w:val="%1.%2.%3.%4.%5."/>
      <w:lvlJc w:val="left"/>
      <w:pPr>
        <w:tabs>
          <w:tab w:val="num" w:pos="1080"/>
        </w:tabs>
        <w:ind w:left="567" w:hanging="567"/>
      </w:pPr>
      <w:rPr>
        <w:rFonts w:ascii="Times New Roman" w:hAnsi="Times New Roman" w:cs="Times New Roman" w:hint="default"/>
        <w:sz w:val="24"/>
        <w:szCs w:val="24"/>
      </w:rPr>
    </w:lvl>
    <w:lvl w:ilvl="5">
      <w:start w:val="1"/>
      <w:numFmt w:val="none"/>
      <w:lvlText w:val="%1.%2.%3.%4.%5.%6."/>
      <w:lvlJc w:val="left"/>
      <w:pPr>
        <w:tabs>
          <w:tab w:val="num" w:pos="1080"/>
        </w:tabs>
        <w:ind w:left="567" w:hanging="567"/>
      </w:pPr>
      <w:rPr>
        <w:rFonts w:ascii="Times New Roman" w:hAnsi="Times New Roman" w:cs="Times New Roman" w:hint="default"/>
        <w:sz w:val="24"/>
        <w:szCs w:val="24"/>
      </w:rPr>
    </w:lvl>
    <w:lvl w:ilvl="6">
      <w:start w:val="1"/>
      <w:numFmt w:val="none"/>
      <w:lvlText w:val="%1.%2.%3.%4.%5.%6.%7."/>
      <w:lvlJc w:val="left"/>
      <w:pPr>
        <w:tabs>
          <w:tab w:val="num" w:pos="1440"/>
        </w:tabs>
        <w:ind w:left="567" w:hanging="567"/>
      </w:pPr>
      <w:rPr>
        <w:rFonts w:ascii="Times New Roman" w:hAnsi="Times New Roman" w:cs="Times New Roman" w:hint="default"/>
        <w:sz w:val="24"/>
        <w:szCs w:val="24"/>
      </w:rPr>
    </w:lvl>
    <w:lvl w:ilvl="7">
      <w:start w:val="1"/>
      <w:numFmt w:val="none"/>
      <w:lvlText w:val="%1.%2.%3.%4.%5.%6.%7.%8."/>
      <w:lvlJc w:val="left"/>
      <w:pPr>
        <w:tabs>
          <w:tab w:val="num" w:pos="1440"/>
        </w:tabs>
        <w:ind w:left="567" w:hanging="567"/>
      </w:pPr>
      <w:rPr>
        <w:rFonts w:ascii="Times New Roman" w:hAnsi="Times New Roman" w:cs="Times New Roman" w:hint="default"/>
        <w:sz w:val="24"/>
        <w:szCs w:val="24"/>
      </w:rPr>
    </w:lvl>
    <w:lvl w:ilvl="8">
      <w:start w:val="1"/>
      <w:numFmt w:val="none"/>
      <w:lvlText w:val="%1.%2.%3.%4.%5.%6.%7.%8.%9."/>
      <w:lvlJc w:val="left"/>
      <w:pPr>
        <w:tabs>
          <w:tab w:val="num" w:pos="1800"/>
        </w:tabs>
        <w:ind w:left="567" w:hanging="567"/>
      </w:pPr>
      <w:rPr>
        <w:rFonts w:ascii="Times New Roman" w:hAnsi="Times New Roman" w:cs="Times New Roman" w:hint="default"/>
        <w:sz w:val="24"/>
        <w:szCs w:val="24"/>
      </w:rPr>
    </w:lvl>
  </w:abstractNum>
  <w:abstractNum w:abstractNumId="20" w15:restartNumberingAfterBreak="0">
    <w:nsid w:val="57DB479E"/>
    <w:multiLevelType w:val="hybridMultilevel"/>
    <w:tmpl w:val="8FF4EE3E"/>
    <w:lvl w:ilvl="0" w:tplc="624449DA">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B3E1FE0"/>
    <w:multiLevelType w:val="hybridMultilevel"/>
    <w:tmpl w:val="2292B8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81D4452"/>
    <w:multiLevelType w:val="multilevel"/>
    <w:tmpl w:val="8FF4EE3E"/>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116290112">
    <w:abstractNumId w:val="16"/>
  </w:num>
  <w:num w:numId="2" w16cid:durableId="1959490044">
    <w:abstractNumId w:val="14"/>
  </w:num>
  <w:num w:numId="3" w16cid:durableId="730424559">
    <w:abstractNumId w:val="11"/>
  </w:num>
  <w:num w:numId="4" w16cid:durableId="244462371">
    <w:abstractNumId w:val="11"/>
  </w:num>
  <w:num w:numId="5" w16cid:durableId="277487439">
    <w:abstractNumId w:val="20"/>
  </w:num>
  <w:num w:numId="6" w16cid:durableId="1812088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7132281">
    <w:abstractNumId w:val="17"/>
  </w:num>
  <w:num w:numId="8" w16cid:durableId="1959754868">
    <w:abstractNumId w:val="11"/>
  </w:num>
  <w:num w:numId="9" w16cid:durableId="567541803">
    <w:abstractNumId w:val="11"/>
  </w:num>
  <w:num w:numId="10" w16cid:durableId="1530023204">
    <w:abstractNumId w:val="12"/>
  </w:num>
  <w:num w:numId="11" w16cid:durableId="1383552050">
    <w:abstractNumId w:val="18"/>
  </w:num>
  <w:num w:numId="12" w16cid:durableId="1422528843">
    <w:abstractNumId w:val="13"/>
  </w:num>
  <w:num w:numId="13" w16cid:durableId="472137480">
    <w:abstractNumId w:val="22"/>
  </w:num>
  <w:num w:numId="14" w16cid:durableId="1484086208">
    <w:abstractNumId w:val="1"/>
  </w:num>
  <w:num w:numId="15" w16cid:durableId="306324702">
    <w:abstractNumId w:val="2"/>
  </w:num>
  <w:num w:numId="16" w16cid:durableId="580480387">
    <w:abstractNumId w:val="3"/>
  </w:num>
  <w:num w:numId="17" w16cid:durableId="345835273">
    <w:abstractNumId w:val="4"/>
  </w:num>
  <w:num w:numId="18" w16cid:durableId="1362970610">
    <w:abstractNumId w:val="9"/>
  </w:num>
  <w:num w:numId="19" w16cid:durableId="611085885">
    <w:abstractNumId w:val="5"/>
  </w:num>
  <w:num w:numId="20" w16cid:durableId="467092445">
    <w:abstractNumId w:val="6"/>
  </w:num>
  <w:num w:numId="21" w16cid:durableId="407271628">
    <w:abstractNumId w:val="7"/>
  </w:num>
  <w:num w:numId="22" w16cid:durableId="1631353269">
    <w:abstractNumId w:val="8"/>
  </w:num>
  <w:num w:numId="23" w16cid:durableId="1155023916">
    <w:abstractNumId w:val="10"/>
  </w:num>
  <w:num w:numId="24" w16cid:durableId="1834447096">
    <w:abstractNumId w:val="15"/>
  </w:num>
  <w:num w:numId="25" w16cid:durableId="1997145646">
    <w:abstractNumId w:val="0"/>
  </w:num>
  <w:num w:numId="26" w16cid:durableId="1994792646">
    <w:abstractNumId w:val="0"/>
  </w:num>
  <w:num w:numId="27" w16cid:durableId="790437164">
    <w:abstractNumId w:val="0"/>
  </w:num>
  <w:num w:numId="28" w16cid:durableId="681132808">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950FF"/>
    <w:rsid w:val="00341846"/>
    <w:rsid w:val="003A1D4B"/>
    <w:rsid w:val="004E29B3"/>
    <w:rsid w:val="00590D07"/>
    <w:rsid w:val="006844F2"/>
    <w:rsid w:val="00751EA7"/>
    <w:rsid w:val="00784D58"/>
    <w:rsid w:val="008D6863"/>
    <w:rsid w:val="00A76430"/>
    <w:rsid w:val="00AA0B7D"/>
    <w:rsid w:val="00AA5186"/>
    <w:rsid w:val="00B86B75"/>
    <w:rsid w:val="00BC48D5"/>
    <w:rsid w:val="00C36279"/>
    <w:rsid w:val="00CA552D"/>
    <w:rsid w:val="00CB18F4"/>
    <w:rsid w:val="00D46BC7"/>
    <w:rsid w:val="00E315A3"/>
    <w:rsid w:val="00F10ADA"/>
  </w:rsids>
  <m:mathPr>
    <m:mathFont m:val="Cambria Math"/>
    <m:brkBin m:val="before"/>
    <m:brkBinSub m:val="--"/>
    <m:smallFrac m:val="0"/>
    <m:dispDef m:val="0"/>
    <m:lMargin m:val="0"/>
    <m:rMargin m:val="0"/>
    <m:defJc m:val="centerGroup"/>
    <m:wrapRight/>
    <m:intLim m:val="subSup"/>
    <m:naryLim m:val="subSup"/>
  </m:mathPr>
  <w:themeFontLang w:val="en-US" w:bidi="mr-IN"/>
  <w:clrSchemeMapping w:bg1="light1" w:t1="dark1" w:bg2="light2" w:t2="dark2" w:accent1="accent1" w:accent2="accent2" w:accent3="accent3" w:accent4="accent4" w:accent5="accent5" w:accent6="accent6" w:hyperlink="hyperlink" w:followedHyperlink="followedHyperlink"/>
  <w:decimalSymbol w:val="."/>
  <w:listSeparator w:val=","/>
  <w14:docId w14:val="0D0487C9"/>
  <w15:docId w15:val="{2F5EA844-7F67-154B-BC86-EBC16C5E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200A2"/>
    <w:pPr>
      <w:keepNext/>
      <w:keepLines/>
      <w:numPr>
        <w:numId w:val="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200A2"/>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LTitle">
    <w:name w:val="ACL Title"/>
    <w:basedOn w:val="Normal"/>
    <w:qFormat/>
    <w:rsid w:val="00992AE6"/>
    <w:pPr>
      <w:framePr w:w="12012" w:h="1416" w:hSpace="180" w:wrap="around" w:vAnchor="text" w:hAnchor="page" w:x="109" w:y="-36"/>
      <w:pBdr>
        <w:top w:val="single" w:sz="6" w:space="1" w:color="auto"/>
        <w:left w:val="single" w:sz="6" w:space="1" w:color="auto"/>
        <w:bottom w:val="single" w:sz="6" w:space="1" w:color="auto"/>
        <w:right w:val="single" w:sz="6" w:space="1" w:color="auto"/>
      </w:pBdr>
      <w:jc w:val="center"/>
    </w:pPr>
    <w:rPr>
      <w:rFonts w:ascii="Times New Roman" w:hAnsi="Times New Roman" w:cs="Times New Roman"/>
      <w:b/>
      <w:sz w:val="30"/>
      <w:szCs w:val="30"/>
    </w:rPr>
  </w:style>
  <w:style w:type="paragraph" w:customStyle="1" w:styleId="ACLAbstractHeading">
    <w:name w:val="ACL Abstract Heading"/>
    <w:basedOn w:val="Normal"/>
    <w:next w:val="Normal"/>
    <w:qFormat/>
    <w:rsid w:val="00992AE6"/>
    <w:pPr>
      <w:spacing w:after="200" w:line="245" w:lineRule="auto"/>
      <w:jc w:val="center"/>
    </w:pPr>
    <w:rPr>
      <w:rFonts w:ascii="Times New Roman" w:eastAsia="MS Mincho" w:hAnsi="Times New Roman" w:cs="Times New Roman"/>
      <w:b/>
      <w:bCs/>
      <w:kern w:val="16"/>
      <w:sz w:val="24"/>
      <w:szCs w:val="24"/>
      <w:lang w:eastAsia="de-DE"/>
    </w:rPr>
  </w:style>
  <w:style w:type="paragraph" w:customStyle="1" w:styleId="ACLText">
    <w:name w:val="ACL Text"/>
    <w:basedOn w:val="Normal"/>
    <w:next w:val="ACLTextFirstLine"/>
    <w:link w:val="ACLTextChar"/>
    <w:qFormat/>
    <w:rsid w:val="006200A2"/>
    <w:pPr>
      <w:spacing w:after="0" w:line="252" w:lineRule="auto"/>
      <w:jc w:val="both"/>
    </w:pPr>
    <w:rPr>
      <w:rFonts w:ascii="Times New Roman" w:eastAsia="Times New Roman" w:hAnsi="Times New Roman" w:cs="Times New Roman"/>
      <w:spacing w:val="-2"/>
      <w:kern w:val="16"/>
      <w:lang w:eastAsia="de-DE"/>
    </w:rPr>
  </w:style>
  <w:style w:type="character" w:customStyle="1" w:styleId="ACLTextChar">
    <w:name w:val="ACL Text Char"/>
    <w:link w:val="ACLText"/>
    <w:rsid w:val="006200A2"/>
    <w:rPr>
      <w:rFonts w:ascii="Times New Roman" w:eastAsia="Times New Roman" w:hAnsi="Times New Roman" w:cs="Times New Roman"/>
      <w:spacing w:val="-2"/>
      <w:kern w:val="16"/>
      <w:lang w:eastAsia="de-DE"/>
    </w:rPr>
  </w:style>
  <w:style w:type="paragraph" w:customStyle="1" w:styleId="ACLAbstractText">
    <w:name w:val="ACL Abstract Text"/>
    <w:basedOn w:val="ACLText"/>
    <w:qFormat/>
    <w:rsid w:val="006200A2"/>
    <w:pPr>
      <w:spacing w:after="240"/>
      <w:ind w:left="403" w:right="589"/>
    </w:pPr>
    <w:rPr>
      <w:rFonts w:eastAsia="MS Mincho"/>
      <w:sz w:val="20"/>
    </w:rPr>
  </w:style>
  <w:style w:type="paragraph" w:customStyle="1" w:styleId="ACLAcknowledgments">
    <w:name w:val="ACL Acknowledgments"/>
    <w:basedOn w:val="Normal"/>
    <w:link w:val="ACLAcknowledgments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AcknowledgmentsChar">
    <w:name w:val="ACL Acknowledgments Char"/>
    <w:link w:val="ACLAcknowledgments"/>
    <w:rsid w:val="006200A2"/>
    <w:rPr>
      <w:rFonts w:ascii="Times New Roman" w:eastAsia="MS Mincho" w:hAnsi="Times New Roman" w:cs="Times New Roman"/>
      <w:b/>
      <w:bCs/>
      <w:kern w:val="16"/>
      <w:sz w:val="24"/>
      <w:szCs w:val="26"/>
      <w:lang w:eastAsia="de-DE"/>
    </w:rPr>
  </w:style>
  <w:style w:type="paragraph" w:customStyle="1" w:styleId="ACLAcknowledgmentsHeader">
    <w:name w:val="ACL Acknowledgments Header"/>
    <w:basedOn w:val="ACLAcknowledgments"/>
    <w:link w:val="ACLAcknowledgmentsHeaderChar"/>
    <w:qFormat/>
    <w:rsid w:val="006200A2"/>
  </w:style>
  <w:style w:type="character" w:customStyle="1" w:styleId="ACLAcknowledgmentsHeaderChar">
    <w:name w:val="ACL Acknowledgments Header Char"/>
    <w:link w:val="ACLAcknowledgmentsHeader"/>
    <w:rsid w:val="006200A2"/>
    <w:rPr>
      <w:rFonts w:ascii="Times New Roman" w:eastAsia="MS Mincho" w:hAnsi="Times New Roman" w:cs="Times New Roman"/>
      <w:b/>
      <w:bCs/>
      <w:kern w:val="16"/>
      <w:sz w:val="24"/>
      <w:szCs w:val="26"/>
      <w:lang w:eastAsia="de-DE"/>
    </w:rPr>
  </w:style>
  <w:style w:type="paragraph" w:customStyle="1" w:styleId="ACLAddress">
    <w:name w:val="ACL Address"/>
    <w:basedOn w:val="Normal"/>
    <w:qFormat/>
    <w:rsid w:val="006200A2"/>
    <w:pPr>
      <w:spacing w:after="0" w:line="240" w:lineRule="auto"/>
      <w:jc w:val="center"/>
    </w:pPr>
    <w:rPr>
      <w:rFonts w:ascii="Times New Roman" w:eastAsia="MS Mincho" w:hAnsi="Times New Roman" w:cs="Times New Roman"/>
      <w:sz w:val="24"/>
      <w:szCs w:val="20"/>
      <w:lang w:eastAsia="de-DE"/>
    </w:rPr>
  </w:style>
  <w:style w:type="paragraph" w:styleId="NoSpacing">
    <w:name w:val="No Spacing"/>
    <w:uiPriority w:val="1"/>
    <w:qFormat/>
    <w:rsid w:val="004F6729"/>
    <w:pPr>
      <w:spacing w:after="0" w:line="240" w:lineRule="auto"/>
    </w:pPr>
  </w:style>
  <w:style w:type="paragraph" w:customStyle="1" w:styleId="ACLReferencesText">
    <w:name w:val="ACL References Text"/>
    <w:basedOn w:val="Normal"/>
    <w:link w:val="ACLReferencesTextChar"/>
    <w:qFormat/>
    <w:rsid w:val="006200A2"/>
    <w:pPr>
      <w:spacing w:after="120" w:line="245" w:lineRule="auto"/>
      <w:ind w:left="230" w:hanging="230"/>
      <w:jc w:val="both"/>
    </w:pPr>
    <w:rPr>
      <w:rFonts w:ascii="Times New Roman" w:eastAsia="MS Mincho" w:hAnsi="Times New Roman" w:cs="Times New Roman"/>
      <w:kern w:val="16"/>
      <w:sz w:val="20"/>
      <w:szCs w:val="20"/>
      <w:lang w:eastAsia="de-DE"/>
    </w:rPr>
  </w:style>
  <w:style w:type="character" w:customStyle="1" w:styleId="ACLReferencesTextChar">
    <w:name w:val="ACL References Text Char"/>
    <w:link w:val="ACLReferencesText"/>
    <w:rsid w:val="006200A2"/>
    <w:rPr>
      <w:rFonts w:ascii="Times New Roman" w:eastAsia="MS Mincho" w:hAnsi="Times New Roman" w:cs="Times New Roman"/>
      <w:kern w:val="16"/>
      <w:sz w:val="20"/>
      <w:szCs w:val="20"/>
      <w:lang w:eastAsia="de-DE"/>
    </w:rPr>
  </w:style>
  <w:style w:type="paragraph" w:customStyle="1" w:styleId="ACLBookJournaltitle">
    <w:name w:val="ACL Book/Journal title"/>
    <w:basedOn w:val="ACLReferencesText"/>
    <w:qFormat/>
    <w:rsid w:val="006200A2"/>
    <w:rPr>
      <w:i/>
    </w:rPr>
  </w:style>
  <w:style w:type="paragraph" w:customStyle="1" w:styleId="ACLBulletedList">
    <w:name w:val="ACL Bulleted List"/>
    <w:basedOn w:val="Normal"/>
    <w:link w:val="ACLBulletedListChar"/>
    <w:qFormat/>
    <w:rsid w:val="00AF763D"/>
    <w:pPr>
      <w:numPr>
        <w:numId w:val="1"/>
      </w:numPr>
      <w:tabs>
        <w:tab w:val="left" w:pos="450"/>
      </w:tabs>
      <w:spacing w:before="200" w:after="200" w:line="245" w:lineRule="auto"/>
      <w:jc w:val="both"/>
    </w:pPr>
    <w:rPr>
      <w:rFonts w:ascii="Times New Roman" w:eastAsia="MS Mincho" w:hAnsi="Times New Roman" w:cs="Times New Roman"/>
      <w:kern w:val="16"/>
      <w:szCs w:val="20"/>
      <w:lang w:eastAsia="de-DE"/>
    </w:rPr>
  </w:style>
  <w:style w:type="character" w:customStyle="1" w:styleId="ACLBulletedListChar">
    <w:name w:val="ACL Bulleted List Char"/>
    <w:link w:val="ACLBulletedList"/>
    <w:rsid w:val="00AF763D"/>
    <w:rPr>
      <w:rFonts w:ascii="Times New Roman" w:eastAsia="MS Mincho" w:hAnsi="Times New Roman" w:cs="Times New Roman"/>
      <w:kern w:val="16"/>
      <w:szCs w:val="20"/>
      <w:lang w:eastAsia="de-DE"/>
    </w:rPr>
  </w:style>
  <w:style w:type="paragraph" w:customStyle="1" w:styleId="ACLCaption">
    <w:name w:val="ACL Caption"/>
    <w:basedOn w:val="Normal"/>
    <w:link w:val="ACLCaptionChar"/>
    <w:qFormat/>
    <w:rsid w:val="009A6463"/>
    <w:pPr>
      <w:framePr w:hSpace="187" w:wrap="around" w:hAnchor="text" w:xAlign="center" w:y="1"/>
      <w:spacing w:before="80" w:after="0" w:line="240" w:lineRule="auto"/>
      <w:suppressOverlap/>
      <w:jc w:val="center"/>
    </w:pPr>
    <w:rPr>
      <w:rFonts w:ascii="Times New Roman" w:eastAsia="Times New Roman" w:hAnsi="Times New Roman" w:cs="Times New Roman"/>
      <w:sz w:val="20"/>
      <w:szCs w:val="20"/>
      <w:lang w:eastAsia="de-DE"/>
    </w:rPr>
  </w:style>
  <w:style w:type="character" w:customStyle="1" w:styleId="ACLCaptionChar">
    <w:name w:val="ACL Caption Char"/>
    <w:link w:val="ACLCaption"/>
    <w:rsid w:val="009A6463"/>
    <w:rPr>
      <w:rFonts w:ascii="Times New Roman" w:eastAsia="Times New Roman" w:hAnsi="Times New Roman" w:cs="Times New Roman"/>
      <w:sz w:val="20"/>
      <w:szCs w:val="20"/>
      <w:lang w:eastAsia="de-DE"/>
    </w:rPr>
  </w:style>
  <w:style w:type="paragraph" w:customStyle="1" w:styleId="ACLTextFirstLine">
    <w:name w:val="ACL Text First Line"/>
    <w:basedOn w:val="ACLText"/>
    <w:link w:val="ACLTextFirstLineChar"/>
    <w:qFormat/>
    <w:rsid w:val="006200A2"/>
    <w:pPr>
      <w:ind w:firstLine="230"/>
    </w:pPr>
  </w:style>
  <w:style w:type="paragraph" w:customStyle="1" w:styleId="ACLCode">
    <w:name w:val="ACL Code"/>
    <w:basedOn w:val="ACLTextFirstLine"/>
    <w:link w:val="ACLCodeChar"/>
    <w:qFormat/>
    <w:rsid w:val="006200A2"/>
    <w:rPr>
      <w:rFonts w:ascii="Courier New" w:hAnsi="Courier New"/>
      <w:sz w:val="20"/>
    </w:rPr>
  </w:style>
  <w:style w:type="paragraph" w:customStyle="1" w:styleId="ACLEmail">
    <w:name w:val="ACL Email"/>
    <w:basedOn w:val="Normal"/>
    <w:qFormat/>
    <w:rsid w:val="006200A2"/>
    <w:pPr>
      <w:spacing w:before="60" w:after="60" w:line="240" w:lineRule="auto"/>
      <w:jc w:val="center"/>
    </w:pPr>
    <w:rPr>
      <w:rFonts w:ascii="Courier New" w:eastAsia="Times New Roman" w:hAnsi="Courier New" w:cs="Times New Roman"/>
      <w:color w:val="0D0D0D"/>
      <w:sz w:val="20"/>
      <w:szCs w:val="20"/>
      <w:lang w:eastAsia="de-DE"/>
    </w:rPr>
  </w:style>
  <w:style w:type="paragraph" w:customStyle="1" w:styleId="ACLEnumeratedList">
    <w:name w:val="ACL Enumerated List"/>
    <w:basedOn w:val="Normal"/>
    <w:link w:val="ACLEnumeratedListChar"/>
    <w:qFormat/>
    <w:rsid w:val="006200A2"/>
    <w:pPr>
      <w:numPr>
        <w:numId w:val="2"/>
      </w:numPr>
      <w:spacing w:after="200" w:line="245" w:lineRule="auto"/>
      <w:jc w:val="both"/>
    </w:pPr>
    <w:rPr>
      <w:rFonts w:ascii="Times New Roman" w:eastAsia="MS Mincho" w:hAnsi="Times New Roman" w:cs="Times New Roman"/>
      <w:kern w:val="16"/>
      <w:lang w:eastAsia="tr-TR"/>
    </w:rPr>
  </w:style>
  <w:style w:type="character" w:customStyle="1" w:styleId="ACLEnumeratedListChar">
    <w:name w:val="ACL Enumerated List Char"/>
    <w:link w:val="ACLEnumeratedList"/>
    <w:rsid w:val="006200A2"/>
    <w:rPr>
      <w:rFonts w:ascii="Times New Roman" w:eastAsia="MS Mincho" w:hAnsi="Times New Roman" w:cs="Times New Roman"/>
      <w:kern w:val="16"/>
      <w:lang w:eastAsia="tr-TR"/>
    </w:rPr>
  </w:style>
  <w:style w:type="paragraph" w:customStyle="1" w:styleId="ACLEquationLine">
    <w:name w:val="ACL EquationLine"/>
    <w:basedOn w:val="Normal"/>
    <w:qFormat/>
    <w:rsid w:val="006200A2"/>
    <w:pPr>
      <w:tabs>
        <w:tab w:val="center" w:pos="2340"/>
        <w:tab w:val="right" w:pos="4500"/>
      </w:tabs>
      <w:spacing w:before="120" w:after="120" w:line="240" w:lineRule="auto"/>
      <w:jc w:val="center"/>
    </w:pPr>
    <w:rPr>
      <w:rFonts w:ascii="Times New Roman" w:eastAsia="Times New Roman" w:hAnsi="Times New Roman" w:cs="Times New Roman"/>
      <w:bCs/>
      <w:sz w:val="20"/>
      <w:szCs w:val="20"/>
      <w:lang w:eastAsia="de-DE"/>
    </w:rPr>
  </w:style>
  <w:style w:type="character" w:styleId="LineNumber">
    <w:name w:val="line number"/>
    <w:basedOn w:val="DefaultParagraphFont"/>
    <w:uiPriority w:val="99"/>
    <w:unhideWhenUsed/>
    <w:rsid w:val="007E6C4F"/>
    <w:rPr>
      <w:rFonts w:ascii="Arial" w:hAnsi="Arial"/>
      <w:b/>
      <w:color w:val="7F7F7F" w:themeColor="text1" w:themeTint="80"/>
      <w:sz w:val="11"/>
    </w:rPr>
  </w:style>
  <w:style w:type="paragraph" w:customStyle="1" w:styleId="ACLCaptionLong">
    <w:name w:val="ACL Caption Long"/>
    <w:basedOn w:val="ACLCaption"/>
    <w:qFormat/>
    <w:rsid w:val="00A6714C"/>
    <w:pPr>
      <w:framePr w:wrap="around"/>
      <w:jc w:val="left"/>
    </w:pPr>
    <w:rPr>
      <w:rFonts w:eastAsia="MS Mincho"/>
    </w:rPr>
  </w:style>
  <w:style w:type="character" w:customStyle="1" w:styleId="ACLFootnoteReference">
    <w:name w:val="ACL Footnote Reference"/>
    <w:qFormat/>
    <w:rsid w:val="006200A2"/>
    <w:rPr>
      <w:kern w:val="16"/>
      <w:vertAlign w:val="superscript"/>
    </w:rPr>
  </w:style>
  <w:style w:type="paragraph" w:customStyle="1" w:styleId="ACLFootnoteText">
    <w:name w:val="ACL Footnote Text"/>
    <w:basedOn w:val="Normal"/>
    <w:qFormat/>
    <w:rsid w:val="006200A2"/>
    <w:pPr>
      <w:spacing w:after="0" w:line="240" w:lineRule="auto"/>
    </w:pPr>
    <w:rPr>
      <w:rFonts w:ascii="Times New Roman" w:eastAsia="Times New Roman" w:hAnsi="Times New Roman" w:cs="Times New Roman"/>
      <w:sz w:val="18"/>
      <w:szCs w:val="20"/>
      <w:lang w:eastAsia="de-DE"/>
    </w:rPr>
  </w:style>
  <w:style w:type="paragraph" w:customStyle="1" w:styleId="ACLHyperlink">
    <w:name w:val="ACL Hyperlink"/>
    <w:basedOn w:val="ACLText"/>
    <w:link w:val="ACLHyperlinkChar"/>
    <w:qFormat/>
    <w:rsid w:val="006200A2"/>
    <w:rPr>
      <w:color w:val="000090"/>
    </w:rPr>
  </w:style>
  <w:style w:type="character" w:customStyle="1" w:styleId="ACLHyperlinkChar">
    <w:name w:val="ACL Hyperlink Char"/>
    <w:basedOn w:val="ACLTextChar"/>
    <w:link w:val="ACLHyperlink"/>
    <w:rsid w:val="006200A2"/>
    <w:rPr>
      <w:rFonts w:ascii="Times New Roman" w:eastAsia="Times New Roman" w:hAnsi="Times New Roman" w:cs="Times New Roman"/>
      <w:color w:val="000090"/>
      <w:spacing w:val="-2"/>
      <w:kern w:val="16"/>
      <w:lang w:eastAsia="de-DE"/>
    </w:rPr>
  </w:style>
  <w:style w:type="paragraph" w:customStyle="1" w:styleId="ACLIndent">
    <w:name w:val="ACL Indent"/>
    <w:basedOn w:val="ACLText"/>
    <w:qFormat/>
    <w:rsid w:val="006200A2"/>
    <w:pPr>
      <w:ind w:firstLine="230"/>
    </w:pPr>
  </w:style>
  <w:style w:type="paragraph" w:customStyle="1" w:styleId="ACLReferencesHeader">
    <w:name w:val="ACL References Header"/>
    <w:basedOn w:val="Normal"/>
    <w:link w:val="ACLReferencesHeaderChar"/>
    <w:qFormat/>
    <w:rsid w:val="006200A2"/>
    <w:pPr>
      <w:keepNext/>
      <w:spacing w:before="180" w:after="120" w:line="240" w:lineRule="auto"/>
      <w:jc w:val="both"/>
      <w:outlineLvl w:val="0"/>
    </w:pPr>
    <w:rPr>
      <w:rFonts w:ascii="Times New Roman" w:eastAsia="MS Mincho" w:hAnsi="Times New Roman" w:cs="Times New Roman"/>
      <w:b/>
      <w:bCs/>
      <w:kern w:val="16"/>
      <w:sz w:val="24"/>
      <w:szCs w:val="26"/>
      <w:lang w:eastAsia="de-DE"/>
    </w:rPr>
  </w:style>
  <w:style w:type="character" w:customStyle="1" w:styleId="ACLReferencesHeaderChar">
    <w:name w:val="ACL References Header Char"/>
    <w:link w:val="ACLReferencesHeader"/>
    <w:rsid w:val="006200A2"/>
    <w:rPr>
      <w:rFonts w:ascii="Times New Roman" w:eastAsia="MS Mincho" w:hAnsi="Times New Roman" w:cs="Times New Roman"/>
      <w:b/>
      <w:bCs/>
      <w:kern w:val="16"/>
      <w:sz w:val="24"/>
      <w:szCs w:val="26"/>
      <w:lang w:eastAsia="de-DE"/>
    </w:rPr>
  </w:style>
  <w:style w:type="paragraph" w:customStyle="1" w:styleId="ACLRulerLeft">
    <w:name w:val="ACL Ruler Left"/>
    <w:basedOn w:val="Normal"/>
    <w:qFormat/>
    <w:rsid w:val="006200A2"/>
    <w:pPr>
      <w:spacing w:after="90" w:line="252" w:lineRule="auto"/>
      <w:ind w:left="144"/>
    </w:pPr>
    <w:rPr>
      <w:rFonts w:ascii="Arial Bold" w:eastAsia="Times New Roman" w:hAnsi="Arial Bold" w:cs="Arial"/>
      <w:b/>
      <w:bCs/>
      <w:color w:val="808080" w:themeColor="background1" w:themeShade="80"/>
      <w:sz w:val="16"/>
      <w:szCs w:val="16"/>
      <w:lang w:eastAsia="de-DE"/>
    </w:rPr>
  </w:style>
  <w:style w:type="paragraph" w:customStyle="1" w:styleId="ACLRulerRight">
    <w:name w:val="ACL Ruler Right"/>
    <w:basedOn w:val="ACLRulerLeft"/>
    <w:qFormat/>
    <w:rsid w:val="006200A2"/>
    <w:pPr>
      <w:ind w:left="0" w:right="144"/>
      <w:jc w:val="right"/>
    </w:pPr>
  </w:style>
  <w:style w:type="paragraph" w:customStyle="1" w:styleId="ACLSection">
    <w:name w:val="ACL Section"/>
    <w:basedOn w:val="Heading1"/>
    <w:next w:val="ACLText"/>
    <w:link w:val="ACLSectionChar"/>
    <w:qFormat/>
    <w:rsid w:val="006200A2"/>
    <w:pPr>
      <w:keepLines w:val="0"/>
      <w:spacing w:after="180" w:line="240" w:lineRule="auto"/>
      <w:jc w:val="both"/>
    </w:pPr>
    <w:rPr>
      <w:rFonts w:ascii="Times New Roman" w:eastAsia="Times New Roman" w:hAnsi="Times New Roman" w:cs="Times New Roman"/>
      <w:b/>
      <w:color w:val="auto"/>
      <w:sz w:val="24"/>
      <w:szCs w:val="20"/>
      <w:lang w:eastAsia="de-DE"/>
    </w:rPr>
  </w:style>
  <w:style w:type="character" w:customStyle="1" w:styleId="ACLSectionChar">
    <w:name w:val="ACL Section Char"/>
    <w:link w:val="ACLSection"/>
    <w:rsid w:val="006200A2"/>
    <w:rPr>
      <w:rFonts w:ascii="Times New Roman" w:eastAsia="Times New Roman" w:hAnsi="Times New Roman" w:cs="Times New Roman"/>
      <w:b/>
      <w:sz w:val="24"/>
      <w:szCs w:val="20"/>
      <w:lang w:eastAsia="de-DE"/>
    </w:rPr>
  </w:style>
  <w:style w:type="character" w:customStyle="1" w:styleId="Heading1Char">
    <w:name w:val="Heading 1 Char"/>
    <w:basedOn w:val="DefaultParagraphFont"/>
    <w:link w:val="Heading1"/>
    <w:uiPriority w:val="9"/>
    <w:rsid w:val="006200A2"/>
    <w:rPr>
      <w:rFonts w:asciiTheme="majorHAnsi" w:eastAsiaTheme="majorEastAsia" w:hAnsiTheme="majorHAnsi" w:cstheme="majorBidi"/>
      <w:color w:val="2F5496" w:themeColor="accent1" w:themeShade="BF"/>
      <w:sz w:val="32"/>
      <w:szCs w:val="32"/>
    </w:rPr>
  </w:style>
  <w:style w:type="paragraph" w:customStyle="1" w:styleId="ACLSubmissionConfidentialityHeader">
    <w:name w:val="ACL Submission Confidentiality Header"/>
    <w:basedOn w:val="Normal"/>
    <w:link w:val="ACLSubmissionConfidentialityHeaderChar"/>
    <w:qFormat/>
    <w:rsid w:val="00D7629C"/>
    <w:pPr>
      <w:spacing w:after="0" w:line="240" w:lineRule="auto"/>
      <w:jc w:val="center"/>
    </w:pPr>
    <w:rPr>
      <w:rFonts w:ascii="Arial" w:eastAsia="Times New Roman" w:hAnsi="Arial" w:cs="Arial"/>
      <w:b/>
      <w:spacing w:val="-2"/>
      <w:kern w:val="16"/>
      <w:sz w:val="18"/>
      <w:szCs w:val="20"/>
      <w:lang w:eastAsia="de-DE"/>
    </w:rPr>
  </w:style>
  <w:style w:type="character" w:customStyle="1" w:styleId="ACLSubmissionConfidentialityHeaderChar">
    <w:name w:val="ACL Submission Confidentiality Header Char"/>
    <w:link w:val="ACLSubmissionConfidentialityHeader"/>
    <w:rsid w:val="00D7629C"/>
    <w:rPr>
      <w:rFonts w:ascii="Arial" w:eastAsia="Times New Roman" w:hAnsi="Arial" w:cs="Arial"/>
      <w:b/>
      <w:spacing w:val="-2"/>
      <w:kern w:val="16"/>
      <w:sz w:val="18"/>
      <w:szCs w:val="20"/>
      <w:lang w:eastAsia="de-DE"/>
    </w:rPr>
  </w:style>
  <w:style w:type="paragraph" w:customStyle="1" w:styleId="ACLSubmissionPageNumbering">
    <w:name w:val="ACL Submission Page Numbering"/>
    <w:basedOn w:val="Normal"/>
    <w:link w:val="ACLSubmissionPageNumberingChar"/>
    <w:qFormat/>
    <w:rsid w:val="006200A2"/>
    <w:pPr>
      <w:spacing w:after="0" w:line="240" w:lineRule="auto"/>
      <w:jc w:val="center"/>
    </w:pPr>
    <w:rPr>
      <w:rFonts w:ascii="Times New Roman" w:eastAsia="Times New Roman" w:hAnsi="Times New Roman" w:cs="Times New Roman"/>
      <w:szCs w:val="20"/>
      <w:lang w:eastAsia="de-DE"/>
    </w:rPr>
  </w:style>
  <w:style w:type="character" w:customStyle="1" w:styleId="ACLSubmissionPageNumberingChar">
    <w:name w:val="ACL Submission Page Numbering Char"/>
    <w:link w:val="ACLSubmissionPageNumbering"/>
    <w:rsid w:val="006200A2"/>
    <w:rPr>
      <w:rFonts w:ascii="Times New Roman" w:eastAsia="Times New Roman" w:hAnsi="Times New Roman" w:cs="Times New Roman"/>
      <w:szCs w:val="20"/>
      <w:lang w:eastAsia="de-DE"/>
    </w:rPr>
  </w:style>
  <w:style w:type="paragraph" w:customStyle="1" w:styleId="ACLSubmissionRuler">
    <w:name w:val="ACL Submission Ruler"/>
    <w:basedOn w:val="Normal"/>
    <w:autoRedefine/>
    <w:qFormat/>
    <w:rsid w:val="006200A2"/>
    <w:pPr>
      <w:framePr w:hSpace="187" w:wrap="around" w:vAnchor="page" w:hAnchor="page" w:x="1441" w:y="577"/>
      <w:spacing w:before="240" w:after="240" w:line="240" w:lineRule="auto"/>
      <w:suppressOverlap/>
      <w:jc w:val="center"/>
    </w:pPr>
    <w:rPr>
      <w:rFonts w:ascii="Times New Roman" w:eastAsia="MS Mincho" w:hAnsi="Times New Roman" w:cs="Times New Roman"/>
      <w:b/>
      <w:noProof/>
      <w:color w:val="7B7B7B" w:themeColor="accent3" w:themeShade="BF"/>
      <w:sz w:val="24"/>
      <w:szCs w:val="26"/>
      <w:lang w:eastAsia="de-DE"/>
    </w:rPr>
  </w:style>
  <w:style w:type="paragraph" w:customStyle="1" w:styleId="ACLSubsection">
    <w:name w:val="ACL Subsection"/>
    <w:basedOn w:val="Heading2"/>
    <w:next w:val="ACLText"/>
    <w:link w:val="ACLSubsectionChar"/>
    <w:qFormat/>
    <w:rsid w:val="006200A2"/>
    <w:pPr>
      <w:keepLines w:val="0"/>
      <w:spacing w:before="180" w:after="120" w:line="240" w:lineRule="auto"/>
      <w:ind w:left="562" w:hanging="562"/>
      <w:jc w:val="both"/>
    </w:pPr>
    <w:rPr>
      <w:rFonts w:ascii="Times New Roman" w:eastAsia="Times New Roman" w:hAnsi="Times New Roman" w:cs="Times New Roman"/>
      <w:b/>
      <w:color w:val="auto"/>
      <w:sz w:val="22"/>
      <w:szCs w:val="22"/>
      <w:lang w:eastAsia="de-DE"/>
    </w:rPr>
  </w:style>
  <w:style w:type="character" w:customStyle="1" w:styleId="ACLSubsectionChar">
    <w:name w:val="ACL Subsection Char"/>
    <w:link w:val="ACLSubsection"/>
    <w:rsid w:val="006200A2"/>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6200A2"/>
    <w:rPr>
      <w:rFonts w:asciiTheme="majorHAnsi" w:eastAsiaTheme="majorEastAsia" w:hAnsiTheme="majorHAnsi" w:cstheme="majorBidi"/>
      <w:color w:val="2F5496" w:themeColor="accent1" w:themeShade="BF"/>
      <w:sz w:val="26"/>
      <w:szCs w:val="26"/>
    </w:rPr>
  </w:style>
  <w:style w:type="character" w:customStyle="1" w:styleId="ACLURLHyperlinkChar">
    <w:name w:val="ACL URL Hyperlink Char"/>
    <w:basedOn w:val="ACLCodeChar"/>
    <w:link w:val="ACLURLHyperlink"/>
    <w:rsid w:val="00726D45"/>
    <w:rPr>
      <w:rFonts w:ascii="Courier New" w:eastAsia="Times New Roman" w:hAnsi="Courier New" w:cs="Times New Roman"/>
      <w:color w:val="000090"/>
      <w:spacing w:val="-5"/>
      <w:kern w:val="16"/>
      <w:sz w:val="20"/>
      <w:szCs w:val="20"/>
      <w:lang w:eastAsia="de-DE"/>
    </w:rPr>
  </w:style>
  <w:style w:type="paragraph" w:customStyle="1" w:styleId="ACLURLHyperlink">
    <w:name w:val="ACL URL Hyperlink"/>
    <w:basedOn w:val="ACLCode"/>
    <w:next w:val="Normal"/>
    <w:link w:val="ACLURLHyperlinkChar"/>
    <w:qFormat/>
    <w:rsid w:val="006200A2"/>
    <w:pPr>
      <w:ind w:firstLine="0"/>
    </w:pPr>
    <w:rPr>
      <w:color w:val="000090"/>
      <w:spacing w:val="-5"/>
      <w:szCs w:val="20"/>
    </w:rPr>
  </w:style>
  <w:style w:type="paragraph" w:styleId="Header">
    <w:name w:val="header"/>
    <w:basedOn w:val="Normal"/>
    <w:link w:val="HeaderChar"/>
    <w:uiPriority w:val="99"/>
    <w:unhideWhenUsed/>
    <w:rsid w:val="00D762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29C"/>
  </w:style>
  <w:style w:type="paragraph" w:styleId="Footer">
    <w:name w:val="footer"/>
    <w:basedOn w:val="Normal"/>
    <w:link w:val="FooterChar"/>
    <w:uiPriority w:val="99"/>
    <w:unhideWhenUsed/>
    <w:rsid w:val="00D762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29C"/>
  </w:style>
  <w:style w:type="character" w:styleId="FootnoteReference">
    <w:name w:val="footnote reference"/>
    <w:semiHidden/>
    <w:rsid w:val="00490093"/>
    <w:rPr>
      <w:vertAlign w:val="superscript"/>
    </w:rPr>
  </w:style>
  <w:style w:type="character" w:styleId="Hyperlink">
    <w:name w:val="Hyperlink"/>
    <w:basedOn w:val="ACLHyperlinkChar"/>
    <w:qFormat/>
    <w:rsid w:val="00490093"/>
    <w:rPr>
      <w:rFonts w:ascii="Times New Roman" w:eastAsia="Times New Roman" w:hAnsi="Times New Roman" w:cs="Times New Roman"/>
      <w:color w:val="000090"/>
      <w:spacing w:val="-2"/>
      <w:kern w:val="16"/>
      <w:lang w:eastAsia="de-DE"/>
    </w:rPr>
  </w:style>
  <w:style w:type="paragraph" w:styleId="Caption">
    <w:name w:val="caption"/>
    <w:basedOn w:val="ACLCaption"/>
    <w:next w:val="ACLText"/>
    <w:qFormat/>
    <w:rsid w:val="00490093"/>
    <w:pPr>
      <w:framePr w:wrap="around"/>
      <w:spacing w:before="200" w:after="200" w:line="252" w:lineRule="auto"/>
    </w:pPr>
    <w:rPr>
      <w:bCs/>
      <w:color w:val="000000" w:themeColor="text1"/>
      <w:szCs w:val="18"/>
    </w:rPr>
  </w:style>
  <w:style w:type="character" w:styleId="FollowedHyperlink">
    <w:name w:val="FollowedHyperlink"/>
    <w:basedOn w:val="DefaultParagraphFont"/>
    <w:uiPriority w:val="99"/>
    <w:semiHidden/>
    <w:unhideWhenUsed/>
    <w:rsid w:val="00490093"/>
    <w:rPr>
      <w:color w:val="954F72" w:themeColor="followedHyperlink"/>
      <w:u w:val="single"/>
    </w:rPr>
  </w:style>
  <w:style w:type="character" w:customStyle="1" w:styleId="UnresolvedMention1">
    <w:name w:val="Unresolved Mention1"/>
    <w:basedOn w:val="DefaultParagraphFont"/>
    <w:uiPriority w:val="99"/>
    <w:semiHidden/>
    <w:unhideWhenUsed/>
    <w:rsid w:val="00490093"/>
    <w:rPr>
      <w:color w:val="808080"/>
      <w:shd w:val="clear" w:color="auto" w:fill="E6E6E6"/>
    </w:rPr>
  </w:style>
  <w:style w:type="table" w:styleId="TableGrid">
    <w:name w:val="Table Grid"/>
    <w:basedOn w:val="TableNormal"/>
    <w:uiPriority w:val="39"/>
    <w:rsid w:val="00D41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8B2D46"/>
    <w:pPr>
      <w:spacing w:line="240" w:lineRule="auto"/>
    </w:pPr>
    <w:rPr>
      <w:sz w:val="20"/>
      <w:szCs w:val="20"/>
    </w:rPr>
  </w:style>
  <w:style w:type="character" w:customStyle="1" w:styleId="CommentTextChar">
    <w:name w:val="Comment Text Char"/>
    <w:basedOn w:val="DefaultParagraphFont"/>
    <w:link w:val="CommentText"/>
    <w:uiPriority w:val="99"/>
    <w:semiHidden/>
    <w:rsid w:val="008B2D46"/>
    <w:rPr>
      <w:sz w:val="20"/>
      <w:szCs w:val="20"/>
    </w:rPr>
  </w:style>
  <w:style w:type="paragraph" w:styleId="CommentSubject">
    <w:name w:val="annotation subject"/>
    <w:basedOn w:val="CommentText"/>
    <w:next w:val="CommentText"/>
    <w:link w:val="CommentSubjectChar"/>
    <w:uiPriority w:val="99"/>
    <w:semiHidden/>
    <w:unhideWhenUsed/>
    <w:rsid w:val="008B2D46"/>
    <w:pPr>
      <w:spacing w:after="0"/>
    </w:pPr>
    <w:rPr>
      <w:rFonts w:ascii="Times New Roman" w:eastAsia="Times New Roman" w:hAnsi="Times New Roman" w:cs="Times New Roman"/>
      <w:b/>
      <w:bCs/>
      <w:sz w:val="22"/>
      <w:lang w:eastAsia="de-DE"/>
    </w:rPr>
  </w:style>
  <w:style w:type="character" w:customStyle="1" w:styleId="CommentSubjectChar">
    <w:name w:val="Comment Subject Char"/>
    <w:basedOn w:val="CommentTextChar"/>
    <w:link w:val="CommentSubject"/>
    <w:uiPriority w:val="99"/>
    <w:semiHidden/>
    <w:rsid w:val="008B2D46"/>
    <w:rPr>
      <w:rFonts w:ascii="Times New Roman" w:eastAsia="Times New Roman" w:hAnsi="Times New Roman" w:cs="Times New Roman"/>
      <w:b/>
      <w:bCs/>
      <w:sz w:val="20"/>
      <w:szCs w:val="20"/>
      <w:lang w:eastAsia="de-DE"/>
    </w:rPr>
  </w:style>
  <w:style w:type="character" w:customStyle="1" w:styleId="gi">
    <w:name w:val="gi"/>
    <w:basedOn w:val="DefaultParagraphFont"/>
    <w:rsid w:val="00A45C6C"/>
  </w:style>
  <w:style w:type="character" w:customStyle="1" w:styleId="UnresolvedMention2">
    <w:name w:val="Unresolved Mention2"/>
    <w:basedOn w:val="DefaultParagraphFont"/>
    <w:uiPriority w:val="99"/>
    <w:semiHidden/>
    <w:unhideWhenUsed/>
    <w:rsid w:val="006A4029"/>
    <w:rPr>
      <w:color w:val="808080"/>
      <w:shd w:val="clear" w:color="auto" w:fill="E6E6E6"/>
    </w:rPr>
  </w:style>
  <w:style w:type="paragraph" w:styleId="BalloonText">
    <w:name w:val="Balloon Text"/>
    <w:basedOn w:val="Normal"/>
    <w:link w:val="BalloonTextChar"/>
    <w:uiPriority w:val="99"/>
    <w:semiHidden/>
    <w:unhideWhenUsed/>
    <w:rsid w:val="0087257A"/>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87257A"/>
    <w:rPr>
      <w:rFonts w:ascii="SimSun" w:eastAsia="SimSun"/>
      <w:sz w:val="18"/>
      <w:szCs w:val="18"/>
    </w:rPr>
  </w:style>
  <w:style w:type="character" w:customStyle="1" w:styleId="ACLTextFirstLineChar">
    <w:name w:val="ACL Text First Line Char"/>
    <w:basedOn w:val="ACLTextChar"/>
    <w:link w:val="ACLTextFirstLine"/>
    <w:rsid w:val="002C4AAA"/>
    <w:rPr>
      <w:rFonts w:ascii="Times New Roman" w:eastAsia="Times New Roman" w:hAnsi="Times New Roman" w:cs="Times New Roman"/>
      <w:spacing w:val="-2"/>
      <w:kern w:val="16"/>
      <w:lang w:eastAsia="de-DE"/>
    </w:rPr>
  </w:style>
  <w:style w:type="character" w:customStyle="1" w:styleId="ACLCodeChar">
    <w:name w:val="ACL Code Char"/>
    <w:basedOn w:val="ACLTextFirstLineChar"/>
    <w:link w:val="ACLCode"/>
    <w:rsid w:val="002C4AAA"/>
    <w:rPr>
      <w:rFonts w:ascii="Courier New" w:eastAsia="Times New Roman" w:hAnsi="Courier New" w:cs="Times New Roman"/>
      <w:spacing w:val="-2"/>
      <w:kern w:val="16"/>
      <w:sz w:val="20"/>
      <w:lang w:eastAsia="de-DE"/>
    </w:rPr>
  </w:style>
  <w:style w:type="paragraph" w:styleId="FootnoteText">
    <w:name w:val="footnote text"/>
    <w:basedOn w:val="Normal"/>
    <w:link w:val="FootnoteTextChar"/>
    <w:uiPriority w:val="99"/>
    <w:semiHidden/>
    <w:unhideWhenUsed/>
    <w:rsid w:val="005C130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1307"/>
    <w:rPr>
      <w:sz w:val="20"/>
      <w:szCs w:val="20"/>
    </w:rPr>
  </w:style>
  <w:style w:type="character" w:styleId="PageNumber">
    <w:name w:val="page number"/>
    <w:basedOn w:val="DefaultParagraphFont"/>
    <w:uiPriority w:val="99"/>
    <w:semiHidden/>
    <w:unhideWhenUsed/>
    <w:rsid w:val="00085910"/>
  </w:style>
  <w:style w:type="paragraph" w:styleId="NormalWeb">
    <w:name w:val="Normal (Web)"/>
    <w:basedOn w:val="Normal"/>
    <w:uiPriority w:val="99"/>
    <w:unhideWhenUsed/>
    <w:rsid w:val="001968AB"/>
    <w:pPr>
      <w:spacing w:before="100" w:beforeAutospacing="1" w:after="100" w:afterAutospacing="1" w:line="240" w:lineRule="auto"/>
    </w:pPr>
    <w:rPr>
      <w:rFonts w:ascii="Times New Roman" w:eastAsia="Times New Roman" w:hAnsi="Times New Roman" w:cs="Times New Roman"/>
      <w:sz w:val="24"/>
      <w:szCs w:val="24"/>
      <w:lang w:val="da-DK"/>
    </w:rPr>
  </w:style>
  <w:style w:type="character" w:styleId="UnresolvedMention">
    <w:name w:val="Unresolved Mention"/>
    <w:basedOn w:val="DefaultParagraphFont"/>
    <w:uiPriority w:val="99"/>
    <w:semiHidden/>
    <w:unhideWhenUsed/>
    <w:rsid w:val="00595636"/>
    <w:rPr>
      <w:color w:val="605E5C"/>
      <w:shd w:val="clear" w:color="auto" w:fill="E1DFDD"/>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GridTable1Light-Accent1">
    <w:name w:val="Grid Table 1 Light Accent 1"/>
    <w:basedOn w:val="TableNormal"/>
    <w:uiPriority w:val="46"/>
    <w:rsid w:val="00CA552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A552D"/>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CA552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CA552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A55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1">
    <w:name w:val="Grid Table 6 Colorful Accent 1"/>
    <w:basedOn w:val="TableNormal"/>
    <w:uiPriority w:val="51"/>
    <w:rsid w:val="00CA552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CA552D"/>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7Colorful-Accent1">
    <w:name w:val="Grid Table 7 Colorful Accent 1"/>
    <w:basedOn w:val="TableNormal"/>
    <w:uiPriority w:val="52"/>
    <w:rsid w:val="00CA552D"/>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6Colorful-Accent3">
    <w:name w:val="Grid Table 6 Colorful Accent 3"/>
    <w:basedOn w:val="TableNormal"/>
    <w:uiPriority w:val="51"/>
    <w:rsid w:val="00CA552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CA55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CA552D"/>
    <w:pPr>
      <w:ind w:left="720"/>
      <w:contextualSpacing/>
    </w:pPr>
  </w:style>
  <w:style w:type="paragraph" w:styleId="Index1">
    <w:name w:val="index 1"/>
    <w:basedOn w:val="Normal"/>
    <w:next w:val="Normal"/>
    <w:autoRedefine/>
    <w:uiPriority w:val="99"/>
    <w:unhideWhenUsed/>
    <w:rsid w:val="00D46BC7"/>
    <w:pPr>
      <w:spacing w:after="0"/>
      <w:ind w:left="220" w:hanging="220"/>
    </w:pPr>
    <w:rPr>
      <w:rFonts w:cstheme="minorHAnsi"/>
      <w:sz w:val="20"/>
      <w:szCs w:val="24"/>
    </w:rPr>
  </w:style>
  <w:style w:type="paragraph" w:styleId="Index2">
    <w:name w:val="index 2"/>
    <w:basedOn w:val="Normal"/>
    <w:next w:val="Normal"/>
    <w:autoRedefine/>
    <w:uiPriority w:val="99"/>
    <w:unhideWhenUsed/>
    <w:rsid w:val="00D46BC7"/>
    <w:pPr>
      <w:spacing w:after="0"/>
      <w:ind w:left="440" w:hanging="220"/>
    </w:pPr>
    <w:rPr>
      <w:rFonts w:cstheme="minorHAnsi"/>
      <w:sz w:val="20"/>
      <w:szCs w:val="24"/>
    </w:rPr>
  </w:style>
  <w:style w:type="paragraph" w:styleId="Index3">
    <w:name w:val="index 3"/>
    <w:basedOn w:val="Normal"/>
    <w:next w:val="Normal"/>
    <w:autoRedefine/>
    <w:uiPriority w:val="99"/>
    <w:unhideWhenUsed/>
    <w:rsid w:val="00D46BC7"/>
    <w:pPr>
      <w:spacing w:after="0"/>
      <w:ind w:left="660" w:hanging="220"/>
    </w:pPr>
    <w:rPr>
      <w:rFonts w:cstheme="minorHAnsi"/>
      <w:sz w:val="20"/>
      <w:szCs w:val="24"/>
    </w:rPr>
  </w:style>
  <w:style w:type="paragraph" w:styleId="Index4">
    <w:name w:val="index 4"/>
    <w:basedOn w:val="Normal"/>
    <w:next w:val="Normal"/>
    <w:autoRedefine/>
    <w:uiPriority w:val="99"/>
    <w:unhideWhenUsed/>
    <w:rsid w:val="00D46BC7"/>
    <w:pPr>
      <w:spacing w:after="0"/>
      <w:ind w:left="880" w:hanging="220"/>
    </w:pPr>
    <w:rPr>
      <w:rFonts w:cstheme="minorHAnsi"/>
      <w:sz w:val="20"/>
      <w:szCs w:val="24"/>
    </w:rPr>
  </w:style>
  <w:style w:type="paragraph" w:styleId="Index5">
    <w:name w:val="index 5"/>
    <w:basedOn w:val="Normal"/>
    <w:next w:val="Normal"/>
    <w:autoRedefine/>
    <w:uiPriority w:val="99"/>
    <w:unhideWhenUsed/>
    <w:rsid w:val="00D46BC7"/>
    <w:pPr>
      <w:spacing w:after="0"/>
      <w:ind w:left="1100" w:hanging="220"/>
    </w:pPr>
    <w:rPr>
      <w:rFonts w:cstheme="minorHAnsi"/>
      <w:sz w:val="20"/>
      <w:szCs w:val="24"/>
    </w:rPr>
  </w:style>
  <w:style w:type="paragraph" w:styleId="Index6">
    <w:name w:val="index 6"/>
    <w:basedOn w:val="Normal"/>
    <w:next w:val="Normal"/>
    <w:autoRedefine/>
    <w:uiPriority w:val="99"/>
    <w:unhideWhenUsed/>
    <w:rsid w:val="00D46BC7"/>
    <w:pPr>
      <w:spacing w:after="0"/>
      <w:ind w:left="1320" w:hanging="220"/>
    </w:pPr>
    <w:rPr>
      <w:rFonts w:cstheme="minorHAnsi"/>
      <w:sz w:val="20"/>
      <w:szCs w:val="24"/>
    </w:rPr>
  </w:style>
  <w:style w:type="paragraph" w:styleId="Index7">
    <w:name w:val="index 7"/>
    <w:basedOn w:val="Normal"/>
    <w:next w:val="Normal"/>
    <w:autoRedefine/>
    <w:uiPriority w:val="99"/>
    <w:unhideWhenUsed/>
    <w:rsid w:val="00D46BC7"/>
    <w:pPr>
      <w:spacing w:after="0"/>
      <w:ind w:left="1540" w:hanging="220"/>
    </w:pPr>
    <w:rPr>
      <w:rFonts w:cstheme="minorHAnsi"/>
      <w:sz w:val="20"/>
      <w:szCs w:val="24"/>
    </w:rPr>
  </w:style>
  <w:style w:type="paragraph" w:styleId="Index8">
    <w:name w:val="index 8"/>
    <w:basedOn w:val="Normal"/>
    <w:next w:val="Normal"/>
    <w:autoRedefine/>
    <w:uiPriority w:val="99"/>
    <w:unhideWhenUsed/>
    <w:rsid w:val="00D46BC7"/>
    <w:pPr>
      <w:spacing w:after="0"/>
      <w:ind w:left="1760" w:hanging="220"/>
    </w:pPr>
    <w:rPr>
      <w:rFonts w:cstheme="minorHAnsi"/>
      <w:sz w:val="20"/>
      <w:szCs w:val="24"/>
    </w:rPr>
  </w:style>
  <w:style w:type="paragraph" w:styleId="Index9">
    <w:name w:val="index 9"/>
    <w:basedOn w:val="Normal"/>
    <w:next w:val="Normal"/>
    <w:autoRedefine/>
    <w:uiPriority w:val="99"/>
    <w:unhideWhenUsed/>
    <w:rsid w:val="00D46BC7"/>
    <w:pPr>
      <w:spacing w:after="0"/>
      <w:ind w:left="1980" w:hanging="220"/>
    </w:pPr>
    <w:rPr>
      <w:rFonts w:cstheme="minorHAnsi"/>
      <w:sz w:val="20"/>
      <w:szCs w:val="24"/>
    </w:rPr>
  </w:style>
  <w:style w:type="paragraph" w:styleId="IndexHeading">
    <w:name w:val="index heading"/>
    <w:basedOn w:val="Normal"/>
    <w:next w:val="Index1"/>
    <w:uiPriority w:val="99"/>
    <w:unhideWhenUsed/>
    <w:rsid w:val="00D46BC7"/>
    <w:pPr>
      <w:spacing w:before="120" w:after="120"/>
    </w:pPr>
    <w:rPr>
      <w:rFonts w:cstheme="minorHAnsi"/>
      <w:b/>
      <w:bCs/>
      <w:i/>
      <w:i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A3AC1-FA55-1D4C-9614-0EA62C3DA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Pages>
  <Words>4191</Words>
  <Characters>23891</Characters>
  <Application>Microsoft Office Word</Application>
  <DocSecurity>0</DocSecurity>
  <Lines>199</Lines>
  <Paragraphs>56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Hallucination Patterns in Retrieval-Augmented Financial Question Answering</dc:title>
  <dc:creator>Bhalchandra Shinde; Piyush Daga; Anish Kelkar; Rituraj Singh</dc:creator>
  <cp:keywords/>
  <cp:lastModifiedBy>Bhalchandra Shinde</cp:lastModifiedBy>
  <cp:revision>10</cp:revision>
  <dcterms:created xsi:type="dcterms:W3CDTF">2026-07-24T18:53:00Z</dcterms:created>
  <dcterms:modified xsi:type="dcterms:W3CDTF">2026-07-24T19:19:00Z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grounds large language models (LLMs) in external documents, yet models still produce claims that contradict or exceed the retrieved evidence—a failure mode with acute consequences in finance, where a single wrong figure misleads. We study when and how RAG systems hallucinate on financial question answering using the open-source subset of FinanceBench (150 annotated questions over 84 SEC filings). We build four RAG configurations that differ only in retrieval—sparse (BM25), dense (FAISS + MiniLM), query-rewriting, and a known-document upper bound—and evaluate each with RAGAS faithfulness, context precision, and a numeric-tolerant exact match. Three findings emerge. (RQ1) Retrieval, not generation, is the dominant lever: as the correct filing reaches the top-3 for 43%→64%→69% of questions, coverage, faithfulness, and accuracy all rise in lockstep; a retrieval-depth ablation (top-5 vs. top-3) confirms deeper retrieval helps. (RQ2) A manual taxonomy of 50 answered-but-incorrect cases shows numerical errors dominate (46%), followed by entity (31%), unsupported (15%), and reasoning (8%) hallucinations; notably, ~22% of automatically flagged “failures” are in fact correct answers mis-scored by exact match, a caution for automatic hallucination metrics. (RQ3) Swapping GPT-3.5-turbo for the open Mistral-7B-Instruct on identical retrieved context makes the smaller model substantially more faithful (0.59 vs. 0.21) and more numerically accurate, at the cost of answering fewer questions—so abstention behavior, not model scale, drives grounding here.</vt:lpwstr>
  </property>
  <property fmtid="{D5CDD505-2E9C-101B-9397-08002B2CF9AE}" pid="3" name="bibliography">
    <vt:lpwstr>references.bib</vt:lpwstr>
  </property>
</Properties>
</file>