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B4F8C"/>
          <w:sz w:val="48"/>
          <w:szCs w:val="48"/>
        </w:rPr>
        <w:t xml:space="preserve">Australia Training Visa (Subclass 407)</w:t>
      </w:r>
    </w:p>
    <w:p>
      <w:pPr>
        <w:spacing w:after="240"/>
        <w:jc w:val="center"/>
      </w:pPr>
      <w:r>
        <w:rPr>
          <w:rFonts w:ascii="Calibri" w:cs="Calibri" w:eastAsia="Calibri" w:hAnsi="Calibri"/>
          <w:color w:val="555555"/>
          <w:sz w:val="24"/>
          <w:szCs w:val="24"/>
        </w:rPr>
        <w:t xml:space="preserve">Your Complete 2026 Guide — Requirements, Eligibility, Process &amp; Costs</w:t>
      </w:r>
    </w:p>
    <w:p>
      <w:pPr>
        <w:pBdr>
          <w:bottom w:val="single" w:color="2E75B6" w:sz="6" w:space="1"/>
        </w:pBdr>
        <w:spacing w:after="280"/>
      </w:pPr>
      <w:r>
        <w:t xml:space="preserve"/>
      </w:r>
    </w:p>
    <w:p>
      <w:pPr>
        <w:spacing w:after="160"/>
        <w:jc w:val="both"/>
      </w:pPr>
      <w:r>
        <w:rPr>
          <w:sz w:val="22"/>
          <w:szCs w:val="22"/>
        </w:rPr>
        <w:t xml:space="preserve">If you are a skilled professional looking to expand your expertise through structured workplace training in Australia, the Australia Training Visa — officially known as Subclass 407 — could be the right pathway for you. This visa is purpose-built to allow overseas nationals to participate in occupational training activities in Australia, either to improve their skills relevant to their current occupation or for professional development purposes.</w:t>
      </w:r>
    </w:p>
    <w:p>
      <w:pPr>
        <w:spacing w:after="160"/>
        <w:jc w:val="both"/>
      </w:pPr>
      <w:r>
        <w:rPr>
          <w:sz w:val="22"/>
          <w:szCs w:val="22"/>
        </w:rPr>
        <w:t xml:space="preserve">Unlike a work visa, the Training Visa is not designed for permanent employment. It is specifically meant for genuine training and development. Understanding the distinction is critical because the Department of Home Affairs assesses applications carefully to confirm the primary purpose is training — not filling a labour gap.</w:t>
      </w:r>
    </w:p>
    <w:p>
      <w:pPr>
        <w:spacing w:after="160"/>
        <w:jc w:val="both"/>
      </w:pPr>
      <w:r>
        <w:rPr>
          <w:sz w:val="22"/>
          <w:szCs w:val="22"/>
        </w:rPr>
        <w:t xml:space="preserve">In this guide, we break down everything you need to know about the Australia Training Visa in 2026 — from eligibility and streams to documents, costs, processing times, and common refusal reasons. Whether you are applying from Pakistan or any other country, this is the most comprehensive resource you will find.</w:t>
      </w:r>
    </w:p>
    <w:p>
      <w:pPr>
        <w:spacing w:after="120"/>
      </w:pPr>
      <w:r>
        <w:t xml:space="preserve"/>
      </w:r>
    </w:p>
    <w:p>
      <w:pPr>
        <w:pStyle w:val="Heading2"/>
      </w:pPr>
      <w:r>
        <w:rPr>
          <w:b/>
          <w:bCs/>
          <w:color w:val="2E75B6"/>
          <w:sz w:val="28"/>
          <w:szCs w:val="28"/>
        </w:rPr>
        <w:t xml:space="preserve">What Is the Australia Training Visa (Subclass 407)?</w:t>
      </w:r>
    </w:p>
    <w:p>
      <w:pPr>
        <w:spacing w:after="160"/>
        <w:jc w:val="both"/>
      </w:pPr>
      <w:r>
        <w:rPr>
          <w:sz w:val="22"/>
          <w:szCs w:val="22"/>
        </w:rPr>
        <w:t xml:space="preserve">The Training Visa (Subclass 407) is a temporary visa granted by the Australian Government that allows non-citizens to undertake workplace-based training in Australia. It is issued for a specific training purpose and is tied to an approved sponsor — either an Australian business or a government agency.</w:t>
      </w:r>
    </w:p>
    <w:p>
      <w:pPr>
        <w:spacing w:after="160"/>
        <w:jc w:val="both"/>
      </w:pPr>
      <w:r>
        <w:rPr>
          <w:sz w:val="22"/>
          <w:szCs w:val="22"/>
        </w:rPr>
        <w:t xml:space="preserve">This visa replaced the former Occupational Trainee Visa (Subclass 442) and has been operational since 2016. It is designed for three distinct streams of training activity, each with its own set of requirements and eligibility criteria.</w:t>
      </w:r>
    </w:p>
    <w:p>
      <w:pPr>
        <w:spacing w:after="120"/>
      </w:pPr>
      <w:r>
        <w:t xml:space="preserve"/>
      </w:r>
    </w:p>
    <w:p>
      <w:pPr>
        <w:pStyle w:val="Heading3"/>
      </w:pPr>
      <w:r>
        <w:rPr>
          <w:b/>
          <w:bCs/>
          <w:color w:val="1F4E79"/>
          <w:sz w:val="24"/>
          <w:szCs w:val="24"/>
        </w:rPr>
        <w:t xml:space="preserve">Australia Training Visa — Quick Facts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Visa Name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Training Visa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Subclass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407</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Visa Type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Temporary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Maximum Stay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Up to 2 years (activity dependent)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Application Fee (2026)</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AUD 310 (primary applicant)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Processing Time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Approximately 3 to 6 months (varies)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Sponsorship Required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Yes — approved Australian sponsor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Work Rights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Limited to approved training activities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English Requirement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Functional English (minimum)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Family Inclusion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Yes — secondary applicants permitted</w:t>
            </w:r>
          </w:p>
        </w:tc>
      </w:tr>
    </w:tbl>
    <w:p>
      <w:pPr>
        <w:spacing w:after="120"/>
      </w:pPr>
      <w:r>
        <w:t xml:space="preserve"/>
      </w:r>
    </w:p>
    <w:p>
      <w:pPr>
        <w:pStyle w:val="Heading2"/>
      </w:pPr>
      <w:r>
        <w:rPr>
          <w:b/>
          <w:bCs/>
          <w:color w:val="2E75B6"/>
          <w:sz w:val="28"/>
          <w:szCs w:val="28"/>
        </w:rPr>
        <w:t xml:space="preserve">Australia Training Visa Streams — Which One Applies to You?</w:t>
      </w:r>
    </w:p>
    <w:p>
      <w:pPr>
        <w:spacing w:after="160"/>
        <w:jc w:val="both"/>
      </w:pPr>
      <w:r>
        <w:rPr>
          <w:sz w:val="22"/>
          <w:szCs w:val="22"/>
        </w:rPr>
        <w:t xml:space="preserve">The Subclass 407 visa is divided into three streams. Each stream caters to a different training objective. Identifying the right stream before applying is essential because each stream has its own eligibility criteria, sponsor obligations, and supporting documentation.</w:t>
      </w:r>
    </w:p>
    <w:p>
      <w:pPr>
        <w:pStyle w:val="Heading3"/>
      </w:pPr>
      <w:r>
        <w:rPr>
          <w:b/>
          <w:bCs/>
          <w:color w:val="1F4E79"/>
          <w:sz w:val="24"/>
          <w:szCs w:val="24"/>
        </w:rPr>
        <w:t xml:space="preserve">Stream 1 — Occupational Training to Improve Skills</w:t>
      </w:r>
    </w:p>
    <w:p>
      <w:pPr>
        <w:spacing w:after="160"/>
        <w:jc w:val="both"/>
      </w:pPr>
      <w:r>
        <w:rPr>
          <w:sz w:val="22"/>
          <w:szCs w:val="22"/>
        </w:rPr>
        <w:t xml:space="preserve">This stream is for individuals who want to improve skills in their current occupation or area of work. The training must be directly relevant to the applicant's existing role or professional background. It must also be unavailable, or of a higher standard, in the applicant's home country.</w:t>
      </w:r>
    </w:p>
    <w:p>
      <w:pPr>
        <w:spacing w:after="160"/>
        <w:jc w:val="both"/>
      </w:pPr>
      <w:r>
        <w:rPr>
          <w:sz w:val="22"/>
          <w:szCs w:val="22"/>
        </w:rPr>
        <w:t xml:space="preserve">For example, if a mechanical engineer from Pakistan wishes to undergo advanced workplace training at an Australian manufacturing facility that is not available in Pakistan at the same standard, they may qualify under Stream 1.</w:t>
      </w:r>
    </w:p>
    <w:p>
      <w:pPr>
        <w:pStyle w:val="Heading3"/>
      </w:pPr>
      <w:r>
        <w:rPr>
          <w:b/>
          <w:bCs/>
          <w:color w:val="1F4E79"/>
          <w:sz w:val="24"/>
          <w:szCs w:val="24"/>
        </w:rPr>
        <w:t xml:space="preserve">Stream 2 — Occupational Training Required by an Australian Government Agency</w:t>
      </w:r>
    </w:p>
    <w:p>
      <w:pPr>
        <w:spacing w:after="160"/>
        <w:jc w:val="both"/>
      </w:pPr>
      <w:r>
        <w:rPr>
          <w:sz w:val="22"/>
          <w:szCs w:val="22"/>
        </w:rPr>
        <w:t xml:space="preserve">This stream is for individuals whose training is specifically required or requested by an Australian government agency — federal, state, or territory. The agency itself, or an organisation acting on its behalf, must be the approved sponsor.</w:t>
      </w:r>
    </w:p>
    <w:p>
      <w:pPr>
        <w:spacing w:after="160"/>
        <w:jc w:val="both"/>
      </w:pPr>
      <w:r>
        <w:rPr>
          <w:sz w:val="22"/>
          <w:szCs w:val="22"/>
        </w:rPr>
        <w:t xml:space="preserve">A common example includes training related to technical skills or infrastructure projects endorsed by a government body. The agency involvement gives this stream a more regulated and formal character.</w:t>
      </w:r>
    </w:p>
    <w:p>
      <w:pPr>
        <w:pStyle w:val="Heading3"/>
      </w:pPr>
      <w:r>
        <w:rPr>
          <w:b/>
          <w:bCs/>
          <w:color w:val="1F4E79"/>
          <w:sz w:val="24"/>
          <w:szCs w:val="24"/>
        </w:rPr>
        <w:t xml:space="preserve">Stream 3 — Professional Development Training</w:t>
      </w:r>
    </w:p>
    <w:p>
      <w:pPr>
        <w:spacing w:after="160"/>
        <w:jc w:val="both"/>
      </w:pPr>
      <w:r>
        <w:rPr>
          <w:sz w:val="22"/>
          <w:szCs w:val="22"/>
        </w:rPr>
        <w:t xml:space="preserve">Stream 3 covers structured professional development programs, including seminars, workshops, industry meetings, or short training courses. The duration under this stream is shorter and the training is less hands-on compared to Streams 1 and 2.</w:t>
      </w:r>
    </w:p>
    <w:p>
      <w:pPr>
        <w:spacing w:after="160"/>
        <w:jc w:val="both"/>
      </w:pPr>
      <w:r>
        <w:rPr>
          <w:sz w:val="22"/>
          <w:szCs w:val="22"/>
        </w:rPr>
        <w:t xml:space="preserve">This stream is popular among mid-to-senior level professionals attending industry conferences, executive leadership programs, or structured development courses hosted by multinational organisations in Australia.</w:t>
      </w:r>
    </w:p>
    <w:p>
      <w:pPr>
        <w:spacing w:after="120"/>
      </w:pPr>
      <w:r>
        <w:t xml:space="preserve"/>
      </w:r>
    </w:p>
    <w:p>
      <w:pPr>
        <w:pStyle w:val="Heading2"/>
      </w:pPr>
      <w:r>
        <w:rPr>
          <w:b/>
          <w:bCs/>
          <w:color w:val="2E75B6"/>
          <w:sz w:val="28"/>
          <w:szCs w:val="28"/>
        </w:rPr>
        <w:t xml:space="preserve">Australia Training Visa Eligibility Criteria</w:t>
      </w:r>
    </w:p>
    <w:p>
      <w:pPr>
        <w:spacing w:after="160"/>
        <w:jc w:val="both"/>
      </w:pPr>
      <w:r>
        <w:rPr>
          <w:sz w:val="22"/>
          <w:szCs w:val="22"/>
        </w:rPr>
        <w:t xml:space="preserve">Meeting the eligibility criteria is the most important part of any Training Visa application. The Department of Home Affairs applies a genuine temporary entrant test to all applicants, meaning you must demonstrate that you intend to return home after your training is complete.</w:t>
      </w:r>
    </w:p>
    <w:p>
      <w:pPr>
        <w:pStyle w:val="Heading3"/>
      </w:pPr>
      <w:r>
        <w:rPr>
          <w:b/>
          <w:bCs/>
          <w:color w:val="1F4E79"/>
          <w:sz w:val="24"/>
          <w:szCs w:val="24"/>
        </w:rPr>
        <w:t xml:space="preserve">Applicant Eligibility Requirements</w:t>
      </w:r>
    </w:p>
    <w:p>
      <w:pPr>
        <w:pStyle w:val="ListParagraph"/>
        <w:numPr>
          <w:ilvl w:val="0"/>
          <w:numId w:val="2"/>
        </w:numPr>
        <w:spacing w:after="100"/>
      </w:pPr>
      <w:r>
        <w:rPr>
          <w:sz w:val="22"/>
          <w:szCs w:val="22"/>
        </w:rPr>
        <w:t xml:space="preserve">You must be outside Australia at the time of application (or inside, with no condition preventing this)</w:t>
      </w:r>
    </w:p>
    <w:p>
      <w:pPr>
        <w:pStyle w:val="ListParagraph"/>
        <w:numPr>
          <w:ilvl w:val="0"/>
          <w:numId w:val="2"/>
        </w:numPr>
        <w:spacing w:after="100"/>
      </w:pPr>
      <w:r>
        <w:rPr>
          <w:sz w:val="22"/>
          <w:szCs w:val="22"/>
        </w:rPr>
        <w:t xml:space="preserve">You must have a genuine need for the training and the training must be relevant to your current occupation or field</w:t>
      </w:r>
    </w:p>
    <w:p>
      <w:pPr>
        <w:pStyle w:val="ListParagraph"/>
        <w:numPr>
          <w:ilvl w:val="0"/>
          <w:numId w:val="2"/>
        </w:numPr>
        <w:spacing w:after="100"/>
      </w:pPr>
      <w:r>
        <w:rPr>
          <w:sz w:val="22"/>
          <w:szCs w:val="22"/>
        </w:rPr>
        <w:t xml:space="preserve">The training must not be available in your home country at the same standard or level</w:t>
      </w:r>
    </w:p>
    <w:p>
      <w:pPr>
        <w:pStyle w:val="ListParagraph"/>
        <w:numPr>
          <w:ilvl w:val="0"/>
          <w:numId w:val="2"/>
        </w:numPr>
        <w:spacing w:after="100"/>
      </w:pPr>
      <w:r>
        <w:rPr>
          <w:sz w:val="22"/>
          <w:szCs w:val="22"/>
        </w:rPr>
        <w:t xml:space="preserve">You must have functional English language proficiency — demonstrated through IELTS, TOEFL, PTE, or equivalent</w:t>
      </w:r>
    </w:p>
    <w:p>
      <w:pPr>
        <w:pStyle w:val="ListParagraph"/>
        <w:numPr>
          <w:ilvl w:val="0"/>
          <w:numId w:val="2"/>
        </w:numPr>
        <w:spacing w:after="100"/>
      </w:pPr>
      <w:r>
        <w:rPr>
          <w:sz w:val="22"/>
          <w:szCs w:val="22"/>
        </w:rPr>
        <w:t xml:space="preserve">You must meet health and character requirements, including police clearance certificates</w:t>
      </w:r>
    </w:p>
    <w:p>
      <w:pPr>
        <w:pStyle w:val="ListParagraph"/>
        <w:numPr>
          <w:ilvl w:val="0"/>
          <w:numId w:val="2"/>
        </w:numPr>
        <w:spacing w:after="100"/>
      </w:pPr>
      <w:r>
        <w:rPr>
          <w:sz w:val="22"/>
          <w:szCs w:val="22"/>
        </w:rPr>
        <w:t xml:space="preserve">You must have adequate health insurance for your stay in Australia</w:t>
      </w:r>
    </w:p>
    <w:p>
      <w:pPr>
        <w:pStyle w:val="ListParagraph"/>
        <w:numPr>
          <w:ilvl w:val="0"/>
          <w:numId w:val="2"/>
        </w:numPr>
        <w:spacing w:after="100"/>
      </w:pPr>
      <w:r>
        <w:rPr>
          <w:sz w:val="22"/>
          <w:szCs w:val="22"/>
        </w:rPr>
        <w:t xml:space="preserve">You must be genuinely intending to stay temporarily — not seeking a back-door to permanent residency</w:t>
      </w:r>
    </w:p>
    <w:p>
      <w:pPr>
        <w:spacing w:after="120"/>
      </w:pPr>
      <w:r>
        <w:t xml:space="preserve"/>
      </w:r>
    </w:p>
    <w:p>
      <w:pPr>
        <w:spacing w:after="160"/>
        <w:jc w:val="both"/>
      </w:pPr>
      <w:r>
        <w:rPr>
          <w:sz w:val="22"/>
          <w:szCs w:val="22"/>
        </w:rPr>
        <w:t xml:space="preserve">The Genuine Temporary Entrant (GTE) requirement deserves special attention. The visa officer will assess your personal circumstances, including your ties to your home country, your employment situation, your immigration history, and whether your stated training objectives are credible. Weak GTE arguments are one of the most common reasons for refusal.</w:t>
      </w:r>
    </w:p>
    <w:p>
      <w:pPr>
        <w:spacing w:after="120"/>
      </w:pPr>
      <w:r>
        <w:t xml:space="preserve"/>
      </w:r>
    </w:p>
    <w:p>
      <w:pPr>
        <w:pStyle w:val="Heading2"/>
      </w:pPr>
      <w:r>
        <w:rPr>
          <w:b/>
          <w:bCs/>
          <w:color w:val="2E75B6"/>
          <w:sz w:val="28"/>
          <w:szCs w:val="28"/>
        </w:rPr>
        <w:t xml:space="preserve">Australia Training Visa Sponsorship Requirements</w:t>
      </w:r>
    </w:p>
    <w:p>
      <w:pPr>
        <w:spacing w:after="160"/>
        <w:jc w:val="both"/>
      </w:pPr>
      <w:r>
        <w:rPr>
          <w:sz w:val="22"/>
          <w:szCs w:val="22"/>
        </w:rPr>
        <w:t xml:space="preserve">Unlike many other Australian visas where you apply independently, the Training Visa requires a sponsoring organisation. This means before you can lodge your own visa application, your sponsor must be approved by the Department of Home Affairs.</w:t>
      </w:r>
    </w:p>
    <w:p>
      <w:pPr>
        <w:pStyle w:val="Heading3"/>
      </w:pPr>
      <w:r>
        <w:rPr>
          <w:b/>
          <w:bCs/>
          <w:color w:val="1F4E79"/>
          <w:sz w:val="24"/>
          <w:szCs w:val="24"/>
        </w:rPr>
        <w:t xml:space="preserve">Who Can Be a Sponsor?</w:t>
      </w:r>
    </w:p>
    <w:p>
      <w:pPr>
        <w:pStyle w:val="ListParagraph"/>
        <w:numPr>
          <w:ilvl w:val="0"/>
          <w:numId w:val="2"/>
        </w:numPr>
        <w:spacing w:after="100"/>
      </w:pPr>
      <w:r>
        <w:rPr>
          <w:sz w:val="22"/>
          <w:szCs w:val="22"/>
        </w:rPr>
        <w:t xml:space="preserve">An Australian business that is lawfully operating and in good standing</w:t>
      </w:r>
    </w:p>
    <w:p>
      <w:pPr>
        <w:pStyle w:val="ListParagraph"/>
        <w:numPr>
          <w:ilvl w:val="0"/>
          <w:numId w:val="2"/>
        </w:numPr>
        <w:spacing w:after="100"/>
      </w:pPr>
      <w:r>
        <w:rPr>
          <w:sz w:val="22"/>
          <w:szCs w:val="22"/>
        </w:rPr>
        <w:t xml:space="preserve">An Australian government agency (federal, state, or territory)</w:t>
      </w:r>
    </w:p>
    <w:p>
      <w:pPr>
        <w:pStyle w:val="ListParagraph"/>
        <w:numPr>
          <w:ilvl w:val="0"/>
          <w:numId w:val="2"/>
        </w:numPr>
        <w:spacing w:after="100"/>
      </w:pPr>
      <w:r>
        <w:rPr>
          <w:sz w:val="22"/>
          <w:szCs w:val="22"/>
        </w:rPr>
        <w:t xml:space="preserve">A foreign government body (in limited circumstances for Stream 2)</w:t>
      </w:r>
    </w:p>
    <w:p>
      <w:pPr>
        <w:pStyle w:val="ListParagraph"/>
        <w:numPr>
          <w:ilvl w:val="0"/>
          <w:numId w:val="2"/>
        </w:numPr>
        <w:spacing w:after="100"/>
      </w:pPr>
      <w:r>
        <w:rPr>
          <w:sz w:val="22"/>
          <w:szCs w:val="22"/>
        </w:rPr>
        <w:t xml:space="preserve">An organisation that is not a labour-hire company using the trainee to fill a labour shortage</w:t>
      </w:r>
    </w:p>
    <w:p>
      <w:pPr>
        <w:spacing w:after="120"/>
      </w:pPr>
      <w:r>
        <w:t xml:space="preserve"/>
      </w:r>
    </w:p>
    <w:p>
      <w:pPr>
        <w:pStyle w:val="Heading3"/>
      </w:pPr>
      <w:r>
        <w:rPr>
          <w:b/>
          <w:bCs/>
          <w:color w:val="1F4E79"/>
          <w:sz w:val="24"/>
          <w:szCs w:val="24"/>
        </w:rPr>
        <w:t xml:space="preserve">What Are the Sponsor's Obligations?</w:t>
      </w:r>
    </w:p>
    <w:p>
      <w:pPr>
        <w:spacing w:after="160"/>
        <w:jc w:val="both"/>
      </w:pPr>
      <w:r>
        <w:rPr>
          <w:sz w:val="22"/>
          <w:szCs w:val="22"/>
        </w:rPr>
        <w:t xml:space="preserve">Once approved, the sponsor carries significant legal and administrative obligations. These include:</w:t>
      </w:r>
    </w:p>
    <w:p>
      <w:pPr>
        <w:pStyle w:val="ListParagraph"/>
        <w:numPr>
          <w:ilvl w:val="0"/>
          <w:numId w:val="2"/>
        </w:numPr>
        <w:spacing w:after="100"/>
      </w:pPr>
      <w:r>
        <w:rPr>
          <w:sz w:val="22"/>
          <w:szCs w:val="22"/>
        </w:rPr>
        <w:t xml:space="preserve">Ensuring the training program is genuine and structured with defined outcomes</w:t>
      </w:r>
    </w:p>
    <w:p>
      <w:pPr>
        <w:pStyle w:val="ListParagraph"/>
        <w:numPr>
          <w:ilvl w:val="0"/>
          <w:numId w:val="2"/>
        </w:numPr>
        <w:spacing w:after="100"/>
      </w:pPr>
      <w:r>
        <w:rPr>
          <w:sz w:val="22"/>
          <w:szCs w:val="22"/>
        </w:rPr>
        <w:t xml:space="preserve">Paying the visa holder at least the market salary rate for activities undertaken</w:t>
      </w:r>
    </w:p>
    <w:p>
      <w:pPr>
        <w:pStyle w:val="ListParagraph"/>
        <w:numPr>
          <w:ilvl w:val="0"/>
          <w:numId w:val="2"/>
        </w:numPr>
        <w:spacing w:after="100"/>
      </w:pPr>
      <w:r>
        <w:rPr>
          <w:sz w:val="22"/>
          <w:szCs w:val="22"/>
        </w:rPr>
        <w:t xml:space="preserve">Not using the trainee to replace an Australian worker or to fill a regular position</w:t>
      </w:r>
    </w:p>
    <w:p>
      <w:pPr>
        <w:pStyle w:val="ListParagraph"/>
        <w:numPr>
          <w:ilvl w:val="0"/>
          <w:numId w:val="2"/>
        </w:numPr>
        <w:spacing w:after="100"/>
      </w:pPr>
      <w:r>
        <w:rPr>
          <w:sz w:val="22"/>
          <w:szCs w:val="22"/>
        </w:rPr>
        <w:t xml:space="preserve">Covering return travel costs if required</w:t>
      </w:r>
    </w:p>
    <w:p>
      <w:pPr>
        <w:pStyle w:val="ListParagraph"/>
        <w:numPr>
          <w:ilvl w:val="0"/>
          <w:numId w:val="2"/>
        </w:numPr>
        <w:spacing w:after="100"/>
      </w:pPr>
      <w:r>
        <w:rPr>
          <w:sz w:val="22"/>
          <w:szCs w:val="22"/>
        </w:rPr>
        <w:t xml:space="preserve">Maintaining accurate records and cooperating with any government audit or inspection</w:t>
      </w:r>
    </w:p>
    <w:p>
      <w:pPr>
        <w:pStyle w:val="ListParagraph"/>
        <w:numPr>
          <w:ilvl w:val="0"/>
          <w:numId w:val="2"/>
        </w:numPr>
        <w:spacing w:after="100"/>
      </w:pPr>
      <w:r>
        <w:rPr>
          <w:sz w:val="22"/>
          <w:szCs w:val="22"/>
        </w:rPr>
        <w:t xml:space="preserve">Notifying the Department of Home Affairs of any changes to the trainee's situation</w:t>
      </w:r>
    </w:p>
    <w:p>
      <w:pPr>
        <w:spacing w:after="160"/>
        <w:jc w:val="both"/>
      </w:pPr>
      <w:r>
        <w:rPr>
          <w:sz w:val="22"/>
          <w:szCs w:val="22"/>
        </w:rPr>
        <w:t xml:space="preserve">Sponsors who fail to meet their obligations risk being sanctioned, losing their approval status, and potentially being barred from sponsoring in the future. The Australian Government takes sponsor compliance very seriously.</w:t>
      </w:r>
    </w:p>
    <w:p>
      <w:pPr>
        <w:spacing w:after="120"/>
      </w:pPr>
      <w:r>
        <w:t xml:space="preserve"/>
      </w:r>
    </w:p>
    <w:p>
      <w:pPr>
        <w:pStyle w:val="Heading2"/>
      </w:pPr>
      <w:r>
        <w:rPr>
          <w:b/>
          <w:bCs/>
          <w:color w:val="2E75B6"/>
          <w:sz w:val="28"/>
          <w:szCs w:val="28"/>
        </w:rPr>
        <w:t xml:space="preserve">Training Visa Australia — Documents Checklist</w:t>
      </w:r>
    </w:p>
    <w:p>
      <w:pPr>
        <w:spacing w:after="160"/>
        <w:jc w:val="both"/>
      </w:pPr>
      <w:r>
        <w:rPr>
          <w:sz w:val="22"/>
          <w:szCs w:val="22"/>
        </w:rPr>
        <w:t xml:space="preserve">Submitting a complete, well-organised application is one of the most important steps in the process. Missing documents or poorly explained circumstances are a common cause of delays and refusals.</w:t>
      </w:r>
    </w:p>
    <w:p>
      <w:pPr>
        <w:pStyle w:val="Heading3"/>
      </w:pPr>
      <w:r>
        <w:rPr>
          <w:b/>
          <w:bCs/>
          <w:color w:val="1F4E79"/>
          <w:sz w:val="24"/>
          <w:szCs w:val="24"/>
        </w:rPr>
        <w:t xml:space="preserve">Documents Required From the Applicant</w:t>
      </w:r>
    </w:p>
    <w:p>
      <w:pPr>
        <w:pStyle w:val="ListParagraph"/>
        <w:numPr>
          <w:ilvl w:val="0"/>
          <w:numId w:val="2"/>
        </w:numPr>
        <w:spacing w:after="100"/>
      </w:pPr>
      <w:r>
        <w:rPr>
          <w:sz w:val="22"/>
          <w:szCs w:val="22"/>
        </w:rPr>
        <w:t xml:space="preserve">Valid passport (with at least 6 months validity beyond intended stay)</w:t>
      </w:r>
    </w:p>
    <w:p>
      <w:pPr>
        <w:pStyle w:val="ListParagraph"/>
        <w:numPr>
          <w:ilvl w:val="0"/>
          <w:numId w:val="2"/>
        </w:numPr>
        <w:spacing w:after="100"/>
      </w:pPr>
      <w:r>
        <w:rPr>
          <w:sz w:val="22"/>
          <w:szCs w:val="22"/>
        </w:rPr>
        <w:t xml:space="preserve">Completed visa application form via ImmiAccount</w:t>
      </w:r>
    </w:p>
    <w:p>
      <w:pPr>
        <w:pStyle w:val="ListParagraph"/>
        <w:numPr>
          <w:ilvl w:val="0"/>
          <w:numId w:val="2"/>
        </w:numPr>
        <w:spacing w:after="100"/>
      </w:pPr>
      <w:r>
        <w:rPr>
          <w:sz w:val="22"/>
          <w:szCs w:val="22"/>
        </w:rPr>
        <w:t xml:space="preserve">Passport-size photographs meeting Australian visa specifications</w:t>
      </w:r>
    </w:p>
    <w:p>
      <w:pPr>
        <w:pStyle w:val="ListParagraph"/>
        <w:numPr>
          <w:ilvl w:val="0"/>
          <w:numId w:val="2"/>
        </w:numPr>
        <w:spacing w:after="100"/>
      </w:pPr>
      <w:r>
        <w:rPr>
          <w:sz w:val="22"/>
          <w:szCs w:val="22"/>
        </w:rPr>
        <w:t xml:space="preserve">English language test results (IELTS, PTE, TOEFL, or equivalent)</w:t>
      </w:r>
    </w:p>
    <w:p>
      <w:pPr>
        <w:pStyle w:val="ListParagraph"/>
        <w:numPr>
          <w:ilvl w:val="0"/>
          <w:numId w:val="2"/>
        </w:numPr>
        <w:spacing w:after="100"/>
      </w:pPr>
      <w:r>
        <w:rPr>
          <w:sz w:val="22"/>
          <w:szCs w:val="22"/>
        </w:rPr>
        <w:t xml:space="preserve">Academic and professional qualification certificates</w:t>
      </w:r>
    </w:p>
    <w:p>
      <w:pPr>
        <w:pStyle w:val="ListParagraph"/>
        <w:numPr>
          <w:ilvl w:val="0"/>
          <w:numId w:val="2"/>
        </w:numPr>
        <w:spacing w:after="100"/>
      </w:pPr>
      <w:r>
        <w:rPr>
          <w:sz w:val="22"/>
          <w:szCs w:val="22"/>
        </w:rPr>
        <w:t xml:space="preserve">Current employment letter and detailed CV or resume</w:t>
      </w:r>
    </w:p>
    <w:p>
      <w:pPr>
        <w:pStyle w:val="ListParagraph"/>
        <w:numPr>
          <w:ilvl w:val="0"/>
          <w:numId w:val="2"/>
        </w:numPr>
        <w:spacing w:after="100"/>
      </w:pPr>
      <w:r>
        <w:rPr>
          <w:sz w:val="22"/>
          <w:szCs w:val="22"/>
        </w:rPr>
        <w:t xml:space="preserve">Statement of purpose explaining the training objective and GTE</w:t>
      </w:r>
    </w:p>
    <w:p>
      <w:pPr>
        <w:pStyle w:val="ListParagraph"/>
        <w:numPr>
          <w:ilvl w:val="0"/>
          <w:numId w:val="2"/>
        </w:numPr>
        <w:spacing w:after="100"/>
      </w:pPr>
      <w:r>
        <w:rPr>
          <w:sz w:val="22"/>
          <w:szCs w:val="22"/>
        </w:rPr>
        <w:t xml:space="preserve">Training program plan (provided or co-written with the sponsor)</w:t>
      </w:r>
    </w:p>
    <w:p>
      <w:pPr>
        <w:pStyle w:val="ListParagraph"/>
        <w:numPr>
          <w:ilvl w:val="0"/>
          <w:numId w:val="2"/>
        </w:numPr>
        <w:spacing w:after="100"/>
      </w:pPr>
      <w:r>
        <w:rPr>
          <w:sz w:val="22"/>
          <w:szCs w:val="22"/>
        </w:rPr>
        <w:t xml:space="preserve">Health examination results from a panel physician</w:t>
      </w:r>
    </w:p>
    <w:p>
      <w:pPr>
        <w:pStyle w:val="ListParagraph"/>
        <w:numPr>
          <w:ilvl w:val="0"/>
          <w:numId w:val="2"/>
        </w:numPr>
        <w:spacing w:after="100"/>
      </w:pPr>
      <w:r>
        <w:rPr>
          <w:sz w:val="22"/>
          <w:szCs w:val="22"/>
        </w:rPr>
        <w:t xml:space="preserve">Police clearance certificates from all countries lived in for 12+ months</w:t>
      </w:r>
    </w:p>
    <w:p>
      <w:pPr>
        <w:pStyle w:val="ListParagraph"/>
        <w:numPr>
          <w:ilvl w:val="0"/>
          <w:numId w:val="2"/>
        </w:numPr>
        <w:spacing w:after="100"/>
      </w:pPr>
      <w:r>
        <w:rPr>
          <w:sz w:val="22"/>
          <w:szCs w:val="22"/>
        </w:rPr>
        <w:t xml:space="preserve">Evidence of health insurance or agreement to obtain it</w:t>
      </w:r>
    </w:p>
    <w:p>
      <w:pPr>
        <w:pStyle w:val="ListParagraph"/>
        <w:numPr>
          <w:ilvl w:val="0"/>
          <w:numId w:val="2"/>
        </w:numPr>
        <w:spacing w:after="100"/>
      </w:pPr>
      <w:r>
        <w:rPr>
          <w:sz w:val="22"/>
          <w:szCs w:val="22"/>
        </w:rPr>
        <w:t xml:space="preserve">Financial evidence showing you can support yourself during the training</w:t>
      </w:r>
    </w:p>
    <w:p>
      <w:pPr>
        <w:pStyle w:val="Heading3"/>
      </w:pPr>
      <w:r>
        <w:rPr>
          <w:b/>
          <w:bCs/>
          <w:color w:val="1F4E79"/>
          <w:sz w:val="24"/>
          <w:szCs w:val="24"/>
        </w:rPr>
        <w:t xml:space="preserve">Documents Required From the Sponsor</w:t>
      </w:r>
    </w:p>
    <w:p>
      <w:pPr>
        <w:pStyle w:val="ListParagraph"/>
        <w:numPr>
          <w:ilvl w:val="0"/>
          <w:numId w:val="2"/>
        </w:numPr>
        <w:spacing w:after="100"/>
      </w:pPr>
      <w:r>
        <w:rPr>
          <w:sz w:val="22"/>
          <w:szCs w:val="22"/>
        </w:rPr>
        <w:t xml:space="preserve">Sponsorship approval letter from the Department of Home Affairs</w:t>
      </w:r>
    </w:p>
    <w:p>
      <w:pPr>
        <w:pStyle w:val="ListParagraph"/>
        <w:numPr>
          <w:ilvl w:val="0"/>
          <w:numId w:val="2"/>
        </w:numPr>
        <w:spacing w:after="100"/>
      </w:pPr>
      <w:r>
        <w:rPr>
          <w:sz w:val="22"/>
          <w:szCs w:val="22"/>
        </w:rPr>
        <w:t xml:space="preserve">Nomination confirmation for the specific applicant</w:t>
      </w:r>
    </w:p>
    <w:p>
      <w:pPr>
        <w:pStyle w:val="ListParagraph"/>
        <w:numPr>
          <w:ilvl w:val="0"/>
          <w:numId w:val="2"/>
        </w:numPr>
        <w:spacing w:after="100"/>
      </w:pPr>
      <w:r>
        <w:rPr>
          <w:sz w:val="22"/>
          <w:szCs w:val="22"/>
        </w:rPr>
        <w:t xml:space="preserve">Detailed structured training plan outlining activities, timelines, and outcomes</w:t>
      </w:r>
    </w:p>
    <w:p>
      <w:pPr>
        <w:pStyle w:val="ListParagraph"/>
        <w:numPr>
          <w:ilvl w:val="0"/>
          <w:numId w:val="2"/>
        </w:numPr>
        <w:spacing w:after="100"/>
      </w:pPr>
      <w:r>
        <w:rPr>
          <w:sz w:val="22"/>
          <w:szCs w:val="22"/>
        </w:rPr>
        <w:t xml:space="preserve">Evidence that the training is not available at the same standard in the applicant's home country</w:t>
      </w:r>
    </w:p>
    <w:p>
      <w:pPr>
        <w:pStyle w:val="ListParagraph"/>
        <w:numPr>
          <w:ilvl w:val="0"/>
          <w:numId w:val="2"/>
        </w:numPr>
        <w:spacing w:after="100"/>
      </w:pPr>
      <w:r>
        <w:rPr>
          <w:sz w:val="22"/>
          <w:szCs w:val="22"/>
        </w:rPr>
        <w:t xml:space="preserve">Proof the sponsor is a legitimately operating business (ABN, ASIC records, financials)</w:t>
      </w:r>
    </w:p>
    <w:p>
      <w:pPr>
        <w:pStyle w:val="ListParagraph"/>
        <w:numPr>
          <w:ilvl w:val="0"/>
          <w:numId w:val="2"/>
        </w:numPr>
        <w:spacing w:after="100"/>
      </w:pPr>
      <w:r>
        <w:rPr>
          <w:sz w:val="22"/>
          <w:szCs w:val="22"/>
        </w:rPr>
        <w:t xml:space="preserve">Confirmation of market-rate remuneration for the training period</w:t>
      </w:r>
    </w:p>
    <w:p>
      <w:pPr>
        <w:spacing w:after="120"/>
      </w:pPr>
      <w:r>
        <w:t xml:space="preserve"/>
      </w:r>
    </w:p>
    <w:p>
      <w:pPr>
        <w:pStyle w:val="Heading2"/>
      </w:pPr>
      <w:r>
        <w:rPr>
          <w:b/>
          <w:bCs/>
          <w:color w:val="2E75B6"/>
          <w:sz w:val="28"/>
          <w:szCs w:val="28"/>
        </w:rPr>
        <w:t xml:space="preserve">Australia Training Visa Application Process — Step by Step</w:t>
      </w:r>
    </w:p>
    <w:p>
      <w:pPr>
        <w:spacing w:after="160"/>
        <w:jc w:val="both"/>
      </w:pPr>
      <w:r>
        <w:rPr>
          <w:sz w:val="22"/>
          <w:szCs w:val="22"/>
        </w:rPr>
        <w:t xml:space="preserve">The application process for the Subclass 407 involves both the sponsor and the applicant completing separate but linked steps. Here is a clear breakdown of the full process:</w:t>
      </w:r>
    </w:p>
    <w:p>
      <w:pPr>
        <w:pStyle w:val="Heading3"/>
      </w:pPr>
      <w:r>
        <w:rPr>
          <w:b/>
          <w:bCs/>
          <w:color w:val="1F4E79"/>
          <w:sz w:val="24"/>
          <w:szCs w:val="24"/>
        </w:rPr>
        <w:t xml:space="preserve">Step 1 — Sponsor Applies for Approval</w:t>
      </w:r>
    </w:p>
    <w:p>
      <w:pPr>
        <w:spacing w:after="160"/>
        <w:jc w:val="both"/>
      </w:pPr>
      <w:r>
        <w:rPr>
          <w:sz w:val="22"/>
          <w:szCs w:val="22"/>
        </w:rPr>
        <w:t xml:space="preserve">The Australian organisation wishing to host a trainee must first apply to the Department of Home Affairs to become an approved sponsor. This is done through ImmiAccount. The application includes business details, financial records, and details of the intended training program.</w:t>
      </w:r>
    </w:p>
    <w:p>
      <w:pPr>
        <w:pStyle w:val="Heading3"/>
      </w:pPr>
      <w:r>
        <w:rPr>
          <w:b/>
          <w:bCs/>
          <w:color w:val="1F4E79"/>
          <w:sz w:val="24"/>
          <w:szCs w:val="24"/>
        </w:rPr>
        <w:t xml:space="preserve">Step 2 — Sponsor Lodges a Nomination</w:t>
      </w:r>
    </w:p>
    <w:p>
      <w:pPr>
        <w:spacing w:after="160"/>
        <w:jc w:val="both"/>
      </w:pPr>
      <w:r>
        <w:rPr>
          <w:sz w:val="22"/>
          <w:szCs w:val="22"/>
        </w:rPr>
        <w:t xml:space="preserve">Once approved, the sponsor nominates the specific individual they wish to train. The nomination must include the full training plan, evidence that training is not available in the nominee's home country, and confirmation of the remuneration package.</w:t>
      </w:r>
    </w:p>
    <w:p>
      <w:pPr>
        <w:pStyle w:val="Heading3"/>
      </w:pPr>
      <w:r>
        <w:rPr>
          <w:b/>
          <w:bCs/>
          <w:color w:val="1F4E79"/>
          <w:sz w:val="24"/>
          <w:szCs w:val="24"/>
        </w:rPr>
        <w:t xml:space="preserve">Step 3 — Applicant Lodges the Visa Application</w:t>
      </w:r>
    </w:p>
    <w:p>
      <w:pPr>
        <w:spacing w:after="160"/>
        <w:jc w:val="both"/>
      </w:pPr>
      <w:r>
        <w:rPr>
          <w:sz w:val="22"/>
          <w:szCs w:val="22"/>
        </w:rPr>
        <w:t xml:space="preserve">After receiving the nomination, the applicant can submit their visa application online through ImmiAccount. All supporting documents must be attached at this stage. Incomplete applications significantly delay processing times.</w:t>
      </w:r>
    </w:p>
    <w:p>
      <w:pPr>
        <w:pStyle w:val="Heading3"/>
      </w:pPr>
      <w:r>
        <w:rPr>
          <w:b/>
          <w:bCs/>
          <w:color w:val="1F4E79"/>
          <w:sz w:val="24"/>
          <w:szCs w:val="24"/>
        </w:rPr>
        <w:t xml:space="preserve">Step 4 — Health and Character Checks</w:t>
      </w:r>
    </w:p>
    <w:p>
      <w:pPr>
        <w:spacing w:after="160"/>
        <w:jc w:val="both"/>
      </w:pPr>
      <w:r>
        <w:rPr>
          <w:sz w:val="22"/>
          <w:szCs w:val="22"/>
        </w:rPr>
        <w:t xml:space="preserve">The Department of Home Affairs will request a health examination through a panel physician and may request additional police clearances. These checks can be requested at any point during assessment.</w:t>
      </w:r>
    </w:p>
    <w:p>
      <w:pPr>
        <w:pStyle w:val="Heading3"/>
      </w:pPr>
      <w:r>
        <w:rPr>
          <w:b/>
          <w:bCs/>
          <w:color w:val="1F4E79"/>
          <w:sz w:val="24"/>
          <w:szCs w:val="24"/>
        </w:rPr>
        <w:t xml:space="preserve">Step 5 — Decision</w:t>
      </w:r>
    </w:p>
    <w:p>
      <w:pPr>
        <w:spacing w:after="160"/>
        <w:jc w:val="both"/>
      </w:pPr>
      <w:r>
        <w:rPr>
          <w:sz w:val="22"/>
          <w:szCs w:val="22"/>
        </w:rPr>
        <w:t xml:space="preserve">A visa officer will assess the complete application. They may request additional information (a Section 56 request) if something requires clarification. Once satisfied, they will grant or refuse the visa. Grant letters are sent to the email address on file.</w:t>
      </w:r>
    </w:p>
    <w:p>
      <w:pPr>
        <w:spacing w:after="120"/>
      </w:pPr>
      <w:r>
        <w:t xml:space="preserve"/>
      </w:r>
    </w:p>
    <w:p>
      <w:pPr>
        <w:pStyle w:val="Heading2"/>
      </w:pPr>
      <w:r>
        <w:rPr>
          <w:b/>
          <w:bCs/>
          <w:color w:val="2E75B6"/>
          <w:sz w:val="28"/>
          <w:szCs w:val="28"/>
        </w:rPr>
        <w:t xml:space="preserve">Australia Training Visa Processing Time in 2026</w:t>
      </w:r>
    </w:p>
    <w:p>
      <w:pPr>
        <w:spacing w:after="160"/>
        <w:jc w:val="both"/>
      </w:pPr>
      <w:r>
        <w:rPr>
          <w:sz w:val="22"/>
          <w:szCs w:val="22"/>
        </w:rPr>
        <w:t xml:space="preserve">Processing times for the Subclass 407 Training Visa have varied considerably in recent years. As of 2026, the approximate processing time is between 3 to 6 months, though this depends heavily on how complete the application is and whether health or character checks are straightforward.</w:t>
      </w:r>
    </w:p>
    <w:p>
      <w:pPr>
        <w:spacing w:after="160"/>
        <w:jc w:val="both"/>
      </w:pPr>
      <w:r>
        <w:rPr>
          <w:sz w:val="22"/>
          <w:szCs w:val="22"/>
        </w:rPr>
        <w:t xml:space="preserve">Stream 2 applications, which involve government agencies, are sometimes processed more quickly due to the formal backing behind them. Stream 1 applications with complex training plans or applicants from countries with longer police clearance times may take longer.</w:t>
      </w:r>
    </w:p>
    <w:p>
      <w:pPr>
        <w:spacing w:after="160"/>
        <w:jc w:val="both"/>
      </w:pPr>
      <w:r>
        <w:rPr>
          <w:sz w:val="22"/>
          <w:szCs w:val="22"/>
        </w:rPr>
        <w:t xml:space="preserve">It is strongly advisable to apply well in advance of your intended start date. Do not book flights or make accommodation commitments until the visa is granted.</w:t>
      </w:r>
    </w:p>
    <w:p>
      <w:pPr>
        <w:spacing w:after="120"/>
      </w:pPr>
      <w:r>
        <w:t xml:space="preserve"/>
      </w:r>
    </w:p>
    <w:p>
      <w:pPr>
        <w:pStyle w:val="Heading2"/>
      </w:pPr>
      <w:r>
        <w:rPr>
          <w:b/>
          <w:bCs/>
          <w:color w:val="2E75B6"/>
          <w:sz w:val="28"/>
          <w:szCs w:val="28"/>
        </w:rPr>
        <w:t xml:space="preserve">Australia Training Visa Cost and Fees in 2026</w:t>
      </w:r>
    </w:p>
    <w:p>
      <w:pPr>
        <w:spacing w:after="160"/>
        <w:jc w:val="both"/>
      </w:pPr>
      <w:r>
        <w:rPr>
          <w:sz w:val="22"/>
          <w:szCs w:val="22"/>
        </w:rPr>
        <w:t xml:space="preserve">The visa application charge for the Subclass 407 as of 2026 is AUD 310 for the primary applicant. Additional secondary applicants (such as a spouse or dependent children) each attract a separate fee.</w:t>
      </w:r>
    </w:p>
    <w:p>
      <w:pPr>
        <w:spacing w:after="160"/>
        <w:jc w:val="both"/>
      </w:pPr>
      <w:r>
        <w:rPr>
          <w:sz w:val="22"/>
          <w:szCs w:val="22"/>
        </w:rPr>
        <w:t xml:space="preserve">This is the government fee only. Total costs will be significantly higher when factoring in expenses such as health examination fees, police certificate charges, English language test fees (if not already taken), migration agent professional fees, and health insurance for the duration of stay.</w:t>
      </w:r>
    </w:p>
    <w:p>
      <w:pPr>
        <w:spacing w:after="160"/>
        <w:jc w:val="both"/>
      </w:pPr>
      <w:r>
        <w:rPr>
          <w:sz w:val="22"/>
          <w:szCs w:val="22"/>
        </w:rPr>
        <w:t xml:space="preserve">In total, applicants should budget between AUD 2,000 to AUD 5,000 or more depending on the complexity of the case and the number of family members included.</w:t>
      </w:r>
    </w:p>
    <w:p>
      <w:pPr>
        <w:spacing w:after="120"/>
      </w:pPr>
      <w:r>
        <w:t xml:space="preserve"/>
      </w:r>
    </w:p>
    <w:p>
      <w:pPr>
        <w:pStyle w:val="Heading2"/>
      </w:pPr>
      <w:r>
        <w:rPr>
          <w:b/>
          <w:bCs/>
          <w:color w:val="2E75B6"/>
          <w:sz w:val="28"/>
          <w:szCs w:val="28"/>
        </w:rPr>
        <w:t xml:space="preserve">Training Visa Australia — Duration and Work Rights</w:t>
      </w:r>
    </w:p>
    <w:p>
      <w:pPr>
        <w:spacing w:after="160"/>
        <w:jc w:val="both"/>
      </w:pPr>
      <w:r>
        <w:rPr>
          <w:sz w:val="22"/>
          <w:szCs w:val="22"/>
        </w:rPr>
        <w:t xml:space="preserve">The Subclass 407 visa is granted for the period necessary to complete the approved training, which is generally up to two years. The exact duration is determined by the training plan submitted at the time of nomination.</w:t>
      </w:r>
    </w:p>
    <w:p>
      <w:pPr>
        <w:spacing w:after="160"/>
        <w:jc w:val="both"/>
      </w:pPr>
      <w:r>
        <w:rPr>
          <w:sz w:val="22"/>
          <w:szCs w:val="22"/>
        </w:rPr>
        <w:t xml:space="preserve">As a Training Visa holder, your work rights are limited to the approved training activities outlined in your nomination. You are not permitted to take up secondary employment outside your training program, and you cannot use this visa to engage in general work activities unrelated to your training.</w:t>
      </w:r>
    </w:p>
    <w:p>
      <w:pPr>
        <w:spacing w:after="160"/>
        <w:jc w:val="both"/>
      </w:pPr>
      <w:r>
        <w:rPr>
          <w:sz w:val="22"/>
          <w:szCs w:val="22"/>
        </w:rPr>
        <w:t xml:space="preserve">There is no direct pathway from the Subclass 407 to permanent residency. However, the skills, credentials, and experience gained during training may strengthen future visa applications, such as skilled migration pathways.</w:t>
      </w:r>
    </w:p>
    <w:p>
      <w:pPr>
        <w:spacing w:after="120"/>
      </w:pPr>
      <w:r>
        <w:t xml:space="preserve"/>
      </w:r>
    </w:p>
    <w:p>
      <w:pPr>
        <w:pStyle w:val="Heading2"/>
      </w:pPr>
      <w:r>
        <w:rPr>
          <w:b/>
          <w:bCs/>
          <w:color w:val="2E75B6"/>
          <w:sz w:val="28"/>
          <w:szCs w:val="28"/>
        </w:rPr>
        <w:t xml:space="preserve">Training Visa Australia for Pakistani Applicants</w:t>
      </w:r>
    </w:p>
    <w:p>
      <w:pPr>
        <w:spacing w:after="160"/>
        <w:jc w:val="both"/>
      </w:pPr>
      <w:r>
        <w:rPr>
          <w:sz w:val="22"/>
          <w:szCs w:val="22"/>
        </w:rPr>
        <w:t xml:space="preserve">Pakistani professionals represent one of the growing groups applying for the Australia Training Visa. Engineering, IT, construction, healthcare, and finance are among the most common sectors from which Pakistani applicants seek training opportunities in Australia.</w:t>
      </w:r>
    </w:p>
    <w:p>
      <w:pPr>
        <w:spacing w:after="160"/>
        <w:jc w:val="both"/>
      </w:pPr>
      <w:r>
        <w:rPr>
          <w:sz w:val="22"/>
          <w:szCs w:val="22"/>
        </w:rPr>
        <w:t xml:space="preserve">Key considerations for Pakistani applicants include obtaining police clearance from the National Database and Registration Authority (NADRA) and from relevant provincial authorities, demonstrating strong ties to Pakistan (family, employment, property), and providing a compelling genuine temporary entrant statement.</w:t>
      </w:r>
    </w:p>
    <w:p>
      <w:pPr>
        <w:spacing w:after="160"/>
        <w:jc w:val="both"/>
      </w:pPr>
      <w:r>
        <w:rPr>
          <w:sz w:val="22"/>
          <w:szCs w:val="22"/>
        </w:rPr>
        <w:t xml:space="preserve">English language requirements must be met — functional English is the minimum, which can be satisfied through IELTS with a score of 4.5 or above. For Stream 3 professional development training, higher English scores may be preferred.</w:t>
      </w:r>
    </w:p>
    <w:p>
      <w:pPr>
        <w:spacing w:after="160"/>
        <w:jc w:val="both"/>
      </w:pPr>
      <w:r>
        <w:rPr>
          <w:sz w:val="22"/>
          <w:szCs w:val="22"/>
        </w:rPr>
        <w:t xml:space="preserve">Working with a registered migration agent who understands both Australian immigration law and the specific circumstances of Pakistani applicants can significantly improve the chances of a successful outcome.</w:t>
      </w:r>
    </w:p>
    <w:p>
      <w:pPr>
        <w:spacing w:after="120"/>
      </w:pPr>
      <w:r>
        <w:t xml:space="preserve"/>
      </w:r>
    </w:p>
    <w:p>
      <w:pPr>
        <w:pStyle w:val="Heading2"/>
      </w:pPr>
      <w:r>
        <w:rPr>
          <w:b/>
          <w:bCs/>
          <w:color w:val="2E75B6"/>
          <w:sz w:val="28"/>
          <w:szCs w:val="28"/>
        </w:rPr>
        <w:t xml:space="preserve">Common Reasons for Training Visa Refusal</w:t>
      </w:r>
    </w:p>
    <w:p>
      <w:pPr>
        <w:spacing w:after="160"/>
        <w:jc w:val="both"/>
      </w:pPr>
      <w:r>
        <w:rPr>
          <w:sz w:val="22"/>
          <w:szCs w:val="22"/>
        </w:rPr>
        <w:t xml:space="preserve">Understanding why applications get refused is as important as understanding what makes them succeed. The most frequently cited refusal reasons for the Subclass 407 include:</w:t>
      </w:r>
    </w:p>
    <w:p>
      <w:pPr>
        <w:pStyle w:val="ListParagraph"/>
        <w:numPr>
          <w:ilvl w:val="0"/>
          <w:numId w:val="2"/>
        </w:numPr>
        <w:spacing w:after="100"/>
      </w:pPr>
      <w:r>
        <w:rPr>
          <w:sz w:val="22"/>
          <w:szCs w:val="22"/>
        </w:rPr>
        <w:t xml:space="preserve">Weak or unconvincing Genuine Temporary Entrant statement</w:t>
      </w:r>
    </w:p>
    <w:p>
      <w:pPr>
        <w:pStyle w:val="ListParagraph"/>
        <w:numPr>
          <w:ilvl w:val="0"/>
          <w:numId w:val="2"/>
        </w:numPr>
        <w:spacing w:after="100"/>
      </w:pPr>
      <w:r>
        <w:rPr>
          <w:sz w:val="22"/>
          <w:szCs w:val="22"/>
        </w:rPr>
        <w:t xml:space="preserve">Training plan that does not demonstrate genuine structured outcomes</w:t>
      </w:r>
    </w:p>
    <w:p>
      <w:pPr>
        <w:pStyle w:val="ListParagraph"/>
        <w:numPr>
          <w:ilvl w:val="0"/>
          <w:numId w:val="2"/>
        </w:numPr>
        <w:spacing w:after="100"/>
      </w:pPr>
      <w:r>
        <w:rPr>
          <w:sz w:val="22"/>
          <w:szCs w:val="22"/>
        </w:rPr>
        <w:t xml:space="preserve">Evidence that the training is available at the same level in the applicant's home country</w:t>
      </w:r>
    </w:p>
    <w:p>
      <w:pPr>
        <w:pStyle w:val="ListParagraph"/>
        <w:numPr>
          <w:ilvl w:val="0"/>
          <w:numId w:val="2"/>
        </w:numPr>
        <w:spacing w:after="100"/>
      </w:pPr>
      <w:r>
        <w:rPr>
          <w:sz w:val="22"/>
          <w:szCs w:val="22"/>
        </w:rPr>
        <w:t xml:space="preserve">Inadequate English language proficiency evidence</w:t>
      </w:r>
    </w:p>
    <w:p>
      <w:pPr>
        <w:pStyle w:val="ListParagraph"/>
        <w:numPr>
          <w:ilvl w:val="0"/>
          <w:numId w:val="2"/>
        </w:numPr>
        <w:spacing w:after="100"/>
      </w:pPr>
      <w:r>
        <w:rPr>
          <w:sz w:val="22"/>
          <w:szCs w:val="22"/>
        </w:rPr>
        <w:t xml:space="preserve">Incomplete documentation or missing sponsor nomination details</w:t>
      </w:r>
    </w:p>
    <w:p>
      <w:pPr>
        <w:pStyle w:val="ListParagraph"/>
        <w:numPr>
          <w:ilvl w:val="0"/>
          <w:numId w:val="2"/>
        </w:numPr>
        <w:spacing w:after="100"/>
      </w:pPr>
      <w:r>
        <w:rPr>
          <w:sz w:val="22"/>
          <w:szCs w:val="22"/>
        </w:rPr>
        <w:t xml:space="preserve">Character concerns arising from police clearances</w:t>
      </w:r>
    </w:p>
    <w:p>
      <w:pPr>
        <w:pStyle w:val="ListParagraph"/>
        <w:numPr>
          <w:ilvl w:val="0"/>
          <w:numId w:val="2"/>
        </w:numPr>
        <w:spacing w:after="100"/>
      </w:pPr>
      <w:r>
        <w:rPr>
          <w:sz w:val="22"/>
          <w:szCs w:val="22"/>
        </w:rPr>
        <w:t xml:space="preserve">Health requirements not met or medical evidence not submitted correctly</w:t>
      </w:r>
    </w:p>
    <w:p>
      <w:pPr>
        <w:pStyle w:val="ListParagraph"/>
        <w:numPr>
          <w:ilvl w:val="0"/>
          <w:numId w:val="2"/>
        </w:numPr>
        <w:spacing w:after="100"/>
      </w:pPr>
      <w:r>
        <w:rPr>
          <w:sz w:val="22"/>
          <w:szCs w:val="22"/>
        </w:rPr>
        <w:t xml:space="preserve">Previous visa refusals or overstays not properly disclosed</w:t>
      </w:r>
    </w:p>
    <w:p>
      <w:pPr>
        <w:spacing w:after="160"/>
        <w:jc w:val="both"/>
      </w:pPr>
      <w:r>
        <w:rPr>
          <w:sz w:val="22"/>
          <w:szCs w:val="22"/>
        </w:rPr>
        <w:t xml:space="preserve">Each of these issues is manageable with proper preparation and professional guidance. A migration agent can review your complete application before lodgement to identify and address any potential red flags.</w:t>
      </w:r>
    </w:p>
    <w:p>
      <w:pPr>
        <w:spacing w:after="120"/>
      </w:pPr>
      <w:r>
        <w:t xml:space="preserve"/>
      </w:r>
    </w:p>
    <w:p>
      <w:pPr>
        <w:pStyle w:val="Heading2"/>
      </w:pPr>
      <w:r>
        <w:rPr>
          <w:b/>
          <w:bCs/>
          <w:color w:val="2E75B6"/>
          <w:sz w:val="28"/>
          <w:szCs w:val="28"/>
        </w:rPr>
        <w:t xml:space="preserve">Australia Training Visa Extension</w:t>
      </w:r>
    </w:p>
    <w:p>
      <w:pPr>
        <w:spacing w:after="160"/>
        <w:jc w:val="both"/>
      </w:pPr>
      <w:r>
        <w:rPr>
          <w:sz w:val="22"/>
          <w:szCs w:val="22"/>
        </w:rPr>
        <w:t xml:space="preserve">Extensions of the Subclass 407 visa within Australia are possible but are not automatic. If your training program requires additional time beyond what was originally approved, the sponsor must submit a new nomination, and you must apply for a further visa. Extensions are assessed on the same criteria as original applications.</w:t>
      </w:r>
    </w:p>
    <w:p>
      <w:pPr>
        <w:spacing w:after="160"/>
        <w:jc w:val="both"/>
      </w:pPr>
      <w:r>
        <w:rPr>
          <w:sz w:val="22"/>
          <w:szCs w:val="22"/>
        </w:rPr>
        <w:t xml:space="preserve">You cannot simply remain in Australia beyond your visa expiry date. Doing so constitutes an unlawful status and will have serious consequences for future Australian visa applications.</w:t>
      </w:r>
    </w:p>
    <w:p>
      <w:pPr>
        <w:spacing w:after="120"/>
      </w:pPr>
      <w:r>
        <w:t xml:space="preserve"/>
      </w:r>
    </w:p>
    <w:p>
      <w:pPr>
        <w:pBdr>
          <w:top w:val="single" w:color="2E75B6" w:sz="8" w:space="4"/>
          <w:bottom w:val="single" w:color="2E75B6" w:sz="8" w:space="4"/>
          <w:left w:val="single" w:color="2E75B6" w:sz="8" w:space="4"/>
          <w:right w:val="single" w:color="2E75B6" w:sz="8" w:space="4"/>
        </w:pBdr>
        <w:shd w:fill="EBF5FB" w:val="clear"/>
        <w:spacing w:before="200" w:after="80"/>
        <w:jc w:val="center"/>
      </w:pPr>
      <w:r>
        <w:rPr>
          <w:b/>
          <w:bCs/>
          <w:color w:val="1B4F8C"/>
          <w:sz w:val="30"/>
          <w:szCs w:val="30"/>
        </w:rPr>
        <w:t xml:space="preserve">Ready to Apply for the Australia Training Visa?</w:t>
      </w:r>
    </w:p>
    <w:p>
      <w:pPr>
        <w:spacing w:after="100"/>
        <w:jc w:val="both"/>
      </w:pPr>
      <w:r>
        <w:rPr>
          <w:sz w:val="22"/>
          <w:szCs w:val="22"/>
        </w:rPr>
        <w:t xml:space="preserve">Navigating the Training Visa application process alone can be overwhelming — and a single mistake can cost you months of delay or an outright refusal. That is where Migration Republic comes in.</w:t>
      </w:r>
    </w:p>
    <w:p>
      <w:pPr>
        <w:spacing w:after="100"/>
        <w:jc w:val="both"/>
      </w:pPr>
      <w:r>
        <w:rPr>
          <w:sz w:val="22"/>
          <w:szCs w:val="22"/>
        </w:rPr>
        <w:t xml:space="preserve">At MigrationRepublic.com.au, our team of registered Australian migration professionals specialises in Training Visa (Subclass 407) applications. We work with both applicants and sponsors to prepare complete, compelling applications — from structuring your training plan and drafting your GTE statement to coordinating health checks and lodging everything correctly through ImmiAccount.</w:t>
      </w:r>
    </w:p>
    <w:p>
      <w:pPr>
        <w:spacing w:after="100"/>
        <w:jc w:val="both"/>
      </w:pPr>
      <w:r>
        <w:rPr>
          <w:sz w:val="22"/>
          <w:szCs w:val="22"/>
        </w:rPr>
        <w:t xml:space="preserve">Whether you are a Pakistani professional looking to upgrade your skills in Australia, an employer wanting to bring a specialist trainee from overseas, or a business seeking sponsorship approval — we handle it all. We know what the Department of Home Affairs looks for and we make sure your application reflects that.</w:t>
      </w:r>
    </w:p>
    <w:p>
      <w:pPr>
        <w:spacing w:after="100"/>
        <w:jc w:val="center"/>
      </w:pPr>
      <w:r>
        <w:rPr>
          <w:b/>
          <w:bCs/>
          <w:color w:val="C0392B"/>
          <w:sz w:val="24"/>
          <w:szCs w:val="24"/>
        </w:rPr>
        <w:t xml:space="preserve">Do not leave your visa application to chance.</w:t>
      </w:r>
    </w:p>
    <w:p>
      <w:pPr>
        <w:spacing w:after="200"/>
        <w:jc w:val="center"/>
      </w:pPr>
      <w:r>
        <w:rPr>
          <w:b/>
          <w:bCs/>
          <w:color w:val="1B4F8C"/>
          <w:sz w:val="23"/>
          <w:szCs w:val="23"/>
        </w:rPr>
        <w:t xml:space="preserve">Visit www.migrationrepublic.com.au today for a confidential consultation and let us guide you every step of the way toward your Australian training opportunity.</w:t>
      </w:r>
    </w:p>
    <w:p>
      <w:pPr>
        <w:pBdr>
          <w:top w:val="single" w:color="CCCCCC" w:sz="4" w:space="2"/>
        </w:pBdr>
        <w:spacing w:before="280" w:after="80"/>
      </w:pPr>
      <w:r>
        <w:rPr>
          <w:i/>
          <w:iCs/>
          <w:color w:val="777777"/>
          <w:sz w:val="18"/>
          <w:szCs w:val="18"/>
        </w:rPr>
        <w:t xml:space="preserve">Disclaimer: Visa fees and processing times listed in this guide are indicative as of 2026 and are subject to change by the Department of Home Affairs. Always verify current figures at immi.homeaffairs.gov.au before lodging your application.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Calibri" w:cs="Calibri" w:eastAsia="Calibri" w:hAnsi="Calibri"/>
      <w:b/>
      <w:bCs/>
      <w:color w:val="1B4F8C"/>
      <w:sz w:val="36"/>
      <w:szCs w:val="36"/>
    </w:rPr>
  </w:style>
  <w:style w:type="paragraph" w:styleId="Heading2">
    <w:name w:val="Heading 2"/>
    <w:basedOn w:val="Normal"/>
    <w:next w:val="Normal"/>
    <w:qFormat/>
    <w:pPr>
      <w:spacing w:before="240" w:after="160"/>
      <w:outlineLvl w:val="1"/>
    </w:pPr>
    <w:rPr>
      <w:rFonts w:ascii="Calibri" w:cs="Calibri" w:eastAsia="Calibri" w:hAnsi="Calibri"/>
      <w:b/>
      <w:bCs/>
      <w:color w:val="2E75B6"/>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2026-03-09T21:11:55.119Z</dcterms:created>
  <dcterms:modified xsi:type="dcterms:W3CDTF">2026-03-09T21:11:55.120Z</dcterms:modified>
</cp:coreProperties>
</file>

<file path=docProps/custom.xml><?xml version="1.0" encoding="utf-8"?>
<Properties xmlns="http://schemas.openxmlformats.org/officeDocument/2006/custom-properties" xmlns:vt="http://schemas.openxmlformats.org/officeDocument/2006/docPropsVTypes"/>
</file>