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ADEMP-PreReg</w:t>
      </w:r>
      <w:r>
        <w:br/>
      </w:r>
      <w:r>
        <w:rPr>
          <w:b/>
        </w:rPr>
        <w:t xml:space="preserve">Template</w:t>
      </w:r>
      <w:r>
        <w:rPr>
          <w:b/>
        </w:rPr>
        <w:t xml:space="preserve"> </w:t>
      </w:r>
      <w:r>
        <w:rPr>
          <w:b/>
        </w:rPr>
        <w:t xml:space="preserve">for</w:t>
      </w:r>
      <w:r>
        <w:rPr>
          <w:b/>
        </w:rPr>
        <w:t xml:space="preserve"> </w:t>
      </w:r>
      <w:r>
        <w:rPr>
          <w:b/>
        </w:rPr>
        <w:t xml:space="preserve">Simulation</w:t>
      </w:r>
      <w:r>
        <w:rPr>
          <w:b/>
        </w:rPr>
        <w:t xml:space="preserve"> </w:t>
      </w:r>
      <w:r>
        <w:rPr>
          <w:b/>
        </w:rPr>
        <w:t xml:space="preserve">Studies</w:t>
      </w:r>
    </w:p>
    <w:p>
      <w:pPr>
        <w:pStyle w:val="FirstParagraph"/>
      </w:pPr>
      <w:r>
        <w:t xml:space="preserve">Version: 1.0</w:t>
      </w:r>
      <w:r>
        <w:br/>
      </w:r>
      <w:r>
        <w:t xml:space="preserve">Last updated: 2024-10-10</w:t>
      </w:r>
      <w:r>
        <w:br/>
      </w:r>
      <w:r>
        <w:t xml:space="preserve">Template based on the paper:</w:t>
      </w:r>
      <w:r>
        <w:br/>
      </w:r>
      <w:r>
        <w:t xml:space="preserve">Siepe, B. S., Bartoš, F., Morris, T. P., Boulesteix, A.-L., Heck, D. W., &amp; Pawel, S. (2024). Simulation studies for methodological research in psychology: A standardized structure for planning, preregistration, and reporting.</w:t>
      </w:r>
      <w:r>
        <w:t xml:space="preserve"> </w:t>
      </w:r>
      <w:r>
        <w:rPr>
          <w:i/>
        </w:rPr>
        <w:t xml:space="preserve">Psychological Methods</w:t>
      </w:r>
      <w:r>
        <w:t xml:space="preserve">.</w:t>
      </w:r>
      <w:r>
        <w:t xml:space="preserve"> </w:t>
      </w:r>
      <w:hyperlink r:id="rId20">
        <w:r>
          <w:rPr>
            <w:rStyle w:val="InternetLink"/>
          </w:rPr>
          <w:t xml:space="preserve">https://doi.org/10.1037/met0000695</w:t>
        </w:r>
      </w:hyperlink>
      <w:r>
        <w:t xml:space="preserve">,</w:t>
      </w:r>
      <w:r>
        <w:t xml:space="preserve"> </w:t>
      </w:r>
      <w:hyperlink r:id="rId21">
        <w:r>
          <w:rPr>
            <w:rStyle w:val="InternetLink"/>
          </w:rPr>
          <w:t xml:space="preserve">https://doi.org/10.31234/osf.io/ufgy6</w:t>
        </w:r>
      </w:hyperlink>
    </w:p>
    <w:p>
      <w:pPr>
        <w:pStyle w:val="Heading1"/>
      </w:pPr>
      <w:bookmarkStart w:id="22" w:name="instructions"/>
      <w:r>
        <w:t xml:space="preserve">Instructions</w:t>
      </w:r>
      <w:bookmarkEnd w:id="22"/>
    </w:p>
    <w:p>
      <w:pPr>
        <w:pStyle w:val="Heading2"/>
      </w:pPr>
      <w:bookmarkStart w:id="23" w:name="general-information"/>
      <w:r>
        <w:t xml:space="preserve">General Information</w:t>
      </w:r>
      <w:bookmarkEnd w:id="23"/>
    </w:p>
    <w:p>
      <w:pPr>
        <w:pStyle w:val="FirstParagraph"/>
      </w:pPr>
      <w:r>
        <w:t xml:space="preserve">This template can be used to plan and/or preregister Monte Carlo simulation studies according to the ADEMP framework</w:t>
      </w:r>
      <w:r>
        <w:t xml:space="preserve"> </w:t>
      </w:r>
      <w:r>
        <w:t xml:space="preserve">(Morris, White, and Crowther 2019)</w:t>
      </w:r>
      <w:r>
        <w:t xml:space="preserve">. The publication associated with this template is</w:t>
      </w:r>
      <w:r>
        <w:t xml:space="preserve"> </w:t>
      </w:r>
      <w:r>
        <w:t xml:space="preserve">(Siepe et al. 2024)</w:t>
      </w:r>
      <w:r>
        <w:t xml:space="preserve">. Alternative Google Docs and Word versions of this template are available at (</w:t>
      </w:r>
      <w:hyperlink r:id="rId24">
        <w:r>
          <w:rPr>
            <w:rStyle w:val="InternetLink"/>
          </w:rPr>
          <w:t xml:space="preserve">https://github.com/bsiepe/ADEMP-PreReg</w:t>
        </w:r>
      </w:hyperlink>
      <w:r>
        <w:t xml:space="preserve">). To time-stamp your protocol, we recommend uploading it to the Open Science Framework (</w:t>
      </w:r>
      <w:hyperlink r:id="rId25">
        <w:r>
          <w:rPr>
            <w:rStyle w:val="InternetLink"/>
          </w:rPr>
          <w:t xml:space="preserve">https://osf.io/</w:t>
        </w:r>
      </w:hyperlink>
      <w:r>
        <w:t xml:space="preserve">) or Zenodo (</w:t>
      </w:r>
      <w:hyperlink r:id="rId26">
        <w:r>
          <w:rPr>
            <w:rStyle w:val="InternetLink"/>
          </w:rPr>
          <w:t xml:space="preserve">https://zenodo.org/</w:t>
        </w:r>
      </w:hyperlink>
      <w:r>
        <w:t xml:space="preserve">). When using this template, please cite the associated article</w:t>
      </w:r>
      <w:r>
        <w:t xml:space="preserve"> </w:t>
      </w:r>
      <w:r>
        <w:t xml:space="preserve">(Siepe et al. 2024)</w:t>
      </w:r>
      <w:r>
        <w:t xml:space="preserve">. If you have any questions or suggestions for improving the template, please contact us via the ways described at (</w:t>
      </w:r>
      <w:hyperlink r:id="rId24">
        <w:r>
          <w:rPr>
            <w:rStyle w:val="InternetLink"/>
          </w:rPr>
          <w:t xml:space="preserve">https://github.com/bsiepe/ADEMP-PreReg</w:t>
        </w:r>
      </w:hyperlink>
      <w:r>
        <w:t xml:space="preserve">). For LaTeX users of this template, we provide simple commands to exclude the instructions, explanations, and example boxes from their compiled document.</w:t>
      </w:r>
      <w:r>
        <w:br/>
      </w:r>
    </w:p>
    <w:p>
      <w:pPr>
        <w:pStyle w:val="Heading2"/>
      </w:pPr>
      <w:bookmarkStart w:id="27" w:name="using-this-template"/>
      <w:r>
        <w:t xml:space="preserve">Using this template</w:t>
      </w:r>
      <w:bookmarkEnd w:id="27"/>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 Finally, the template can also be used as a blueprint for the reporting of non-preregistered simulation studies.</w:t>
      </w:r>
    </w:p>
    <w:p>
      <w:pPr>
        <w:pStyle w:val="Heading1"/>
      </w:pPr>
      <w:bookmarkStart w:id="28" w:name="general-information-1"/>
      <w:r>
        <w:t xml:space="preserve">General Information</w:t>
      </w:r>
      <w:bookmarkEnd w:id="28"/>
    </w:p>
    <w:p>
      <w:pPr>
        <w:pStyle w:val="Heading2"/>
      </w:pPr>
      <w:bookmarkStart w:id="29" w:name="what-is-the-title-of-the-project"/>
      <w:r>
        <w:t xml:space="preserve">What is the title of the project?</w:t>
      </w:r>
      <w:bookmarkEnd w:id="29"/>
    </w:p>
    <w:p>
      <w:pPr>
        <w:pStyle w:val="FirstParagraph"/>
      </w:pPr>
      <w:r>
        <w:rPr>
          <w:i/>
        </w:rPr>
        <w:t xml:space="preserve">Example:</w:t>
      </w:r>
      <w:r>
        <w:t xml:space="preserve"> </w:t>
      </w:r>
      <w:r>
        <w:t xml:space="preserve">Evaluating methods for the analysis of pre–post measurement experiments</w:t>
      </w:r>
    </w:p>
    <w:p>
      <w:pPr>
        <w:pStyle w:val="TextBody"/>
      </w:pPr>
      <w:r>
        <w:rPr>
          <w:i/>
        </w:rPr>
        <w:t xml:space="preserve">Answer:</w:t>
      </w:r>
    </w:p>
    <w:p>
      <w:pPr>
        <w:pStyle w:val="Heading2"/>
      </w:pPr>
      <w:bookmarkStart w:id="30" w:name="X4ecc5bf0e88e36141ddf6188940afff9229de1b"/>
      <w:r>
        <w:t xml:space="preserve">Who are the current and future project contributors?</w:t>
      </w:r>
      <w:bookmarkEnd w:id="30"/>
    </w:p>
    <w:p>
      <w:pPr>
        <w:pStyle w:val="FirstParagraph"/>
      </w:pPr>
      <w:r>
        <w:rPr>
          <w:i/>
        </w:rPr>
        <w:t xml:space="preserve">Example:</w:t>
      </w:r>
      <w:r>
        <w:t xml:space="preserve"> </w:t>
      </w:r>
      <w:r>
        <w:t xml:space="preserve">Björn S. Siepe, František Bartoš, and Samuel Pawel</w:t>
      </w:r>
    </w:p>
    <w:p>
      <w:pPr>
        <w:pStyle w:val="TextBody"/>
      </w:pPr>
      <w:r>
        <w:rPr>
          <w:i/>
        </w:rPr>
        <w:t xml:space="preserve">Answer:</w:t>
      </w:r>
    </w:p>
    <w:p>
      <w:pPr>
        <w:pStyle w:val="Heading2"/>
      </w:pPr>
      <w:bookmarkStart w:id="31" w:name="provide-a-description-of-the-project."/>
      <w:r>
        <w:t xml:space="preserve">Provide a description of the project.</w:t>
      </w:r>
      <w:bookmarkEnd w:id="31"/>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TextBody"/>
      </w:pPr>
      <w:r>
        <w:rPr>
          <w:i/>
        </w:rPr>
        <w:t xml:space="preserve">Answer:</w:t>
      </w:r>
    </w:p>
    <w:p>
      <w:pPr>
        <w:pStyle w:val="Heading2"/>
      </w:pPr>
      <w:bookmarkStart w:id="32" w:name="X42cc8676754b069f0e4d6b4e1511cf8e1e93941"/>
      <w:r>
        <w:t xml:space="preserve">Did any of the contributors already conduct related simulation studies on this specific question?</w:t>
      </w:r>
      <w:bookmarkEnd w:id="32"/>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TextBody"/>
      </w:pPr>
      <w:r>
        <w:rPr>
          <w:i/>
        </w:rPr>
        <w:t xml:space="preserve">Answer:</w:t>
      </w:r>
    </w:p>
    <w:p>
      <w:pPr>
        <w:pStyle w:val="Heading1"/>
      </w:pPr>
      <w:bookmarkStart w:id="33" w:name="aims"/>
      <w:r>
        <w:t xml:space="preserve">Aims</w:t>
      </w:r>
      <w:bookmarkEnd w:id="33"/>
    </w:p>
    <w:p>
      <w:pPr>
        <w:pStyle w:val="Heading2"/>
      </w:pPr>
      <w:bookmarkStart w:id="34" w:name="what-is-the-aim-of-the-simulation-study"/>
      <w:r>
        <w:t xml:space="preserve">What is the aim of the simulation study?</w:t>
      </w:r>
      <w:bookmarkEnd w:id="34"/>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TextBody"/>
      </w:pPr>
      <w:r>
        <w:rPr>
          <w:i/>
        </w:rPr>
        <w:t xml:space="preserve">Answer:</w:t>
      </w:r>
    </w:p>
    <w:p>
      <w:pPr>
        <w:pStyle w:val="Heading1"/>
      </w:pPr>
      <w:bookmarkStart w:id="35" w:name="data-generating-mechanism"/>
      <w:r>
        <w:t xml:space="preserve">Data-Generating Mechanism</w:t>
      </w:r>
      <w:bookmarkEnd w:id="35"/>
    </w:p>
    <w:p>
      <w:pPr>
        <w:pStyle w:val="Heading2"/>
      </w:pPr>
      <w:bookmarkStart w:id="36" w:name="Xe81e2f8900779804dba7d4abaa0716e1add113c"/>
      <w:r>
        <w:t xml:space="preserve">How will the parameters for the data-generating mechanism (DGM) be specified?</w:t>
      </w:r>
      <w:bookmarkEnd w:id="36"/>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In each simulation repetition, we generate</w:t>
      </w:r>
      <w:r>
        <w:t xml:space="preserve"> </w:t>
      </w:r>
      <m:oMath>
        <m:r>
          <m:t>n</m:t>
        </m:r>
        <m:r>
          <m:t>=</m:t>
        </m:r>
        <m:r>
          <m:t>50</m:t>
        </m:r>
      </m:oMath>
      <w:r>
        <w:t xml:space="preserve"> </w:t>
      </w:r>
      <w:r>
        <w:t xml:space="preserve">pre–post measurements in the control group (</w:t>
      </w:r>
      <m:oMath>
        <m:r>
          <m:t>g</m:t>
        </m:r>
        <m:r>
          <m:t>=</m:t>
        </m:r>
        <m:r>
          <m:rPr>
            <m:nor/>
            <m:sty m:val="p"/>
          </m:rPr>
          <m:t>control</m:t>
        </m:r>
      </m:oMath>
      <w:r>
        <w:t xml:space="preserve">) and</w:t>
      </w:r>
      <w:r>
        <w:t xml:space="preserve"> </w:t>
      </w:r>
      <m:oMath>
        <m:r>
          <m:t>n</m:t>
        </m:r>
        <m:r>
          <m:t>=</m:t>
        </m:r>
        <m:r>
          <m:t>50</m:t>
        </m:r>
      </m:oMath>
      <w:r>
        <w:t xml:space="preserve"> </w:t>
      </w:r>
      <w:r>
        <w:t xml:space="preserve">pre–post measurements in the experimental group (</w:t>
      </w:r>
      <m:oMath>
        <m:r>
          <m:t>g</m:t>
        </m:r>
        <m:r>
          <m:t>=</m:t>
        </m:r>
        <m:r>
          <m:rPr>
            <m:nor/>
            <m:sty m:val="p"/>
          </m:rPr>
          <m:t>exp</m:t>
        </m:r>
      </m:oMath>
      <w:r>
        <w:t xml:space="preserve">) from a bivariate normal distribution</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
            </m:e>
          </m:d>
          <m:r>
            <m:t>∼</m:t>
          </m:r>
          <m:r>
            <m:rPr>
              <m:nor/>
              <m:sty m:val="p"/>
            </m:rPr>
            <m:t>N</m:t>
          </m:r>
          <m:d>
            <m:dPr>
              <m:begChr m:val="("/>
              <m:endChr m:val=")"/>
              <m:grow/>
            </m:dPr>
            <m:e>
              <m:d>
                <m:dPr>
                  <m:begChr m:val="["/>
                  <m:endChr m:val="]"/>
                  <m:grow/>
                </m:dPr>
                <m:e>
                  <m:m>
                    <m:mPr>
                      <m:baseJc m:val="center"/>
                      <m:plcHide m:val="1"/>
                      <m:mcs>
                        <m:mc>
                          <m:mcPr>
                            <m:mcJc m:val="center"/>
                            <m:count m:val="1"/>
                          </m:mcPr>
                        </m:mc>
                      </m:mcs>
                    </m:mPr>
                    <m:mr>
                      <m:e>
                        <m:r>
                          <m:t>0</m:t>
                        </m:r>
                      </m:e>
                    </m:mr>
                    <m:mr>
                      <m:e>
                        <m:sSub>
                          <m:e>
                            <m:r>
                              <m:t>μ</m:t>
                            </m:r>
                          </m:e>
                          <m:sub>
                            <m:r>
                              <m:t>g</m:t>
                            </m:r>
                            <m:r>
                              <m:t>,</m:t>
                            </m:r>
                            <m:r>
                              <m:t>2</m:t>
                            </m:r>
                          </m:sub>
                        </m:sSub>
                      </m:e>
                    </m:mr>
                  </m:m>
                </m:e>
              </m:d>
              <m:r>
                <m:t>,</m:t>
              </m:r>
              <m:d>
                <m:dPr>
                  <m:begChr m:val="["/>
                  <m:endChr m:val="]"/>
                  <m:grow/>
                </m:dPr>
                <m:e>
                  <m:m>
                    <m:mPr>
                      <m:baseJc m:val="center"/>
                      <m:plcHide m:val="1"/>
                      <m:mcs>
                        <m:mc>
                          <m:mcPr>
                            <m:mcJc m:val="center"/>
                            <m:count m:val="1"/>
                          </m:mcPr>
                        </m:mc>
                        <m:mc>
                          <m:mcPr>
                            <m:mcJc m:val="center"/>
                            <m:count m:val="1"/>
                          </m:mcPr>
                        </m:mc>
                      </m:mcs>
                    </m:mPr>
                    <m:mr>
                      <m:e>
                        <m:r>
                          <m:t>1</m:t>
                        </m:r>
                      </m:e>
                      <m:e>
                        <m:r>
                          <m:t>ρ</m:t>
                        </m:r>
                      </m:e>
                    </m:mr>
                    <m:mr>
                      <m:e>
                        <m:r>
                          <m:t>ρ</m:t>
                        </m:r>
                      </m:e>
                      <m:e>
                        <m:r>
                          <m:t>1</m:t>
                        </m:r>
                      </m:e>
                    </m:mr>
                  </m:m>
                </m:e>
              </m:d>
            </m:e>
          </m:d>
          <m:r>
            <m:t>,</m:t>
          </m:r>
        </m:oMath>
      </m:oMathPara>
    </w:p>
    <w:p>
      <w:pPr>
        <w:pStyle w:val="FirstParagraph"/>
      </w:pPr>
      <w:r>
        <w:t xml:space="preserve">where the first argument of the normal distribution is the mean vector and the second argument the covariance matrix.</w:t>
      </w:r>
      <w:r>
        <w:t xml:space="preserve"> </w:t>
      </w:r>
      <w:r>
        <w:t xml:space="preserve">The numerical subscript 1 indicates measurement time</w:t>
      </w:r>
      <w:r>
        <w:t xml:space="preserve"> </w:t>
      </w:r>
      <w:r>
        <w:t xml:space="preserve">‘</w:t>
      </w:r>
      <w:r>
        <w:t xml:space="preserve">pre</w:t>
      </w:r>
      <w:r>
        <w:t xml:space="preserve">’</w:t>
      </w:r>
      <w:r>
        <w:t xml:space="preserve"> </w:t>
      </w:r>
      <w:r>
        <w:t xml:space="preserve">and 2 indicates</w:t>
      </w:r>
      <w:r>
        <w:t xml:space="preserve"> </w:t>
      </w:r>
      <w:r>
        <w:t xml:space="preserve">‘</w:t>
      </w:r>
      <w:r>
        <w:t xml:space="preserve">post</w:t>
      </w:r>
      <w:r>
        <w:t xml:space="preserve">’</w:t>
      </w:r>
      <w:r>
        <w:t xml:space="preserve">. The parameter</w:t>
      </w:r>
      <w:r>
        <w:t xml:space="preserve"> </w:t>
      </w:r>
      <m:oMath>
        <m:sSub>
          <m:e>
            <m:r>
              <m:t>μ</m:t>
            </m:r>
          </m:e>
          <m:sub>
            <m:r>
              <m:t>g</m:t>
            </m:r>
            <m:r>
              <m:t>,</m:t>
            </m:r>
            <m:r>
              <m:t>2</m:t>
            </m:r>
          </m:sub>
        </m:sSub>
      </m:oMath>
      <w:r>
        <w:t xml:space="preserve"> </w:t>
      </w:r>
      <w:r>
        <w:t xml:space="preserve">denotes the post-treatment mean. It is fixed to zero in the control group (</w:t>
      </w:r>
      <m:oMath>
        <m:sSub>
          <m:e>
            <m:r>
              <m:t>μ</m:t>
            </m:r>
          </m:e>
          <m:sub>
            <m:r>
              <m:rPr>
                <m:nor/>
                <m:sty m:val="p"/>
              </m:rPr>
              <m:t>control</m:t>
            </m:r>
            <m:r>
              <m:t>,</m:t>
            </m:r>
            <m:r>
              <m:t>2</m:t>
            </m:r>
          </m:sub>
        </m:sSub>
        <m:r>
          <m:t>=</m:t>
        </m:r>
        <m:r>
          <m:t>0</m:t>
        </m:r>
      </m:oMath>
      <w:r>
        <w:t xml:space="preserve">), whereas it is varied across simulation conditions in the experimental group. The parameter</w:t>
      </w:r>
      <w:r>
        <w:t xml:space="preserve"> </w:t>
      </w:r>
      <m:oMath>
        <m:r>
          <m:t>ρ</m:t>
        </m:r>
      </m:oMath>
      <w:r>
        <w:t xml:space="preserve"> </w:t>
      </w:r>
      <w:r>
        <w:t xml:space="preserve">denotes the pre–post correlation and is also varied across simulation conditions.</w:t>
      </w:r>
    </w:p>
    <w:p>
      <w:pPr>
        <w:pStyle w:val="TextBody"/>
      </w:pPr>
      <w:r>
        <w:rPr>
          <w:i/>
        </w:rPr>
        <w:t xml:space="preserve">Answer:</w:t>
      </w:r>
    </w:p>
    <w:p>
      <w:pPr>
        <w:pStyle w:val="Heading2"/>
      </w:pPr>
      <w:bookmarkStart w:id="37" w:name="Xf24c5a67a3baf6c041672b108b0128ccef60a5f"/>
      <w:r>
        <w:t xml:space="preserve">What will be the different factors of the data-generating mechanism?</w:t>
      </w:r>
      <w:bookmarkEnd w:id="37"/>
    </w:p>
    <w:p>
      <w:pPr>
        <w:pStyle w:val="FirstParagraph"/>
      </w:pPr>
      <w:r>
        <w:rPr>
          <w:i/>
        </w:rPr>
        <w:t xml:space="preserve">Explanation:</w:t>
      </w:r>
      <w:r>
        <w:t xml:space="preserve"> </w:t>
      </w:r>
      <w:r>
        <w:t xml:space="preserve">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FirstParagraph"/>
      </w:pPr>
      <w:r>
        <w:rPr>
          <w:i/>
        </w:rPr>
        <w:t xml:space="preserve">Answer:</w:t>
      </w:r>
    </w:p>
    <w:p>
      <w:pPr>
        <w:pStyle w:val="Heading2"/>
      </w:pPr>
      <w:bookmarkStart w:id="38" w:name="Xaefcaeea12c4ddb30585733596322227eeca8ab"/>
      <w:r>
        <w:t xml:space="preserve">If possible, provide specific factor values for the DGM as well as additional simulation settings.</w:t>
      </w:r>
      <w:bookmarkEnd w:id="38"/>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TextBody"/>
      </w:pPr>
      <w:r>
        <w:rPr>
          <w:i/>
        </w:rPr>
        <w:t xml:space="preserve">Answer:</w:t>
      </w:r>
    </w:p>
    <w:p>
      <w:pPr>
        <w:pStyle w:val="Heading2"/>
      </w:pPr>
      <w:bookmarkStart w:id="39" w:name="X14e05af9d7aa4f24aa71085cdd5d1985df8c32d"/>
      <w:r>
        <w:t xml:space="preserve">If there is more than one factor: How will the factor levels be combined and how many simulation conditions will this create?</w:t>
      </w:r>
      <w:bookmarkEnd w:id="39"/>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w:t>
      </w:r>
      <w:r>
        <w:t xml:space="preserve"> </w:t>
      </w:r>
      <w:r>
        <w:t xml:space="preserve">‘</w:t>
      </w:r>
      <w:r>
        <w:t xml:space="preserve">one-at-a-time</w:t>
      </w:r>
      <w:r>
        <w:t xml:space="preserve">’</w:t>
      </w:r>
      <w:r>
        <w:t xml:space="preserve">, or</w:t>
      </w:r>
      <w:r>
        <w:t xml:space="preserve"> </w:t>
      </w:r>
      <w:r>
        <w:t xml:space="preserve">‘</w:t>
      </w:r>
      <w:r>
        <w:t xml:space="preserve">scattershot</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are designs where each factor is varied while the others are kept fixed at a certain value. Scattershot designs include distinct scenarios, for example, based on parameter values from real-world data.</w:t>
      </w:r>
    </w:p>
    <w:p>
      <w:pPr>
        <w:pStyle w:val="TextBody"/>
      </w:pPr>
      <w:r>
        <w:rPr>
          <w:i/>
        </w:rPr>
        <w:t xml:space="preserve">Example:</w:t>
      </w:r>
      <w:r>
        <w:t xml:space="preserve"> </w:t>
      </w:r>
      <w:r>
        <w:t xml:space="preserve">We will vary the conditions in a fully factorial manner. This will result in</w:t>
      </w:r>
      <w:r>
        <w:br/>
      </w:r>
      <w:r>
        <w:t xml:space="preserve">3 (post-treatment mean in experimental group)</w:t>
      </w:r>
      <w:r>
        <w:t xml:space="preserve"> </w:t>
      </w:r>
      <m:oMath>
        <m:r>
          <m:t>×</m:t>
        </m:r>
      </m:oMath>
      <w:r>
        <w:t xml:space="preserve"> </w:t>
      </w:r>
      <w:r>
        <w:t xml:space="preserve">3 (pre–post measurement correlation) = 9 simulation conditions.</w:t>
      </w:r>
    </w:p>
    <w:p>
      <w:pPr>
        <w:pStyle w:val="TextBody"/>
      </w:pPr>
      <w:r>
        <w:rPr>
          <w:i/>
        </w:rPr>
        <w:t xml:space="preserve">Answer:</w:t>
      </w:r>
    </w:p>
    <w:p>
      <w:pPr>
        <w:pStyle w:val="Heading1"/>
      </w:pPr>
      <w:bookmarkStart w:id="40" w:name="estimands-and-targets"/>
      <w:r>
        <w:t xml:space="preserve">Estimands and Targets</w:t>
      </w:r>
      <w:bookmarkEnd w:id="40"/>
    </w:p>
    <w:p>
      <w:pPr>
        <w:pStyle w:val="Heading2"/>
      </w:pPr>
      <w:bookmarkStart w:id="41" w:name="Xbccd6bddd4facc82104cf1ac101d19bfede244a"/>
      <w:r>
        <w:t xml:space="preserve">What will be the estimands and/or targets of the simulation study?</w:t>
      </w:r>
      <w:bookmarkEnd w:id="41"/>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outcomes of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t>2</m:t>
                    </m:r>
                  </m:sub>
                </m:sSub>
                <m:r>
                  <m:t>∣</m:t>
                </m:r>
                <m:r>
                  <m:t>g</m:t>
                </m:r>
                <m:r>
                  <m:t>=</m:t>
                </m:r>
                <m:r>
                  <m:rPr>
                    <m:nor/>
                    <m:sty m:val="p"/>
                  </m:rPr>
                  <m:t>exp</m:t>
                </m:r>
                <m:r>
                  <m:t>)</m:t>
                </m:r>
                <m:r>
                  <m:t>−</m:t>
                </m:r>
                <m:r>
                  <m:rPr>
                    <m:nor/>
                    <m:sty m:val="p"/>
                  </m:rPr>
                  <m:t>E</m:t>
                </m:r>
                <m:r>
                  <m:t>(</m:t>
                </m:r>
                <m:sSub>
                  <m:e>
                    <m:r>
                      <m:t>Y</m:t>
                    </m:r>
                  </m:e>
                  <m:sub>
                    <m:r>
                      <m:t>2</m:t>
                    </m:r>
                  </m:sub>
                </m:sSub>
                <m:r>
                  <m:t>∣</m:t>
                </m:r>
                <m:r>
                  <m:t>g</m:t>
                </m:r>
                <m:r>
                  <m:t>=</m:t>
                </m:r>
                <m:r>
                  <m:rPr>
                    <m:nor/>
                    <m:sty m:val="p"/>
                  </m:rPr>
                  <m:t>control</m:t>
                </m:r>
                <m:r>
                  <m:t>)</m:t>
                </m:r>
                <m:r>
                  <m:t>,</m:t>
                </m:r>
              </m:e>
            </m:mr>
          </m:m>
        </m:oMath>
      </m:oMathPara>
    </w:p>
    <w:p>
      <w:pPr>
        <w:pStyle w:val="FirstParagraph"/>
      </w:pPr>
      <w:r>
        <w:t xml:space="preserve">for which the true value is given by the parameter</w:t>
      </w:r>
      <w:r>
        <w:t xml:space="preserve"> </w:t>
      </w:r>
      <m:oMath>
        <m:sSub>
          <m:e>
            <m:r>
              <m:t>μ</m:t>
            </m:r>
          </m:e>
          <m:sub>
            <m:r>
              <m:rPr>
                <m:nor/>
                <m:sty m:val="p"/>
              </m:rPr>
              <m:t>exp</m:t>
            </m:r>
            <m:r>
              <m:t>,</m:t>
            </m:r>
            <m:r>
              <m:t>2</m:t>
            </m:r>
          </m:sub>
        </m:sSub>
      </m:oMath>
      <w:r>
        <w:t xml:space="preserve"> </w:t>
      </w:r>
      <w:r>
        <w:t xml:space="preserve">for the considered data-generating mechanisms.</w:t>
      </w:r>
    </w:p>
    <w:p>
      <w:pPr>
        <w:pStyle w:val="TextBody"/>
      </w:pPr>
      <w:r>
        <w:rPr>
          <w:i/>
        </w:rPr>
        <w:t xml:space="preserve">Answer:</w:t>
      </w:r>
    </w:p>
    <w:p>
      <w:pPr>
        <w:pStyle w:val="Heading1"/>
      </w:pPr>
      <w:bookmarkStart w:id="42" w:name="methods"/>
      <w:r>
        <w:t xml:space="preserve">Methods</w:t>
      </w:r>
      <w:bookmarkEnd w:id="42"/>
    </w:p>
    <w:p>
      <w:pPr>
        <w:pStyle w:val="Heading2"/>
      </w:pPr>
      <w:bookmarkStart w:id="43" w:name="Xe14b125cd5cd3b2a7e40bb06cea9dae13e2c648"/>
      <w:r>
        <w:t xml:space="preserve">How many and which methods will be included and which quantities will be extracted?</w:t>
      </w:r>
      <w:bookmarkEnd w:id="43"/>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 Where package defaults are used, state this. Where they are not used, state what values are used instead.</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w:t>
      </w:r>
      <w:r>
        <w:t xml:space="preserve"> </w:t>
      </w:r>
      <m:oMath>
        <m:r>
          <m:t>t</m:t>
        </m:r>
      </m:oMath>
      <w:r>
        <w:t xml:space="preserve">-test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TextBody"/>
      </w:pPr>
      <w:r>
        <w:rPr>
          <w:i/>
        </w:rPr>
        <w:t xml:space="preserve">Answer:</w:t>
      </w:r>
    </w:p>
    <w:p>
      <w:pPr>
        <w:pStyle w:val="Heading1"/>
      </w:pPr>
      <w:bookmarkStart w:id="44" w:name="performance-measures"/>
      <w:r>
        <w:t xml:space="preserve">Performance Measures</w:t>
      </w:r>
      <w:bookmarkEnd w:id="44"/>
    </w:p>
    <w:p>
      <w:pPr>
        <w:pStyle w:val="Heading2"/>
      </w:pPr>
      <w:bookmarkStart w:id="45" w:name="which-performance-measures-will-be-used"/>
      <w:r>
        <w:t xml:space="preserve">Which performance measures will be used?</w:t>
      </w:r>
      <w:bookmarkEnd w:id="45"/>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or equal to the conventional threshold of 0.05. The rejection rate (the type I error rate or the power, depending on the data generating mechanism)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RRate</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rejection rate</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RRate</m:t>
                        </m:r>
                      </m:e>
                    </m:acc>
                  </m:sub>
                </m:sSub>
                <m:r>
                  <m:t>=</m:t>
                </m:r>
                <m:rad>
                  <m:radPr>
                    <m:degHide m:val="1"/>
                  </m:radPr>
                  <m:deg/>
                  <m:e>
                    <m:f>
                      <m:fPr>
                        <m:type m:val="bar"/>
                      </m:fPr>
                      <m:num>
                        <m:acc>
                          <m:accPr>
                            <m:chr m:val="̂"/>
                          </m:accPr>
                          <m:e>
                            <m:r>
                              <m:rPr>
                                <m:nor/>
                                <m:sty m:val="p"/>
                              </m:rPr>
                              <m:t>RRate</m:t>
                            </m:r>
                          </m:e>
                        </m:acc>
                        <m:r>
                          <m:t>(</m:t>
                        </m:r>
                        <m:r>
                          <m:t>1</m:t>
                        </m:r>
                        <m:r>
                          <m:t>−</m:t>
                        </m:r>
                        <m:acc>
                          <m:accPr>
                            <m:chr m:val="̂"/>
                          </m:accPr>
                          <m:e>
                            <m:r>
                              <m:rPr>
                                <m:nor/>
                                <m:sty m:val="p"/>
                              </m:rPr>
                              <m:t>RRate</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TextBody"/>
      </w:pPr>
      <w:r>
        <w:rPr>
          <w:i/>
        </w:rPr>
        <w:t xml:space="preserve">Answer:</w:t>
      </w:r>
    </w:p>
    <w:p>
      <w:pPr>
        <w:pStyle w:val="Heading2"/>
      </w:pPr>
      <w:bookmarkStart w:id="46" w:name="X30708e3711c8904bdd444394116dc1aa58f55e3"/>
      <w:r>
        <w:t xml:space="preserve">How will Monte Carlo uncertainty of the estimated performance measures be calculated and reported?</w:t>
      </w:r>
      <w:bookmarkEnd w:id="46"/>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et al. (2024)</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et al. (2024)</w:t>
      </w:r>
      <w:r>
        <w:t xml:space="preserve"> </w:t>
      </w:r>
      <w:r>
        <w:t xml:space="preserve">to calculate MCSEs, see our answer to the last question.</w:t>
      </w:r>
    </w:p>
    <w:p>
      <w:pPr>
        <w:pStyle w:val="TextBody"/>
      </w:pPr>
      <w:r>
        <w:rPr>
          <w:i/>
        </w:rPr>
        <w:t xml:space="preserve">Answer:</w:t>
      </w:r>
    </w:p>
    <w:p>
      <w:pPr>
        <w:pStyle w:val="Heading2"/>
      </w:pPr>
      <w:bookmarkStart w:id="47" w:name="Xe905c9825bd28b6b7b4af825fd27a8f925653e5"/>
      <w:r>
        <w:t xml:space="preserve">How many simulation repetitions will be used for each condition?</w:t>
      </w:r>
      <w:bookmarkEnd w:id="47"/>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et al. (2024)</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10,000 repetitions per condition. We determined this number by aiming for a MCSE of 0.005 for the type I error rate and the power under the worst-case performance (50% rejection rate:</w:t>
      </w:r>
      <w:r>
        <w:t xml:space="preserve"> </w:t>
      </w:r>
      <m:oMath>
        <m:r>
          <m:t>0.50</m:t>
        </m:r>
        <m:r>
          <m:t>×</m:t>
        </m:r>
        <m:r>
          <m:t>(</m:t>
        </m:r>
        <m:r>
          <m:t>1</m:t>
        </m:r>
        <m:r>
          <m:t>−</m:t>
        </m:r>
        <m:r>
          <m:t>0.50</m:t>
        </m:r>
        <m:r>
          <m:t>)</m:t>
        </m:r>
        <m:r>
          <m:t>/</m:t>
        </m:r>
        <m:sSup>
          <m:e>
            <m:r>
              <m:t>0.005</m:t>
            </m:r>
          </m:e>
          <m:sup>
            <m:r>
              <m:t>2</m:t>
            </m:r>
          </m:sup>
        </m:sSup>
        <m:r>
          <m:t>=</m:t>
        </m:r>
        <m:r>
          <m:t>10</m:t>
        </m:r>
        <m:r>
          <m:t>,</m:t>
        </m:r>
        <m:r>
          <m:t>000</m:t>
        </m:r>
      </m:oMath>
      <w:r>
        <w:t xml:space="preserve"> </w:t>
      </w:r>
      <w:r>
        <w:t xml:space="preserve">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TextBody"/>
      </w:pPr>
      <w:r>
        <w:rPr>
          <w:i/>
        </w:rPr>
        <w:t xml:space="preserve">Answer:</w:t>
      </w:r>
    </w:p>
    <w:p>
      <w:pPr>
        <w:pStyle w:val="Heading2"/>
      </w:pPr>
      <w:bookmarkStart w:id="48" w:name="Xb9f89f12355c46717e62365da13cb1887805429"/>
      <w:r>
        <w:t xml:space="preserve">How will missing values due to non-convergence or other reasons be handled?</w:t>
      </w:r>
      <w:bookmarkEnd w:id="48"/>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 See</w:t>
      </w:r>
      <w:r>
        <w:t xml:space="preserve"> </w:t>
      </w:r>
      <w:r>
        <w:t xml:space="preserve">Pawel et al. (2024)</w:t>
      </w:r>
      <w:r>
        <w:t xml:space="preserve"> </w:t>
      </w:r>
      <w:r>
        <w:t xml:space="preserve">for more guidance on handling missing values in simulation studies.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TextBody"/>
      </w:pPr>
      <w:r>
        <w:rPr>
          <w:i/>
        </w:rPr>
        <w:t xml:space="preserve">Answer:</w:t>
      </w:r>
    </w:p>
    <w:p>
      <w:pPr>
        <w:pStyle w:val="Heading2"/>
      </w:pPr>
      <w:bookmarkStart w:id="49" w:name="X16df52ca741bdecc9bcd1f564a67a50e19eff00"/>
      <w:r>
        <w:t xml:space="preserve">How do you plan on interpreting the performance measures?</w:t>
      </w:r>
      <w:r>
        <w:t xml:space="preserve"> </w:t>
      </w:r>
      <w:r>
        <w:t xml:space="preserve">(optional)</w:t>
      </w:r>
      <w:bookmarkEnd w:id="49"/>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TextBody"/>
      </w:pPr>
      <w:r>
        <w:rPr>
          <w:i/>
        </w:rPr>
        <w:t xml:space="preserve">Answer:</w:t>
      </w:r>
    </w:p>
    <w:p>
      <w:pPr>
        <w:pStyle w:val="Heading1"/>
      </w:pPr>
      <w:bookmarkStart w:id="50" w:name="other"/>
      <w:r>
        <w:t xml:space="preserve">Other</w:t>
      </w:r>
      <w:bookmarkEnd w:id="50"/>
    </w:p>
    <w:p>
      <w:pPr>
        <w:pStyle w:val="Heading2"/>
      </w:pPr>
      <w:bookmarkStart w:id="51" w:name="X9d6d7d8c6f1d7c6533163b624703aa874c19686"/>
      <w:r>
        <w:t xml:space="preserve">Which statistical software/packages do you plan to use?</w:t>
      </w:r>
      <w:bookmarkEnd w:id="51"/>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usually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TextBody"/>
      </w:pPr>
      <w:r>
        <w:rPr>
          <w:i/>
        </w:rPr>
        <w:t xml:space="preserve">Answer:</w:t>
      </w:r>
    </w:p>
    <w:p>
      <w:pPr>
        <w:pStyle w:val="Heading2"/>
      </w:pPr>
      <w:bookmarkStart w:id="52" w:name="X47451ed7ed9d1b09affe55f0a2189d36edb67ee"/>
      <w:r>
        <w:t xml:space="preserve">Which computational environment do you plan to use?</w:t>
      </w:r>
      <w:bookmarkEnd w:id="52"/>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TextBody"/>
      </w:pPr>
      <w:r>
        <w:rPr>
          <w:i/>
        </w:rPr>
        <w:t xml:space="preserve">Answer:</w:t>
      </w:r>
    </w:p>
    <w:p>
      <w:pPr>
        <w:pStyle w:val="Heading2"/>
      </w:pPr>
      <w:bookmarkStart w:id="53" w:name="X27eb8606f6d3c1f7eafb8a858ac0e5f6b824ca4"/>
      <w:r>
        <w:t xml:space="preserve">Which other steps will you undertake to make simulation results reproducible?</w:t>
      </w:r>
      <w:r>
        <w:t xml:space="preserve"> </w:t>
      </w:r>
      <w:r>
        <w:t xml:space="preserve">(optional)</w:t>
      </w:r>
      <w:bookmarkEnd w:id="53"/>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 (</w:t>
      </w:r>
      <w:hyperlink r:id="rId54">
        <w:r>
          <w:rPr>
            <w:rStyle w:val="InternetLink"/>
          </w:rPr>
          <w:t xml:space="preserve">https://osf.io/dfgvu/</w:t>
        </w:r>
      </w:hyperlink>
      <w:r>
        <w:t xml:space="preserve">) and GitHub (</w:t>
      </w:r>
      <w:hyperlink r:id="rId55">
        <w:r>
          <w:rPr>
            <w:rStyle w:val="InternetLink"/>
          </w:rPr>
          <w:t xml:space="preserve">https://github.com/bsiepe/SimPsychReview</w:t>
        </w:r>
      </w:hyperlink>
      <w:r>
        <w:t xml:space="preserve">).</w:t>
      </w:r>
    </w:p>
    <w:p>
      <w:pPr>
        <w:pStyle w:val="TextBody"/>
      </w:pPr>
      <w:r>
        <w:rPr>
          <w:i/>
        </w:rPr>
        <w:t xml:space="preserve">Answer:</w:t>
      </w:r>
    </w:p>
    <w:p>
      <w:pPr>
        <w:pStyle w:val="Heading2"/>
      </w:pPr>
      <w:bookmarkStart w:id="56" w:name="Xd7234a75f79d64d466368d657a34bacbb464943"/>
      <w:r>
        <w:t xml:space="preserve">Is there anything else you want to preregister?</w:t>
      </w:r>
      <w:r>
        <w:t xml:space="preserve"> </w:t>
      </w:r>
      <w:r>
        <w:t xml:space="preserve">(optional)</w:t>
      </w:r>
      <w:bookmarkEnd w:id="56"/>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TextBody"/>
      </w:pPr>
      <w:r>
        <w:rPr>
          <w:i/>
        </w:rPr>
        <w:t xml:space="preserve">Answer:</w:t>
      </w:r>
    </w:p>
    <w:p>
      <w:pPr>
        <w:pStyle w:val="Heading1"/>
      </w:pPr>
      <w:bookmarkStart w:id="57" w:name="references"/>
      <w:r>
        <w:t xml:space="preserve">References</w:t>
      </w:r>
      <w:bookmarkEnd w:id="57"/>
    </w:p>
    <w:bookmarkStart w:id="89" w:name="refs"/>
    <w:bookmarkStart w:id="59"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8">
        <w:r>
          <w:rPr>
            <w:rStyle w:val="InternetLink"/>
          </w:rPr>
          <w:t xml:space="preserve">https://doi.org/10.20982/tqmp.16.4.p248</w:t>
        </w:r>
      </w:hyperlink>
      <w:r>
        <w:t xml:space="preserve">.</w:t>
      </w:r>
    </w:p>
    <w:bookmarkEnd w:id="59"/>
    <w:bookmarkStart w:id="61"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60">
        <w:r>
          <w:rPr>
            <w:rStyle w:val="InternetLink"/>
          </w:rPr>
          <w:t xml:space="preserve">https://doi.org/10.1002/cjs.11719</w:t>
        </w:r>
      </w:hyperlink>
      <w:r>
        <w:t xml:space="preserve">.</w:t>
      </w:r>
    </w:p>
    <w:bookmarkEnd w:id="61"/>
    <w:bookmarkStart w:id="63"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62">
        <w:r>
          <w:rPr>
            <w:rStyle w:val="InternetLink"/>
          </w:rPr>
          <w:t xml:space="preserve">https://doi.org/10.1186/s13063-018-3108-3</w:t>
        </w:r>
      </w:hyperlink>
      <w:r>
        <w:t xml:space="preserve">.</w:t>
      </w:r>
    </w:p>
    <w:bookmarkEnd w:id="63"/>
    <w:bookmarkStart w:id="64"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4"/>
    <w:bookmarkStart w:id="66"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5">
        <w:r>
          <w:rPr>
            <w:rStyle w:val="InternetLink"/>
          </w:rPr>
          <w:t xml:space="preserve">https://doi.org/10.21105/joss.00739</w:t>
        </w:r>
      </w:hyperlink>
      <w:r>
        <w:t xml:space="preserve">.</w:t>
      </w:r>
    </w:p>
    <w:bookmarkEnd w:id="66"/>
    <w:bookmarkStart w:id="67"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7"/>
    <w:bookmarkStart w:id="69"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8">
        <w:r>
          <w:rPr>
            <w:rStyle w:val="InternetLink"/>
          </w:rPr>
          <w:t xml:space="preserve">https://CRAN.R-project.org/package=simhelpers</w:t>
        </w:r>
      </w:hyperlink>
      <w:r>
        <w:t xml:space="preserve">.</w:t>
      </w:r>
    </w:p>
    <w:bookmarkEnd w:id="69"/>
    <w:bookmarkStart w:id="71"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70">
        <w:r>
          <w:rPr>
            <w:rStyle w:val="InternetLink"/>
          </w:rPr>
          <w:t xml:space="preserve">https://doi.org/10.1080/00220973.2023.2246187</w:t>
        </w:r>
      </w:hyperlink>
      <w:r>
        <w:t xml:space="preserve">.</w:t>
      </w:r>
    </w:p>
    <w:bookmarkEnd w:id="71"/>
    <w:bookmarkStart w:id="73"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72">
        <w:r>
          <w:rPr>
            <w:rStyle w:val="InternetLink"/>
          </w:rPr>
          <w:t xml:space="preserve">https://doi.org/10.1002/sim.8086</w:t>
        </w:r>
      </w:hyperlink>
      <w:r>
        <w:t xml:space="preserve">.</w:t>
      </w:r>
    </w:p>
    <w:bookmarkEnd w:id="73"/>
    <w:bookmarkStart w:id="75" w:name="ref-Pawel2024"/>
    <w:p>
      <w:pPr>
        <w:pStyle w:val="Bibliography"/>
      </w:pPr>
      <w:r>
        <w:t xml:space="preserve">Pawel, Samuel, František Bartoš, Björn S. Siepe, and Anna Lohmann. 2024. “Handling Missingness, Failures, and Non-Convergence in Simulation Studies: A Review of Current Practices and Recommendations.”</w:t>
      </w:r>
      <w:r>
        <w:t xml:space="preserve"> </w:t>
      </w:r>
      <w:hyperlink r:id="rId74">
        <w:r>
          <w:rPr>
            <w:rStyle w:val="InternetLink"/>
          </w:rPr>
          <w:t xml:space="preserve">https://doi.org/10.48550/arXiv.2409.18527</w:t>
        </w:r>
      </w:hyperlink>
      <w:r>
        <w:t xml:space="preserve">.</w:t>
      </w:r>
    </w:p>
    <w:bookmarkEnd w:id="75"/>
    <w:bookmarkStart w:id="77"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6">
        <w:r>
          <w:rPr>
            <w:rStyle w:val="InternetLink"/>
          </w:rPr>
          <w:t xml:space="preserve">https://www.R-project.org/</w:t>
        </w:r>
      </w:hyperlink>
      <w:r>
        <w:t xml:space="preserve">.</w:t>
      </w:r>
    </w:p>
    <w:bookmarkEnd w:id="77"/>
    <w:bookmarkStart w:id="79"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8">
        <w:r>
          <w:rPr>
            <w:rStyle w:val="InternetLink"/>
          </w:rPr>
          <w:t xml:space="preserve">https://doi.org/10.1002/sim.2682</w:t>
        </w:r>
      </w:hyperlink>
      <w:r>
        <w:t xml:space="preserve">.</w:t>
      </w:r>
    </w:p>
    <w:bookmarkEnd w:id="79"/>
    <w:bookmarkStart w:id="80" w:name="ref-Siepe2024"/>
    <w:p>
      <w:pPr>
        <w:pStyle w:val="Bibliography"/>
      </w:pPr>
      <w:r>
        <w:t xml:space="preserve">Siepe, Björn S., František Bartoš, Tim P. Morris, Anne-Laure Boulesteix, Daniel W. Heck, and Samuel Pawel. 2024. “Simulation Studies for Methodological Research in Psychology: A Standardized Structure for Planning, Preregistration, and Reporting.”</w:t>
      </w:r>
      <w:r>
        <w:t xml:space="preserve"> </w:t>
      </w:r>
      <w:r>
        <w:rPr>
          <w:i/>
        </w:rPr>
        <w:t xml:space="preserve">Psychological Methods</w:t>
      </w:r>
      <w:r>
        <w:t xml:space="preserve">.</w:t>
      </w:r>
      <w:r>
        <w:t xml:space="preserve"> </w:t>
      </w:r>
      <w:hyperlink r:id="rId20">
        <w:r>
          <w:rPr>
            <w:rStyle w:val="InternetLink"/>
          </w:rPr>
          <w:t xml:space="preserve">https://doi.org/10.1037/met0000695</w:t>
        </w:r>
      </w:hyperlink>
      <w:r>
        <w:t xml:space="preserve">.</w:t>
      </w:r>
    </w:p>
    <w:bookmarkEnd w:id="80"/>
    <w:bookmarkStart w:id="82"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81">
        <w:r>
          <w:rPr>
            <w:rStyle w:val="InternetLink"/>
          </w:rPr>
          <w:t xml:space="preserve">https://doi.org/10.1207/s15327906mbr3502_1</w:t>
        </w:r>
      </w:hyperlink>
      <w:r>
        <w:t xml:space="preserve">.</w:t>
      </w:r>
    </w:p>
    <w:bookmarkEnd w:id="82"/>
    <w:bookmarkStart w:id="84"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83">
        <w:r>
          <w:rPr>
            <w:rStyle w:val="InternetLink"/>
          </w:rPr>
          <w:t xml:space="preserve">https://doi.org/10.1080/00273171.2013.831743</w:t>
        </w:r>
      </w:hyperlink>
      <w:r>
        <w:t xml:space="preserve">.</w:t>
      </w:r>
    </w:p>
    <w:bookmarkEnd w:id="84"/>
    <w:bookmarkStart w:id="86"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85">
        <w:r>
          <w:rPr>
            <w:rStyle w:val="InternetLink"/>
          </w:rPr>
          <w:t xml:space="preserve">https://doi.org/10.1186/1471-2288-1-6</w:t>
        </w:r>
      </w:hyperlink>
      <w:r>
        <w:t xml:space="preserve">.</w:t>
      </w:r>
    </w:p>
    <w:bookmarkEnd w:id="86"/>
    <w:bookmarkStart w:id="88"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7">
        <w:r>
          <w:rPr>
            <w:rStyle w:val="InternetLink"/>
          </w:rPr>
          <w:t xml:space="preserve">https://ggplot2.tidyverse.org</w:t>
        </w:r>
      </w:hyperlink>
      <w:r>
        <w:t xml:space="preserve">.</w:t>
      </w:r>
    </w:p>
    <w:bookmarkEnd w:id="88"/>
    <w:bookmarkEnd w:id="89"/>
    <w:sectPr>
      <w:footerReference w:type="default" r:id="rId9"/>
      <w:type w:val="nextPage"/>
      <w:pgSz w:w="11906" w:h="16838"/>
      <w:pgMar w:left="1417" w:right="1417" w:gutter="0" w:header="0" w:top="1417" w:footer="1417" w:bottom="2176"/>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onsolas">
    <w:charset w:val="01"/>
    <w:family w:val="roman"/>
    <w:pitch w:val="variable"/>
  </w:font>
  <w:font w:name="Open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tab/>
    </w:r>
    <w:r>
      <w:rPr/>
      <w:fldChar w:fldCharType="begin"/>
    </w:r>
    <w:r>
      <w:rPr/>
      <w:instrText xml:space="preserve">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Liberation Sans" w:hAnsi="Liberation Sans" w:eastAsia="Cambria" w:cs="Mangal" w:cstheme="minorBidi" w:eastAsiaTheme="minorHAnsi"/>
      <w:color w:val="auto"/>
      <w:kern w:val="0"/>
      <w:sz w:val="24"/>
      <w:szCs w:val="24"/>
      <w:lang w:val="en-US" w:eastAsia="en-US" w:bidi="ar-SA"/>
    </w:rPr>
  </w:style>
  <w:style w:type="paragraph" w:styleId="Heading1">
    <w:name w:val="Heading 1"/>
    <w:basedOn w:val="Normal"/>
    <w:next w:val="TextBody"/>
    <w:uiPriority w:val="9"/>
    <w:qFormat/>
    <w:rsid w:val="00f9641b"/>
    <w:pPr>
      <w:keepNext w:val="true"/>
      <w:keepLines/>
      <w:numPr>
        <w:ilvl w:val="0"/>
        <w:numId w:val="1"/>
      </w:numPr>
      <w:spacing w:before="480" w:after="0"/>
      <w:outlineLvl w:val="0"/>
    </w:pPr>
    <w:rPr>
      <w:rFonts w:ascii="Liberation Sans" w:hAnsi="Liberation Sans" w:eastAsia="" w:cs="Mangal" w:cstheme="majorBidi" w:eastAsiaTheme="majorEastAsia"/>
      <w:b/>
      <w:bCs/>
      <w:color w:val="auto"/>
      <w:sz w:val="32"/>
      <w:szCs w:val="32"/>
      <w:lang w:val="sv-SE"/>
    </w:rPr>
  </w:style>
  <w:style w:type="paragraph" w:styleId="Heading2">
    <w:name w:val="Heading 2"/>
    <w:basedOn w:val="Normal"/>
    <w:next w:val="TextBody"/>
    <w:uiPriority w:val="9"/>
    <w:unhideWhenUsed/>
    <w:qFormat/>
    <w:rsid w:val="00f9641b"/>
    <w:pPr>
      <w:keepNext w:val="true"/>
      <w:keepLines/>
      <w:numPr>
        <w:ilvl w:val="1"/>
        <w:numId w:val="1"/>
      </w:numPr>
      <w:spacing w:before="200" w:after="0"/>
      <w:outlineLvl w:val="1"/>
    </w:pPr>
    <w:rPr>
      <w:rFonts w:ascii="Liberation Sans" w:hAnsi="Liberation Sans" w:eastAsia="" w:cs="Mangal" w:cstheme="majorBidi" w:eastAsiaTheme="majorEastAsia"/>
      <w:b/>
      <w:bCs/>
      <w:color w:val="auto"/>
      <w:sz w:val="28"/>
      <w:szCs w:val="28"/>
      <w:lang w:val="en-US"/>
    </w:rPr>
  </w:style>
  <w:style w:type="paragraph" w:styleId="Heading3">
    <w:name w:val="Heading 3"/>
    <w:basedOn w:val="Normal"/>
    <w:next w:val="TextBody"/>
    <w:uiPriority w:val="9"/>
    <w:unhideWhenUsed/>
    <w:qFormat/>
    <w:rsid w:val="007c547c"/>
    <w:pPr>
      <w:keepNext w:val="true"/>
      <w:keepLines/>
      <w:numPr>
        <w:ilvl w:val="2"/>
        <w:numId w:val="1"/>
      </w:numPr>
      <w:spacing w:before="200" w:after="0"/>
      <w:outlineLvl w:val="2"/>
    </w:pPr>
    <w:rPr>
      <w:rFonts w:ascii="Liberation Sans" w:hAnsi="Liberation Sans" w:eastAsia="" w:cs="Mangal" w:cstheme="majorBidi" w:eastAsiaTheme="majorEastAsia"/>
      <w:b/>
      <w:bCs/>
      <w:color w:val="auto"/>
      <w:lang w:val="en-US"/>
    </w:rPr>
  </w:style>
  <w:style w:type="paragraph" w:styleId="Heading4">
    <w:name w:val="Heading 4"/>
    <w:basedOn w:val="Normal"/>
    <w:next w:val="TextBody"/>
    <w:uiPriority w:val="9"/>
    <w:unhideWhenUsed/>
    <w:qFormat/>
    <w:rsid w:val="00f9641b"/>
    <w:pPr>
      <w:keepNext w:val="true"/>
      <w:keepLines/>
      <w:numPr>
        <w:ilvl w:val="3"/>
        <w:numId w:val="1"/>
      </w:numPr>
      <w:spacing w:before="200" w:after="0"/>
      <w:outlineLvl w:val="3"/>
    </w:pPr>
    <w:rPr>
      <w:rFonts w:ascii="Liberation Sans" w:hAnsi="Liberation Sans" w:eastAsia="" w:cs="Mangal" w:cstheme="majorBidi" w:eastAsiaTheme="majorEastAsia"/>
      <w:bCs/>
      <w:i/>
      <w:color w:val="auto"/>
      <w:lang w:val="en-US"/>
    </w:rPr>
  </w:style>
  <w:style w:type="paragraph" w:styleId="Heading5">
    <w:name w:val="Heading 5"/>
    <w:basedOn w:val="Normal"/>
    <w:next w:val="TextBody"/>
    <w:uiPriority w:val="9"/>
    <w:unhideWhenUsed/>
    <w:qFormat/>
    <w:rsid w:val="00f9641b"/>
    <w:pPr>
      <w:keepNext w:val="true"/>
      <w:keepLines/>
      <w:numPr>
        <w:ilvl w:val="4"/>
        <w:numId w:val="1"/>
      </w:numPr>
      <w:spacing w:before="200" w:after="0"/>
      <w:outlineLvl w:val="4"/>
    </w:pPr>
    <w:rPr>
      <w:rFonts w:ascii="Liberation Sans" w:hAnsi="Liberation Sans" w:eastAsia="" w:cs="Mangal" w:cstheme="majorBidi" w:eastAsiaTheme="majorEastAsia"/>
      <w:iCs/>
      <w:color w:val="auto"/>
      <w:lang w:val="en-US"/>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Liberation Sans" w:hAnsi="Liberation Sans" w:eastAsia="" w:cs="Mangal" w:cstheme="majorBidi" w:eastAsiaTheme="majorEastAsia"/>
      <w:color w:val="auto"/>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Liberation Sans" w:hAnsi="Liberation Sans" w:eastAsia="" w:cs="Mangal" w:cstheme="majorBidi" w:eastAsiaTheme="majorEastAsia"/>
      <w:color w:val="auto"/>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Liberation Sans" w:hAnsi="Liberation Sans" w:eastAsia="" w:cs="Mangal" w:cstheme="majorBidi" w:eastAsiaTheme="majorEastAsia"/>
      <w:color w:val="auto"/>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Liberation Sans" w:hAnsi="Liberation Sans" w:eastAsia="" w:cs="Mangal" w:cstheme="majorBidi" w:eastAsiaTheme="majorEastAsia"/>
      <w:color w:val="auto"/>
    </w:rPr>
  </w:style>
  <w:style w:type="character" w:styleId="DefaultParagraphFont" w:default="1">
    <w:name w:val="Default Paragraph Font"/>
    <w:uiPriority w:val="1"/>
    <w:semiHidden/>
    <w:unhideWhenUsed/>
    <w:qFormat/>
    <w:rPr>
      <w:rFonts w:ascii="Liberation Sans" w:hAnsi="Liberation Sans"/>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ans" w:hAnsi="Liberation Sans" w:eastAsia="" w:cs="Mangal" w:cstheme="majorBidi" w:eastAsiaTheme="majorEastAsia"/>
      <w:b/>
      <w:bCs/>
      <w:color w:val="auto"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Mangal"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numPr>
        <w:ilvl w:val="0"/>
        <w:numId w:val="0"/>
      </w:numPr>
      <w:spacing w:lineRule="auto" w:line="259" w:before="240" w:after="0"/>
      <w:outlineLvl w:val="9"/>
    </w:pPr>
    <w:rPr>
      <w:b w:val="false"/>
      <w:bCs w:val="false"/>
      <w:color w:val="auto" w:themeShade="bf"/>
    </w:rPr>
  </w:style>
  <w:style w:type="paragraph" w:styleId="SourceCode" w:customStyle="1">
    <w:name w:val="Source Code"/>
    <w:basedOn w:val="Normal"/>
    <w:link w:val="VerbatimChar"/>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ender">
    <w:name w:val="Envelope Return"/>
    <w:basedOn w:val="Normal"/>
    <w:pPr>
      <w:suppressLineNumbers/>
      <w:spacing w:before="0" w:after="60"/>
    </w:pPr>
    <w:rPr/>
  </w:style>
  <w:style w:type="paragraph" w:styleId="HeaderandFooter">
    <w:name w:val="Header and Footer"/>
    <w:basedOn w:val="Normal"/>
    <w:qFormat/>
    <w:pPr>
      <w:suppressLineNumbers/>
      <w:tabs>
        <w:tab w:val="clear" w:pos="720"/>
        <w:tab w:val="center" w:pos="4536" w:leader="none"/>
        <w:tab w:val="right" w:pos="9072"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68" Target="https://CRAN.R-project.org/package=simhelpers" TargetMode="External" /><Relationship Type="http://schemas.openxmlformats.org/officeDocument/2006/relationships/hyperlink" Id="rId60" Target="https://doi.org/10.1002/cjs.11719" TargetMode="External" /><Relationship Type="http://schemas.openxmlformats.org/officeDocument/2006/relationships/hyperlink" Id="rId78" Target="https://doi.org/10.1002/sim.2682" TargetMode="External" /><Relationship Type="http://schemas.openxmlformats.org/officeDocument/2006/relationships/hyperlink" Id="rId72" Target="https://doi.org/10.1002/sim.8086" TargetMode="External" /><Relationship Type="http://schemas.openxmlformats.org/officeDocument/2006/relationships/hyperlink" Id="rId20" Target="https://doi.org/10.1037/met0000695" TargetMode="External" /><Relationship Type="http://schemas.openxmlformats.org/officeDocument/2006/relationships/hyperlink" Id="rId70" Target="https://doi.org/10.1080/00220973.2023.2246187" TargetMode="External" /><Relationship Type="http://schemas.openxmlformats.org/officeDocument/2006/relationships/hyperlink" Id="rId83" Target="https://doi.org/10.1080/00273171.2013.831743" TargetMode="External" /><Relationship Type="http://schemas.openxmlformats.org/officeDocument/2006/relationships/hyperlink" Id="rId85" Target="https://doi.org/10.1186/1471-2288-1-6" TargetMode="External" /><Relationship Type="http://schemas.openxmlformats.org/officeDocument/2006/relationships/hyperlink" Id="rId62" Target="https://doi.org/10.1186/s13063-018-3108-3" TargetMode="External" /><Relationship Type="http://schemas.openxmlformats.org/officeDocument/2006/relationships/hyperlink" Id="rId81" Target="https://doi.org/10.1207/s15327906mbr3502_1" TargetMode="External" /><Relationship Type="http://schemas.openxmlformats.org/officeDocument/2006/relationships/hyperlink" Id="rId58" Target="https://doi.org/10.20982/tqmp.16.4.p248" TargetMode="External" /><Relationship Type="http://schemas.openxmlformats.org/officeDocument/2006/relationships/hyperlink" Id="rId65" Target="https://doi.org/10.21105/joss.00739" TargetMode="External" /><Relationship Type="http://schemas.openxmlformats.org/officeDocument/2006/relationships/hyperlink" Id="rId21" Target="https://doi.org/10.31234/osf.io/ufgy6" TargetMode="External" /><Relationship Type="http://schemas.openxmlformats.org/officeDocument/2006/relationships/hyperlink" Id="rId74" Target="https://doi.org/10.48550/arXiv.2409.18527" TargetMode="External" /><Relationship Type="http://schemas.openxmlformats.org/officeDocument/2006/relationships/hyperlink" Id="rId87" Target="https://ggplot2.tidyverse.org" TargetMode="External" /><Relationship Type="http://schemas.openxmlformats.org/officeDocument/2006/relationships/hyperlink" Id="rId24" Target="https://github.com/bsiepe/ADEMP-PreReg" TargetMode="External" /><Relationship Type="http://schemas.openxmlformats.org/officeDocument/2006/relationships/hyperlink" Id="rId55" Target="https://github.com/bsiepe/SimPsychReview" TargetMode="External" /><Relationship Type="http://schemas.openxmlformats.org/officeDocument/2006/relationships/hyperlink" Id="rId25" Target="https://osf.io/" TargetMode="External" /><Relationship Type="http://schemas.openxmlformats.org/officeDocument/2006/relationships/hyperlink" Id="rId54" Target="https://osf.io/dfgvu/" TargetMode="External" /><Relationship Type="http://schemas.openxmlformats.org/officeDocument/2006/relationships/hyperlink" Id="rId76" Target="https://www.R-project.org/" TargetMode="External" /><Relationship Type="http://schemas.openxmlformats.org/officeDocument/2006/relationships/hyperlink" Id="rId26"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8" Target="https://CRAN.R-project.org/package=simhelpers" TargetMode="External" /><Relationship Type="http://schemas.openxmlformats.org/officeDocument/2006/relationships/hyperlink" Id="rId60" Target="https://doi.org/10.1002/cjs.11719" TargetMode="External" /><Relationship Type="http://schemas.openxmlformats.org/officeDocument/2006/relationships/hyperlink" Id="rId78" Target="https://doi.org/10.1002/sim.2682" TargetMode="External" /><Relationship Type="http://schemas.openxmlformats.org/officeDocument/2006/relationships/hyperlink" Id="rId72" Target="https://doi.org/10.1002/sim.8086" TargetMode="External" /><Relationship Type="http://schemas.openxmlformats.org/officeDocument/2006/relationships/hyperlink" Id="rId20" Target="https://doi.org/10.1037/met0000695" TargetMode="External" /><Relationship Type="http://schemas.openxmlformats.org/officeDocument/2006/relationships/hyperlink" Id="rId70" Target="https://doi.org/10.1080/00220973.2023.2246187" TargetMode="External" /><Relationship Type="http://schemas.openxmlformats.org/officeDocument/2006/relationships/hyperlink" Id="rId83" Target="https://doi.org/10.1080/00273171.2013.831743" TargetMode="External" /><Relationship Type="http://schemas.openxmlformats.org/officeDocument/2006/relationships/hyperlink" Id="rId85" Target="https://doi.org/10.1186/1471-2288-1-6" TargetMode="External" /><Relationship Type="http://schemas.openxmlformats.org/officeDocument/2006/relationships/hyperlink" Id="rId62" Target="https://doi.org/10.1186/s13063-018-3108-3" TargetMode="External" /><Relationship Type="http://schemas.openxmlformats.org/officeDocument/2006/relationships/hyperlink" Id="rId81" Target="https://doi.org/10.1207/s15327906mbr3502_1" TargetMode="External" /><Relationship Type="http://schemas.openxmlformats.org/officeDocument/2006/relationships/hyperlink" Id="rId58" Target="https://doi.org/10.20982/tqmp.16.4.p248" TargetMode="External" /><Relationship Type="http://schemas.openxmlformats.org/officeDocument/2006/relationships/hyperlink" Id="rId65" Target="https://doi.org/10.21105/joss.00739" TargetMode="External" /><Relationship Type="http://schemas.openxmlformats.org/officeDocument/2006/relationships/hyperlink" Id="rId21" Target="https://doi.org/10.31234/osf.io/ufgy6" TargetMode="External" /><Relationship Type="http://schemas.openxmlformats.org/officeDocument/2006/relationships/hyperlink" Id="rId74" Target="https://doi.org/10.48550/arXiv.2409.18527" TargetMode="External" /><Relationship Type="http://schemas.openxmlformats.org/officeDocument/2006/relationships/hyperlink" Id="rId87" Target="https://ggplot2.tidyverse.org" TargetMode="External" /><Relationship Type="http://schemas.openxmlformats.org/officeDocument/2006/relationships/hyperlink" Id="rId24" Target="https://github.com/bsiepe/ADEMP-PreReg" TargetMode="External" /><Relationship Type="http://schemas.openxmlformats.org/officeDocument/2006/relationships/hyperlink" Id="rId55" Target="https://github.com/bsiepe/SimPsychReview" TargetMode="External" /><Relationship Type="http://schemas.openxmlformats.org/officeDocument/2006/relationships/hyperlink" Id="rId25" Target="https://osf.io/" TargetMode="External" /><Relationship Type="http://schemas.openxmlformats.org/officeDocument/2006/relationships/hyperlink" Id="rId54" Target="https://osf.io/dfgvu/" TargetMode="External" /><Relationship Type="http://schemas.openxmlformats.org/officeDocument/2006/relationships/hyperlink" Id="rId76" Target="https://www.R-project.org/" TargetMode="External" /><Relationship Type="http://schemas.openxmlformats.org/officeDocument/2006/relationships/hyperlink" Id="rId2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LibreOffice/7.3.7.2$Linux_X86_64 LibreOffice_project/30$Build-2</Application>
  <AppVersion>15.0000</AppVersion>
  <Pages>1</Pages>
  <Words>21</Words>
  <Characters>130</Characters>
  <CharactersWithSpaces>142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2024-10-10T11:48:07Z</dcterms:created>
  <dcterms:modified xsi:type="dcterms:W3CDTF">2024-10-10T11:48:07Z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nocite">
    <vt:lpwstr/>
  </property>
</Properties>
</file>