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20" w:rsidRDefault="008E2D20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E2D20">
        <w:rPr>
          <w:rFonts w:ascii="Arial" w:eastAsia="Times New Roman" w:hAnsi="Arial" w:cs="Arial"/>
          <w:b/>
          <w:bCs/>
          <w:color w:val="000000"/>
          <w:sz w:val="23"/>
          <w:szCs w:val="23"/>
        </w:rPr>
        <w:t>Tetranucleotide usage in mycobacteriophage genomes: alignment-free methods to cluster phage and infer evolutionary relationships</w:t>
      </w:r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Benjamin Siranosian</w:t>
      </w:r>
      <w:r w:rsidR="008E3462" w:rsidRP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1</w:t>
      </w:r>
      <w:proofErr w:type="gramStart"/>
      <w:r w:rsid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,2</w:t>
      </w:r>
      <w:proofErr w:type="gramEnd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, Emma Herold</w:t>
      </w:r>
      <w:r w:rsid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2</w:t>
      </w:r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, Edward Williams</w:t>
      </w:r>
      <w:r w:rsid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2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,</w:t>
      </w:r>
      <w:r w:rsidR="00F256E2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Chen Ye</w:t>
      </w:r>
      <w:r w:rsid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2</w:t>
      </w:r>
    </w:p>
    <w:p w:rsidR="008E3462" w:rsidRDefault="008E3462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 w:rsidRPr="008E3462"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1</w:t>
      </w:r>
      <w:r w:rsidRPr="008E3462">
        <w:rPr>
          <w:rFonts w:ascii="Arial" w:eastAsia="Times New Roman" w:hAnsi="Arial" w:cs="Arial"/>
          <w:color w:val="000000"/>
          <w:sz w:val="23"/>
          <w:szCs w:val="23"/>
        </w:rPr>
        <w:t>Center for Computational Molecular Biology</w:t>
      </w:r>
      <w:r>
        <w:rPr>
          <w:rFonts w:ascii="Arial" w:eastAsia="Times New Roman" w:hAnsi="Arial" w:cs="Arial"/>
          <w:color w:val="000000"/>
          <w:sz w:val="23"/>
          <w:szCs w:val="23"/>
        </w:rPr>
        <w:t>, Brown</w:t>
      </w:r>
      <w:r w:rsidR="004A1A52">
        <w:rPr>
          <w:rFonts w:ascii="Arial" w:eastAsia="Times New Roman" w:hAnsi="Arial" w:cs="Arial"/>
          <w:color w:val="000000"/>
          <w:sz w:val="23"/>
          <w:szCs w:val="23"/>
        </w:rPr>
        <w:t xml:space="preserve"> University, Providence, RI</w:t>
      </w:r>
    </w:p>
    <w:p w:rsidR="004A1A52" w:rsidRDefault="004A1A52" w:rsidP="004A1A52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vertAlign w:val="superscript"/>
        </w:rPr>
        <w:t>2</w:t>
      </w:r>
      <w:r>
        <w:rPr>
          <w:rFonts w:ascii="Arial" w:eastAsia="Times New Roman" w:hAnsi="Arial" w:cs="Arial"/>
          <w:color w:val="000000"/>
          <w:sz w:val="23"/>
          <w:szCs w:val="23"/>
        </w:rPr>
        <w:t>Division of Biology and Medici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</w:rPr>
        <w:t>ne</w:t>
      </w:r>
      <w:r>
        <w:rPr>
          <w:rFonts w:ascii="Arial" w:eastAsia="Times New Roman" w:hAnsi="Arial" w:cs="Arial"/>
          <w:color w:val="000000"/>
          <w:sz w:val="23"/>
          <w:szCs w:val="23"/>
        </w:rPr>
        <w:t>, Brown University, Providence, RI</w:t>
      </w:r>
    </w:p>
    <w:p w:rsidR="008E3462" w:rsidRDefault="004A1A52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F50389" w:rsidRPr="00F50389" w:rsidRDefault="00F50389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F50389">
        <w:rPr>
          <w:rFonts w:ascii="Arial" w:eastAsia="Times New Roman" w:hAnsi="Arial" w:cs="Arial"/>
          <w:b/>
          <w:color w:val="000000"/>
          <w:sz w:val="23"/>
          <w:szCs w:val="23"/>
        </w:rPr>
        <w:t>Background</w:t>
      </w:r>
    </w:p>
    <w:p w:rsidR="008E2D20" w:rsidRDefault="00FB4D0A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genomic sequences of p</w:t>
      </w:r>
      <w:r w:rsidR="001E3697">
        <w:rPr>
          <w:rFonts w:ascii="Arial" w:eastAsia="Times New Roman" w:hAnsi="Arial" w:cs="Arial"/>
          <w:color w:val="000000"/>
          <w:sz w:val="23"/>
          <w:szCs w:val="23"/>
        </w:rPr>
        <w:t>hages isolate</w:t>
      </w:r>
      <w:r>
        <w:rPr>
          <w:rFonts w:ascii="Arial" w:eastAsia="Times New Roman" w:hAnsi="Arial" w:cs="Arial"/>
          <w:color w:val="000000"/>
          <w:sz w:val="23"/>
          <w:szCs w:val="23"/>
        </w:rPr>
        <w:t>d</w:t>
      </w:r>
      <w:r w:rsidR="001E3697">
        <w:rPr>
          <w:rFonts w:ascii="Arial" w:eastAsia="Times New Roman" w:hAnsi="Arial" w:cs="Arial"/>
          <w:color w:val="000000"/>
          <w:sz w:val="23"/>
          <w:szCs w:val="23"/>
        </w:rPr>
        <w:t xml:space="preserve"> on mycobacterial hosts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are diverse</w:t>
      </w:r>
      <w:r w:rsidR="00F01C99">
        <w:rPr>
          <w:rFonts w:ascii="Arial" w:eastAsia="Times New Roman" w:hAnsi="Arial" w:cs="Arial"/>
          <w:color w:val="000000"/>
          <w:sz w:val="23"/>
          <w:szCs w:val="23"/>
        </w:rPr>
        <w:t>, mosaic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and often share little nucleotide similarity. </w:t>
      </w:r>
      <w:r w:rsidR="00F01C99">
        <w:rPr>
          <w:rFonts w:ascii="Arial" w:eastAsia="Times New Roman" w:hAnsi="Arial" w:cs="Arial"/>
          <w:color w:val="000000"/>
          <w:sz w:val="23"/>
          <w:szCs w:val="23"/>
        </w:rPr>
        <w:t xml:space="preserve">However, about 30 unique types have been isolated, allowing most phage to be </w:t>
      </w:r>
      <w:r w:rsidR="00AA0856">
        <w:rPr>
          <w:rFonts w:ascii="Arial" w:eastAsia="Times New Roman" w:hAnsi="Arial" w:cs="Arial"/>
          <w:color w:val="000000"/>
          <w:sz w:val="23"/>
          <w:szCs w:val="23"/>
        </w:rPr>
        <w:t>grouped</w:t>
      </w:r>
      <w:r w:rsidR="00F01C99">
        <w:rPr>
          <w:rFonts w:ascii="Arial" w:eastAsia="Times New Roman" w:hAnsi="Arial" w:cs="Arial"/>
          <w:color w:val="000000"/>
          <w:sz w:val="23"/>
          <w:szCs w:val="23"/>
        </w:rPr>
        <w:t xml:space="preserve"> into clusters </w:t>
      </w:r>
      <w:r w:rsidR="00AA0856">
        <w:rPr>
          <w:rFonts w:ascii="Arial" w:eastAsia="Times New Roman" w:hAnsi="Arial" w:cs="Arial"/>
          <w:color w:val="000000"/>
          <w:sz w:val="23"/>
          <w:szCs w:val="23"/>
        </w:rPr>
        <w:t xml:space="preserve">and further into subclusters </w:t>
      </w:r>
      <w:r w:rsidR="00F01C99">
        <w:rPr>
          <w:rFonts w:ascii="Arial" w:eastAsia="Times New Roman" w:hAnsi="Arial" w:cs="Arial"/>
          <w:color w:val="000000"/>
          <w:sz w:val="23"/>
          <w:szCs w:val="23"/>
        </w:rPr>
        <w:t xml:space="preserve">[1]. 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Many tools for the analysis of mycobacteriophage genomes depend on sequence alignment or knowledge of gene content. </w:t>
      </w:r>
      <w:r>
        <w:rPr>
          <w:rFonts w:ascii="Arial" w:eastAsia="Times New Roman" w:hAnsi="Arial" w:cs="Arial"/>
          <w:color w:val="000000"/>
          <w:sz w:val="23"/>
          <w:szCs w:val="23"/>
        </w:rPr>
        <w:t>These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methods </w:t>
      </w:r>
      <w:r>
        <w:rPr>
          <w:rFonts w:ascii="Arial" w:eastAsia="Times New Roman" w:hAnsi="Arial" w:cs="Arial"/>
          <w:color w:val="000000"/>
          <w:sz w:val="23"/>
          <w:szCs w:val="23"/>
        </w:rPr>
        <w:t>are computationally expensive, can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requi</w:t>
      </w:r>
      <w:r w:rsidR="007E01F1">
        <w:rPr>
          <w:rFonts w:ascii="Arial" w:eastAsia="Times New Roman" w:hAnsi="Arial" w:cs="Arial"/>
          <w:color w:val="000000"/>
          <w:sz w:val="23"/>
          <w:szCs w:val="23"/>
        </w:rPr>
        <w:t>re significant manual input (for example,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gene annotation)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="00391E78">
        <w:rPr>
          <w:rFonts w:ascii="Arial" w:eastAsia="Times New Roman" w:hAnsi="Arial" w:cs="Arial"/>
          <w:color w:val="000000"/>
          <w:sz w:val="23"/>
          <w:szCs w:val="23"/>
        </w:rPr>
        <w:t xml:space="preserve">can be ineffective for </w:t>
      </w:r>
      <w:r w:rsidR="00F50389">
        <w:rPr>
          <w:rFonts w:ascii="Arial" w:eastAsia="Times New Roman" w:hAnsi="Arial" w:cs="Arial"/>
          <w:color w:val="000000"/>
          <w:sz w:val="23"/>
          <w:szCs w:val="23"/>
        </w:rPr>
        <w:t>significantly</w:t>
      </w:r>
      <w:r w:rsidR="00391E78">
        <w:rPr>
          <w:rFonts w:ascii="Arial" w:eastAsia="Times New Roman" w:hAnsi="Arial" w:cs="Arial"/>
          <w:color w:val="000000"/>
          <w:sz w:val="23"/>
          <w:szCs w:val="23"/>
        </w:rPr>
        <w:t xml:space="preserve"> diverged </w:t>
      </w:r>
      <w:r w:rsidR="004B2408">
        <w:rPr>
          <w:rFonts w:ascii="Arial" w:eastAsia="Times New Roman" w:hAnsi="Arial" w:cs="Arial"/>
          <w:color w:val="000000"/>
          <w:sz w:val="23"/>
          <w:szCs w:val="23"/>
        </w:rPr>
        <w:t>sequences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 xml:space="preserve"> [2]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>. We evaluated tetranucleotide usage in mycobacteriophages as an alternative to alignment-bas</w:t>
      </w:r>
      <w:r w:rsidR="00F50389">
        <w:rPr>
          <w:rFonts w:ascii="Arial" w:eastAsia="Times New Roman" w:hAnsi="Arial" w:cs="Arial"/>
          <w:color w:val="000000"/>
          <w:sz w:val="23"/>
          <w:szCs w:val="23"/>
        </w:rPr>
        <w:t>ed methods for genome analysis.</w:t>
      </w:r>
    </w:p>
    <w:p w:rsidR="00F50389" w:rsidRDefault="00F50389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</w:p>
    <w:p w:rsidR="00F50389" w:rsidRPr="00F50389" w:rsidRDefault="00F50389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>Description</w:t>
      </w:r>
    </w:p>
    <w:p w:rsidR="00393EAA" w:rsidRDefault="00393EAA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>e computed tetranucleotide usage deviation, the ratio of observed counts of 4-mers in a genome to the expected count under a null model</w:t>
      </w:r>
      <w:r w:rsidR="00AA0856">
        <w:rPr>
          <w:rFonts w:ascii="Arial" w:eastAsia="Times New Roman" w:hAnsi="Arial" w:cs="Arial"/>
          <w:color w:val="000000"/>
          <w:sz w:val="23"/>
          <w:szCs w:val="23"/>
        </w:rPr>
        <w:t xml:space="preserve"> [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>3</w:t>
      </w:r>
      <w:r w:rsidR="00AA0856">
        <w:rPr>
          <w:rFonts w:ascii="Arial" w:eastAsia="Times New Roman" w:hAnsi="Arial" w:cs="Arial"/>
          <w:color w:val="000000"/>
          <w:sz w:val="23"/>
          <w:szCs w:val="23"/>
        </w:rPr>
        <w:t>]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="004B2408">
        <w:rPr>
          <w:rFonts w:ascii="Arial" w:eastAsia="Times New Roman" w:hAnsi="Arial" w:cs="Arial"/>
          <w:color w:val="000000"/>
          <w:sz w:val="23"/>
          <w:szCs w:val="23"/>
        </w:rPr>
        <w:t xml:space="preserve">Tetranucleotide usage deviation is comparable </w:t>
      </w:r>
      <w:r w:rsidR="007E01F1">
        <w:rPr>
          <w:rFonts w:ascii="Arial" w:eastAsia="Times New Roman" w:hAnsi="Arial" w:cs="Arial"/>
          <w:color w:val="000000"/>
          <w:sz w:val="23"/>
          <w:szCs w:val="23"/>
        </w:rPr>
        <w:t xml:space="preserve">for members of the same phage subcluster and 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 xml:space="preserve">distinct between subclusters. </w:t>
      </w:r>
      <w:r>
        <w:rPr>
          <w:rFonts w:ascii="Arial" w:eastAsia="Times New Roman" w:hAnsi="Arial" w:cs="Arial"/>
          <w:color w:val="000000"/>
          <w:sz w:val="23"/>
          <w:szCs w:val="23"/>
        </w:rPr>
        <w:t>N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>eighbor joining phylogenetic trees were constructed on pairwise Euclidean distances between all genomes in the mycobacteriophage database. In almost every case, phage were placed in a monophyletic clade with members of the same subcluster.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With few exceptions, trees computed from 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>tetranucleotide usage deviation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accurately reconstruct trees based on gene content for a subset of the mycobacteriophage population (Fig.1). </w:t>
      </w:r>
    </w:p>
    <w:p w:rsidR="008E2D20" w:rsidRPr="008E2D20" w:rsidRDefault="00393EAA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e also evaluated the possibility of assigning clusters to unknown phage based on 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tetranucleotide usage deviation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. Under a simple nearest neighbor </w:t>
      </w:r>
      <w:r w:rsidR="008E2D20" w:rsidRPr="008E2D20">
        <w:rPr>
          <w:rFonts w:ascii="Arial" w:eastAsia="Times New Roman" w:hAnsi="Arial" w:cs="Arial"/>
          <w:color w:val="000000"/>
          <w:sz w:val="23"/>
          <w:szCs w:val="23"/>
        </w:rPr>
        <w:t>classifier, cluster assignments were recovered at a frequency greater than 98%.</w:t>
      </w:r>
    </w:p>
    <w:p w:rsidR="008E2D20" w:rsidRDefault="008E2D20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>In addition, we looked for evidence of horizontal gene transfer by using tetra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nucleotide difference index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>, a measure of the deviation in tetranucleotide usage from the genomic mean in a sliding window across the genome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 xml:space="preserve"> [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>3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>]. T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etranucleotide difference index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plots showed a strong spike at the end of cluster L mycobacteriophages, which could indicate horizon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>tal gene transfer in the region.</w:t>
      </w:r>
    </w:p>
    <w:p w:rsidR="00BB4384" w:rsidRDefault="00BB4384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BB4384" w:rsidRPr="00BB4384" w:rsidRDefault="00BB4384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>Conclusions</w:t>
      </w:r>
    </w:p>
    <w:p w:rsidR="00F01C99" w:rsidRDefault="008E2D20" w:rsidP="001A2FCB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>Genome analysis</w:t>
      </w:r>
      <w:r w:rsidR="00BB4384">
        <w:rPr>
          <w:rFonts w:ascii="Arial" w:eastAsia="Times New Roman" w:hAnsi="Arial" w:cs="Arial"/>
          <w:color w:val="000000"/>
          <w:sz w:val="23"/>
          <w:szCs w:val="23"/>
        </w:rPr>
        <w:t xml:space="preserve"> based on tetranucleotide usage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shows promise for evaluating host-parasite coevolution and gene exchange within the mycobacteriophage population. These methods are computationally inexpensive and independent of gene annotation, making them optimal</w:t>
      </w:r>
      <w:r w:rsidR="007A0897">
        <w:rPr>
          <w:rFonts w:ascii="Arial" w:eastAsia="Times New Roman" w:hAnsi="Arial" w:cs="Arial"/>
          <w:color w:val="000000"/>
          <w:sz w:val="23"/>
          <w:szCs w:val="23"/>
        </w:rPr>
        <w:t xml:space="preserve"> candidates</w:t>
      </w: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for further research aimed at clustering phage and determining evolutionary relationships.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 xml:space="preserve"> Code for genome analysis and data used in this project are freely available at [http</w:t>
      </w:r>
      <w:r w:rsidR="00E315E1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>://github.com/bsiranosian/tango</w:t>
      </w:r>
      <w:r w:rsidR="00E315E1">
        <w:rPr>
          <w:rFonts w:ascii="Arial" w:eastAsia="Times New Roman" w:hAnsi="Arial" w:cs="Arial"/>
          <w:color w:val="000000"/>
          <w:sz w:val="23"/>
          <w:szCs w:val="23"/>
        </w:rPr>
        <w:t>_final</w:t>
      </w:r>
      <w:r w:rsidR="00517561">
        <w:rPr>
          <w:rFonts w:ascii="Arial" w:eastAsia="Times New Roman" w:hAnsi="Arial" w:cs="Arial"/>
          <w:color w:val="000000"/>
          <w:sz w:val="23"/>
          <w:szCs w:val="23"/>
        </w:rPr>
        <w:t>].</w:t>
      </w:r>
    </w:p>
    <w:p w:rsidR="00F01C99" w:rsidRDefault="00F01C99" w:rsidP="001A2FCB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</w:p>
    <w:p w:rsidR="00F01C99" w:rsidRDefault="00F01C99" w:rsidP="001A2FCB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F01C99">
        <w:rPr>
          <w:rFonts w:ascii="Arial" w:eastAsia="Times New Roman" w:hAnsi="Arial" w:cs="Arial"/>
          <w:b/>
          <w:color w:val="000000"/>
          <w:sz w:val="23"/>
          <w:szCs w:val="23"/>
        </w:rPr>
        <w:t xml:space="preserve">References </w:t>
      </w:r>
    </w:p>
    <w:p w:rsidR="00F01C99" w:rsidRDefault="00F01C99" w:rsidP="00F01C99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01C9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F01C99">
        <w:rPr>
          <w:rFonts w:ascii="Times New Roman" w:eastAsia="Times New Roman" w:hAnsi="Times New Roman" w:cs="Times New Roman"/>
          <w:sz w:val="24"/>
          <w:szCs w:val="24"/>
        </w:rPr>
        <w:t>Hatfull</w:t>
      </w:r>
      <w:proofErr w:type="spellEnd"/>
      <w:r w:rsidRPr="00F01C99">
        <w:rPr>
          <w:rFonts w:ascii="Times New Roman" w:eastAsia="Times New Roman" w:hAnsi="Times New Roman" w:cs="Times New Roman"/>
          <w:sz w:val="24"/>
          <w:szCs w:val="24"/>
        </w:rPr>
        <w:t xml:space="preserve"> GF: </w:t>
      </w:r>
      <w:r w:rsidRPr="00F01C99">
        <w:rPr>
          <w:rFonts w:ascii="Times New Roman" w:eastAsia="Times New Roman" w:hAnsi="Times New Roman" w:cs="Times New Roman"/>
          <w:b/>
          <w:bCs/>
          <w:sz w:val="24"/>
          <w:szCs w:val="24"/>
        </w:rPr>
        <w:t>Mycobacteriophages: Windows into Tuberculosis</w:t>
      </w:r>
      <w:r w:rsidRPr="00F01C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01C99">
        <w:rPr>
          <w:rFonts w:ascii="Times New Roman" w:eastAsia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F01C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1C99">
        <w:rPr>
          <w:rFonts w:ascii="Times New Roman" w:eastAsia="Times New Roman" w:hAnsi="Times New Roman" w:cs="Times New Roman"/>
          <w:i/>
          <w:iCs/>
          <w:sz w:val="24"/>
          <w:szCs w:val="24"/>
        </w:rPr>
        <w:t>Pathog</w:t>
      </w:r>
      <w:proofErr w:type="spellEnd"/>
      <w:r w:rsidRPr="00F01C99">
        <w:rPr>
          <w:rFonts w:ascii="Times New Roman" w:eastAsia="Times New Roman" w:hAnsi="Times New Roman" w:cs="Times New Roman"/>
          <w:sz w:val="24"/>
          <w:szCs w:val="24"/>
        </w:rPr>
        <w:t xml:space="preserve"> 2014, </w:t>
      </w:r>
      <w:r w:rsidRPr="00F01C99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F01C99">
        <w:rPr>
          <w:rFonts w:ascii="Times New Roman" w:eastAsia="Times New Roman" w:hAnsi="Times New Roman" w:cs="Times New Roman"/>
          <w:sz w:val="24"/>
          <w:szCs w:val="24"/>
        </w:rPr>
        <w:t>:e1003953.</w:t>
      </w:r>
    </w:p>
    <w:p w:rsidR="008E3462" w:rsidRPr="008E3462" w:rsidRDefault="008E3462" w:rsidP="008E3462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E34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E3462">
        <w:rPr>
          <w:rFonts w:ascii="Times New Roman" w:eastAsia="Times New Roman" w:hAnsi="Times New Roman" w:cs="Times New Roman"/>
          <w:sz w:val="24"/>
          <w:szCs w:val="24"/>
        </w:rPr>
        <w:t>Vinga</w:t>
      </w:r>
      <w:proofErr w:type="spellEnd"/>
      <w:r w:rsidRPr="008E3462">
        <w:rPr>
          <w:rFonts w:ascii="Times New Roman" w:eastAsia="Times New Roman" w:hAnsi="Times New Roman" w:cs="Times New Roman"/>
          <w:sz w:val="24"/>
          <w:szCs w:val="24"/>
        </w:rPr>
        <w:t xml:space="preserve"> S, Almeida J: </w:t>
      </w:r>
      <w:r w:rsidRPr="008E3462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Alignment-free sequence comparison—a review</w:t>
      </w:r>
      <w:r w:rsidRPr="008E34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E3462">
        <w:rPr>
          <w:rFonts w:ascii="Times New Roman" w:eastAsia="Times New Roman" w:hAnsi="Times New Roman" w:cs="Times New Roman"/>
          <w:i/>
          <w:iCs/>
          <w:sz w:val="24"/>
          <w:szCs w:val="24"/>
        </w:rPr>
        <w:t>Bioinformatics</w:t>
      </w:r>
      <w:r w:rsidRPr="008E3462">
        <w:rPr>
          <w:rFonts w:ascii="Times New Roman" w:eastAsia="Times New Roman" w:hAnsi="Times New Roman" w:cs="Times New Roman"/>
          <w:sz w:val="24"/>
          <w:szCs w:val="24"/>
        </w:rPr>
        <w:t xml:space="preserve"> 2003, </w:t>
      </w:r>
      <w:r w:rsidRPr="008E3462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Pr="008E3462">
        <w:rPr>
          <w:rFonts w:ascii="Times New Roman" w:eastAsia="Times New Roman" w:hAnsi="Times New Roman" w:cs="Times New Roman"/>
          <w:sz w:val="24"/>
          <w:szCs w:val="24"/>
        </w:rPr>
        <w:t>:513–523.</w:t>
      </w:r>
    </w:p>
    <w:p w:rsidR="008E3462" w:rsidRPr="00F01C99" w:rsidRDefault="008E3462" w:rsidP="00F01C99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AA0856" w:rsidRDefault="008E3462" w:rsidP="00AA0856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. Pride DT, </w:t>
      </w:r>
      <w:proofErr w:type="spellStart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>Wassenaar</w:t>
      </w:r>
      <w:proofErr w:type="spellEnd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 TM, </w:t>
      </w:r>
      <w:proofErr w:type="spellStart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>Ghose</w:t>
      </w:r>
      <w:proofErr w:type="spellEnd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 C, </w:t>
      </w:r>
      <w:proofErr w:type="spellStart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>Blaser</w:t>
      </w:r>
      <w:proofErr w:type="spellEnd"/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 MJ: </w:t>
      </w:r>
      <w:r w:rsidR="00AA0856" w:rsidRPr="00AA0856">
        <w:rPr>
          <w:rFonts w:ascii="Times New Roman" w:eastAsia="Times New Roman" w:hAnsi="Times New Roman" w:cs="Times New Roman"/>
          <w:b/>
          <w:bCs/>
          <w:sz w:val="24"/>
          <w:szCs w:val="24"/>
        </w:rPr>
        <w:t>Evidence of host-virus co-evolution in tetranucleotide usage patterns of bacteriophages and eukaryotic viruses</w:t>
      </w:r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A0856" w:rsidRPr="00AA0856">
        <w:rPr>
          <w:rFonts w:ascii="Times New Roman" w:eastAsia="Times New Roman" w:hAnsi="Times New Roman" w:cs="Times New Roman"/>
          <w:i/>
          <w:iCs/>
          <w:sz w:val="24"/>
          <w:szCs w:val="24"/>
        </w:rPr>
        <w:t>BMC Genomics</w:t>
      </w:r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 xml:space="preserve"> 2006, </w:t>
      </w:r>
      <w:r w:rsidR="00AA0856" w:rsidRPr="00AA0856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AA0856" w:rsidRPr="00AA0856">
        <w:rPr>
          <w:rFonts w:ascii="Times New Roman" w:eastAsia="Times New Roman" w:hAnsi="Times New Roman" w:cs="Times New Roman"/>
          <w:sz w:val="24"/>
          <w:szCs w:val="24"/>
        </w:rPr>
        <w:t>:8.</w:t>
      </w:r>
    </w:p>
    <w:p w:rsidR="00517561" w:rsidRPr="00517561" w:rsidRDefault="008E3462" w:rsidP="00517561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Hatfull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GF, Jacobs-Sera D, Lawrence JG, Pope WH, Russell DA,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C-C, Weber RJ, Patel MC, Germane KL, Edgar RH,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Hoyte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NN, Bowman CA,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Tantoco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AT, Paladin EC, Myers MS, Smith AL, Grace MS, Pham TT, O’Brien MB,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Vogelsberger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AM,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Hryckowian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AJ,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Wynalek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JL,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Donis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-Keller H,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Bogel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MW, Peebles CL, </w:t>
      </w:r>
      <w:proofErr w:type="spellStart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Cresawn</w:t>
      </w:r>
      <w:proofErr w:type="spellEnd"/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SG, Hendrix RW: </w:t>
      </w:r>
      <w:r w:rsidR="00517561" w:rsidRPr="00517561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Genomic Analysis of 60 Mycobacteriophage Genomes: Genome Clustering, Gene Acquisition, and Gene Size</w:t>
      </w:r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17561" w:rsidRPr="0051756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Molecular Biology</w:t>
      </w:r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 xml:space="preserve"> 2010, </w:t>
      </w:r>
      <w:r w:rsidR="00517561" w:rsidRPr="00517561">
        <w:rPr>
          <w:rFonts w:ascii="Times New Roman" w:eastAsia="Times New Roman" w:hAnsi="Times New Roman" w:cs="Times New Roman"/>
          <w:b/>
          <w:bCs/>
          <w:sz w:val="24"/>
          <w:szCs w:val="24"/>
        </w:rPr>
        <w:t>397</w:t>
      </w:r>
      <w:r w:rsidR="00517561" w:rsidRPr="00517561">
        <w:rPr>
          <w:rFonts w:ascii="Times New Roman" w:eastAsia="Times New Roman" w:hAnsi="Times New Roman" w:cs="Times New Roman"/>
          <w:sz w:val="24"/>
          <w:szCs w:val="24"/>
        </w:rPr>
        <w:t>:119–143.</w:t>
      </w:r>
    </w:p>
    <w:p w:rsidR="00517561" w:rsidRPr="00AA0856" w:rsidRDefault="00517561" w:rsidP="00AA0856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01C99" w:rsidRDefault="00F01C99" w:rsidP="001A2FCB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E315E1" w:rsidRPr="008B6811" w:rsidRDefault="00E315E1" w:rsidP="008B6811">
      <w:pPr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 xml:space="preserve">Figure 1 </w:t>
      </w:r>
      <w:r w:rsidRPr="00E315E1">
        <w:rPr>
          <w:rFonts w:ascii="Arial" w:eastAsia="Times New Roman" w:hAnsi="Arial" w:cs="Arial"/>
          <w:b/>
          <w:color w:val="000000"/>
          <w:sz w:val="23"/>
          <w:szCs w:val="23"/>
        </w:rPr>
        <w:t>A)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Neighbor joining tree constructed from tetranucleotide usage deviation distances and </w:t>
      </w:r>
      <w:r>
        <w:rPr>
          <w:rFonts w:ascii="Arial" w:eastAsia="Times New Roman" w:hAnsi="Arial" w:cs="Arial"/>
          <w:b/>
          <w:color w:val="000000"/>
          <w:sz w:val="23"/>
          <w:szCs w:val="23"/>
        </w:rPr>
        <w:t>B)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 xml:space="preserve"> tree from [4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] constructed from predicted protein products in a subset of sequenced mycobacteriophages. </w:t>
      </w:r>
      <w:r w:rsidR="008B6811">
        <w:rPr>
          <w:rFonts w:ascii="Arial" w:eastAsia="Times New Roman" w:hAnsi="Arial" w:cs="Arial"/>
          <w:color w:val="000000"/>
          <w:sz w:val="23"/>
          <w:szCs w:val="23"/>
        </w:rPr>
        <w:t>Our method accurately places phage in a monophyletic clade with members of the same subcluster and often reconstructs relationships between subclusters. In some cases, a subcluster is not placed with other members of the cluster because of significant and conserved differences in tetranucleotide usage, such as overrepresentation of</w:t>
      </w:r>
      <w:r w:rsidR="008E3462">
        <w:rPr>
          <w:rFonts w:ascii="Arial" w:eastAsia="Times New Roman" w:hAnsi="Arial" w:cs="Arial"/>
          <w:color w:val="000000"/>
          <w:sz w:val="23"/>
          <w:szCs w:val="23"/>
        </w:rPr>
        <w:t xml:space="preserve"> the 4-mer</w:t>
      </w:r>
      <w:r w:rsidR="008B6811">
        <w:rPr>
          <w:rFonts w:ascii="Arial" w:eastAsia="Times New Roman" w:hAnsi="Arial" w:cs="Arial"/>
          <w:color w:val="000000"/>
          <w:sz w:val="23"/>
          <w:szCs w:val="23"/>
        </w:rPr>
        <w:t xml:space="preserve"> ‘GATC’ in cluster B3 genomes. </w:t>
      </w:r>
    </w:p>
    <w:sectPr w:rsidR="00E315E1" w:rsidRPr="008B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3E"/>
    <w:rsid w:val="00081969"/>
    <w:rsid w:val="00087625"/>
    <w:rsid w:val="000E47E3"/>
    <w:rsid w:val="001A1B2B"/>
    <w:rsid w:val="001A2FCB"/>
    <w:rsid w:val="001B671C"/>
    <w:rsid w:val="001E0DCB"/>
    <w:rsid w:val="001E3697"/>
    <w:rsid w:val="00391E78"/>
    <w:rsid w:val="00393EAA"/>
    <w:rsid w:val="00464599"/>
    <w:rsid w:val="004A1A52"/>
    <w:rsid w:val="004B2408"/>
    <w:rsid w:val="004F0841"/>
    <w:rsid w:val="00512C7B"/>
    <w:rsid w:val="00517561"/>
    <w:rsid w:val="00550EF0"/>
    <w:rsid w:val="005E05D7"/>
    <w:rsid w:val="006237A9"/>
    <w:rsid w:val="006965E0"/>
    <w:rsid w:val="006E773E"/>
    <w:rsid w:val="00710E24"/>
    <w:rsid w:val="00722C2D"/>
    <w:rsid w:val="007508F0"/>
    <w:rsid w:val="00751ADA"/>
    <w:rsid w:val="0077353A"/>
    <w:rsid w:val="007809CE"/>
    <w:rsid w:val="007A0897"/>
    <w:rsid w:val="007E01F1"/>
    <w:rsid w:val="007E31A2"/>
    <w:rsid w:val="008B6811"/>
    <w:rsid w:val="008E2D20"/>
    <w:rsid w:val="008E3462"/>
    <w:rsid w:val="0094307C"/>
    <w:rsid w:val="00A111F0"/>
    <w:rsid w:val="00AA0856"/>
    <w:rsid w:val="00AC3441"/>
    <w:rsid w:val="00BB4384"/>
    <w:rsid w:val="00C96AC2"/>
    <w:rsid w:val="00CD25C5"/>
    <w:rsid w:val="00E315E1"/>
    <w:rsid w:val="00E821D0"/>
    <w:rsid w:val="00EB37E8"/>
    <w:rsid w:val="00EC0B95"/>
    <w:rsid w:val="00F01C99"/>
    <w:rsid w:val="00F256E2"/>
    <w:rsid w:val="00F50389"/>
    <w:rsid w:val="00F66B4E"/>
    <w:rsid w:val="00FB4D0A"/>
    <w:rsid w:val="00F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1530-9916-4811-89D2-0FD2CBBD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7C"/>
    <w:pPr>
      <w:spacing w:after="200" w:line="276" w:lineRule="auto"/>
      <w:contextualSpacing/>
      <w:jc w:val="both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07C"/>
    <w:pPr>
      <w:spacing w:after="0" w:line="240" w:lineRule="auto"/>
      <w:jc w:val="both"/>
    </w:pPr>
    <w:rPr>
      <w:rFonts w:eastAsiaTheme="minorEastAsia"/>
      <w:szCs w:val="20"/>
    </w:rPr>
  </w:style>
  <w:style w:type="paragraph" w:styleId="NormalWeb">
    <w:name w:val="Normal (Web)"/>
    <w:basedOn w:val="Normal"/>
    <w:uiPriority w:val="99"/>
    <w:semiHidden/>
    <w:unhideWhenUsed/>
    <w:rsid w:val="008E2D2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34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Siranosian</dc:creator>
  <cp:keywords/>
  <dc:description/>
  <cp:lastModifiedBy>Ben Siranosian</cp:lastModifiedBy>
  <cp:revision>6</cp:revision>
  <dcterms:created xsi:type="dcterms:W3CDTF">2014-08-31T12:09:00Z</dcterms:created>
  <dcterms:modified xsi:type="dcterms:W3CDTF">2014-08-31T15:48:00Z</dcterms:modified>
</cp:coreProperties>
</file>