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2D20" w:rsidRDefault="008E2D20" w:rsidP="008E2D20">
      <w:pPr>
        <w:spacing w:after="0" w:line="240" w:lineRule="auto"/>
        <w:contextualSpacing w:val="0"/>
        <w:jc w:val="left"/>
        <w:rPr>
          <w:rFonts w:ascii="Arial" w:eastAsia="Times New Roman" w:hAnsi="Arial" w:cs="Arial"/>
          <w:b/>
          <w:bCs/>
          <w:color w:val="000000"/>
          <w:sz w:val="23"/>
          <w:szCs w:val="23"/>
        </w:rPr>
      </w:pPr>
      <w:r w:rsidRPr="008E2D20">
        <w:rPr>
          <w:rFonts w:ascii="Arial" w:eastAsia="Times New Roman" w:hAnsi="Arial" w:cs="Arial"/>
          <w:b/>
          <w:bCs/>
          <w:color w:val="000000"/>
          <w:sz w:val="23"/>
          <w:szCs w:val="23"/>
        </w:rPr>
        <w:t>Tetranucleotide usage in mycobacteriophage genomes: alignment-free methods to cluster phage and infer evolutionary relationships</w:t>
      </w:r>
    </w:p>
    <w:p w:rsidR="008E2D20" w:rsidRPr="008E2D20" w:rsidRDefault="008E2D20" w:rsidP="008E2D20">
      <w:pPr>
        <w:spacing w:after="0" w:line="240" w:lineRule="auto"/>
        <w:contextualSpacing w:val="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8E2D20">
        <w:rPr>
          <w:rFonts w:ascii="Arial" w:eastAsia="Times New Roman" w:hAnsi="Arial" w:cs="Arial"/>
          <w:bCs/>
          <w:color w:val="000000"/>
          <w:sz w:val="23"/>
          <w:szCs w:val="23"/>
        </w:rPr>
        <w:t>Benjamin Siranosian</w:t>
      </w:r>
      <w:r w:rsidR="008E3462" w:rsidRPr="008E3462">
        <w:rPr>
          <w:rFonts w:ascii="Arial" w:eastAsia="Times New Roman" w:hAnsi="Arial" w:cs="Arial"/>
          <w:bCs/>
          <w:color w:val="000000"/>
          <w:sz w:val="23"/>
          <w:szCs w:val="23"/>
          <w:vertAlign w:val="superscript"/>
        </w:rPr>
        <w:t>1</w:t>
      </w:r>
      <w:proofErr w:type="gramStart"/>
      <w:r w:rsidR="008E3462">
        <w:rPr>
          <w:rFonts w:ascii="Arial" w:eastAsia="Times New Roman" w:hAnsi="Arial" w:cs="Arial"/>
          <w:bCs/>
          <w:color w:val="000000"/>
          <w:sz w:val="23"/>
          <w:szCs w:val="23"/>
          <w:vertAlign w:val="superscript"/>
        </w:rPr>
        <w:t>,2</w:t>
      </w:r>
      <w:proofErr w:type="gramEnd"/>
      <w:r w:rsidRPr="008E2D20">
        <w:rPr>
          <w:rFonts w:ascii="Arial" w:eastAsia="Times New Roman" w:hAnsi="Arial" w:cs="Arial"/>
          <w:bCs/>
          <w:color w:val="000000"/>
          <w:sz w:val="23"/>
          <w:szCs w:val="23"/>
        </w:rPr>
        <w:t>, Emma Herold</w:t>
      </w:r>
      <w:r w:rsidR="008E3462">
        <w:rPr>
          <w:rFonts w:ascii="Arial" w:eastAsia="Times New Roman" w:hAnsi="Arial" w:cs="Arial"/>
          <w:bCs/>
          <w:color w:val="000000"/>
          <w:sz w:val="23"/>
          <w:szCs w:val="23"/>
          <w:vertAlign w:val="superscript"/>
        </w:rPr>
        <w:t>2</w:t>
      </w:r>
      <w:r w:rsidRPr="008E2D20">
        <w:rPr>
          <w:rFonts w:ascii="Arial" w:eastAsia="Times New Roman" w:hAnsi="Arial" w:cs="Arial"/>
          <w:bCs/>
          <w:color w:val="000000"/>
          <w:sz w:val="23"/>
          <w:szCs w:val="23"/>
        </w:rPr>
        <w:t>, Edward Williams</w:t>
      </w:r>
      <w:r w:rsidR="008E3462">
        <w:rPr>
          <w:rFonts w:ascii="Arial" w:eastAsia="Times New Roman" w:hAnsi="Arial" w:cs="Arial"/>
          <w:bCs/>
          <w:color w:val="000000"/>
          <w:sz w:val="23"/>
          <w:szCs w:val="23"/>
          <w:vertAlign w:val="superscript"/>
        </w:rPr>
        <w:t>2</w:t>
      </w:r>
      <w:r>
        <w:rPr>
          <w:rFonts w:ascii="Arial" w:eastAsia="Times New Roman" w:hAnsi="Arial" w:cs="Arial"/>
          <w:bCs/>
          <w:color w:val="000000"/>
          <w:sz w:val="23"/>
          <w:szCs w:val="23"/>
        </w:rPr>
        <w:t>,</w:t>
      </w:r>
      <w:r w:rsidR="00F256E2">
        <w:rPr>
          <w:rFonts w:ascii="Arial" w:eastAsia="Times New Roman" w:hAnsi="Arial" w:cs="Arial"/>
          <w:bCs/>
          <w:color w:val="000000"/>
          <w:sz w:val="23"/>
          <w:szCs w:val="23"/>
        </w:rPr>
        <w:t xml:space="preserve"> Chen Ye</w:t>
      </w:r>
      <w:r w:rsidR="008E3462">
        <w:rPr>
          <w:rFonts w:ascii="Arial" w:eastAsia="Times New Roman" w:hAnsi="Arial" w:cs="Arial"/>
          <w:bCs/>
          <w:color w:val="000000"/>
          <w:sz w:val="23"/>
          <w:szCs w:val="23"/>
          <w:vertAlign w:val="superscript"/>
        </w:rPr>
        <w:t>2</w:t>
      </w:r>
    </w:p>
    <w:p w:rsidR="008E3462" w:rsidRDefault="008E3462" w:rsidP="008E2D20">
      <w:pPr>
        <w:spacing w:after="0" w:line="240" w:lineRule="auto"/>
        <w:contextualSpacing w:val="0"/>
        <w:jc w:val="left"/>
        <w:rPr>
          <w:rFonts w:ascii="Arial" w:eastAsia="Times New Roman" w:hAnsi="Arial" w:cs="Arial"/>
          <w:color w:val="000000"/>
          <w:sz w:val="23"/>
          <w:szCs w:val="23"/>
        </w:rPr>
      </w:pPr>
      <w:r w:rsidRPr="008E3462">
        <w:rPr>
          <w:rFonts w:ascii="Arial" w:eastAsia="Times New Roman" w:hAnsi="Arial" w:cs="Arial"/>
          <w:bCs/>
          <w:color w:val="000000"/>
          <w:sz w:val="23"/>
          <w:szCs w:val="23"/>
          <w:vertAlign w:val="superscript"/>
        </w:rPr>
        <w:t>1</w:t>
      </w:r>
      <w:r w:rsidRPr="008E3462">
        <w:rPr>
          <w:rFonts w:ascii="Arial" w:eastAsia="Times New Roman" w:hAnsi="Arial" w:cs="Arial"/>
          <w:color w:val="000000"/>
          <w:sz w:val="23"/>
          <w:szCs w:val="23"/>
        </w:rPr>
        <w:t>Center for Computational Molecular Biology</w:t>
      </w:r>
      <w:r>
        <w:rPr>
          <w:rFonts w:ascii="Arial" w:eastAsia="Times New Roman" w:hAnsi="Arial" w:cs="Arial"/>
          <w:color w:val="000000"/>
          <w:sz w:val="23"/>
          <w:szCs w:val="23"/>
        </w:rPr>
        <w:t>, Brown</w:t>
      </w:r>
      <w:r w:rsidR="004A1A52">
        <w:rPr>
          <w:rFonts w:ascii="Arial" w:eastAsia="Times New Roman" w:hAnsi="Arial" w:cs="Arial"/>
          <w:color w:val="000000"/>
          <w:sz w:val="23"/>
          <w:szCs w:val="23"/>
        </w:rPr>
        <w:t xml:space="preserve"> University, Providence, RI</w:t>
      </w:r>
    </w:p>
    <w:p w:rsidR="004A1A52" w:rsidRDefault="004A1A52" w:rsidP="004A1A52">
      <w:pPr>
        <w:spacing w:after="0" w:line="240" w:lineRule="auto"/>
        <w:contextualSpacing w:val="0"/>
        <w:jc w:val="left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eastAsia="Times New Roman" w:hAnsi="Arial" w:cs="Arial"/>
          <w:bCs/>
          <w:color w:val="000000"/>
          <w:sz w:val="23"/>
          <w:szCs w:val="23"/>
          <w:vertAlign w:val="superscript"/>
        </w:rPr>
        <w:t>2</w:t>
      </w:r>
      <w:r>
        <w:rPr>
          <w:rFonts w:ascii="Arial" w:eastAsia="Times New Roman" w:hAnsi="Arial" w:cs="Arial"/>
          <w:color w:val="000000"/>
          <w:sz w:val="23"/>
          <w:szCs w:val="23"/>
        </w:rPr>
        <w:t>Division of Biology and Medicine</w:t>
      </w:r>
      <w:r>
        <w:rPr>
          <w:rFonts w:ascii="Arial" w:eastAsia="Times New Roman" w:hAnsi="Arial" w:cs="Arial"/>
          <w:color w:val="000000"/>
          <w:sz w:val="23"/>
          <w:szCs w:val="23"/>
        </w:rPr>
        <w:t>, Brown University, Providence, RI</w:t>
      </w:r>
    </w:p>
    <w:p w:rsidR="008E3462" w:rsidRDefault="004A1A52" w:rsidP="008E2D20">
      <w:pPr>
        <w:spacing w:after="0" w:line="240" w:lineRule="auto"/>
        <w:contextualSpacing w:val="0"/>
        <w:jc w:val="left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ab/>
      </w:r>
    </w:p>
    <w:p w:rsidR="00F50389" w:rsidRPr="00F50389" w:rsidRDefault="00F50389" w:rsidP="008E2D20">
      <w:pPr>
        <w:spacing w:after="0" w:line="240" w:lineRule="auto"/>
        <w:contextualSpacing w:val="0"/>
        <w:jc w:val="left"/>
        <w:rPr>
          <w:rFonts w:ascii="Arial" w:eastAsia="Times New Roman" w:hAnsi="Arial" w:cs="Arial"/>
          <w:b/>
          <w:color w:val="000000"/>
          <w:sz w:val="23"/>
          <w:szCs w:val="23"/>
        </w:rPr>
      </w:pPr>
      <w:r w:rsidRPr="00F50389">
        <w:rPr>
          <w:rFonts w:ascii="Arial" w:eastAsia="Times New Roman" w:hAnsi="Arial" w:cs="Arial"/>
          <w:b/>
          <w:color w:val="000000"/>
          <w:sz w:val="23"/>
          <w:szCs w:val="23"/>
        </w:rPr>
        <w:t>Background</w:t>
      </w:r>
    </w:p>
    <w:p w:rsidR="008E2D20" w:rsidRDefault="00FB4D0A" w:rsidP="008E2D20">
      <w:pPr>
        <w:spacing w:after="0" w:line="240" w:lineRule="auto"/>
        <w:contextualSpacing w:val="0"/>
        <w:jc w:val="left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The genomic sequences of p</w:t>
      </w:r>
      <w:r w:rsidR="001E3697">
        <w:rPr>
          <w:rFonts w:ascii="Arial" w:eastAsia="Times New Roman" w:hAnsi="Arial" w:cs="Arial"/>
          <w:color w:val="000000"/>
          <w:sz w:val="23"/>
          <w:szCs w:val="23"/>
        </w:rPr>
        <w:t>hages isolate</w:t>
      </w:r>
      <w:r>
        <w:rPr>
          <w:rFonts w:ascii="Arial" w:eastAsia="Times New Roman" w:hAnsi="Arial" w:cs="Arial"/>
          <w:color w:val="000000"/>
          <w:sz w:val="23"/>
          <w:szCs w:val="23"/>
        </w:rPr>
        <w:t>d</w:t>
      </w:r>
      <w:r w:rsidR="001E3697">
        <w:rPr>
          <w:rFonts w:ascii="Arial" w:eastAsia="Times New Roman" w:hAnsi="Arial" w:cs="Arial"/>
          <w:color w:val="000000"/>
          <w:sz w:val="23"/>
          <w:szCs w:val="23"/>
        </w:rPr>
        <w:t xml:space="preserve"> on mycobacterial hosts</w:t>
      </w:r>
      <w:r>
        <w:rPr>
          <w:rFonts w:ascii="Arial" w:eastAsia="Times New Roman" w:hAnsi="Arial" w:cs="Arial"/>
          <w:color w:val="000000"/>
          <w:sz w:val="23"/>
          <w:szCs w:val="23"/>
        </w:rPr>
        <w:t xml:space="preserve"> are diverse</w:t>
      </w:r>
      <w:r w:rsidR="00F01C99">
        <w:rPr>
          <w:rFonts w:ascii="Arial" w:eastAsia="Times New Roman" w:hAnsi="Arial" w:cs="Arial"/>
          <w:color w:val="000000"/>
          <w:sz w:val="23"/>
          <w:szCs w:val="23"/>
        </w:rPr>
        <w:t>, mosaic</w:t>
      </w:r>
      <w:r>
        <w:rPr>
          <w:rFonts w:ascii="Arial" w:eastAsia="Times New Roman" w:hAnsi="Arial" w:cs="Arial"/>
          <w:color w:val="000000"/>
          <w:sz w:val="23"/>
          <w:szCs w:val="23"/>
        </w:rPr>
        <w:t xml:space="preserve"> and often share little nucleotide similarity. </w:t>
      </w:r>
      <w:r w:rsidR="00F01C99">
        <w:rPr>
          <w:rFonts w:ascii="Arial" w:eastAsia="Times New Roman" w:hAnsi="Arial" w:cs="Arial"/>
          <w:color w:val="000000"/>
          <w:sz w:val="23"/>
          <w:szCs w:val="23"/>
        </w:rPr>
        <w:t xml:space="preserve">However, about 30 unique types have been isolated, allowing most phage to be </w:t>
      </w:r>
      <w:r w:rsidR="00AA0856">
        <w:rPr>
          <w:rFonts w:ascii="Arial" w:eastAsia="Times New Roman" w:hAnsi="Arial" w:cs="Arial"/>
          <w:color w:val="000000"/>
          <w:sz w:val="23"/>
          <w:szCs w:val="23"/>
        </w:rPr>
        <w:t>grouped</w:t>
      </w:r>
      <w:r w:rsidR="00F01C99">
        <w:rPr>
          <w:rFonts w:ascii="Arial" w:eastAsia="Times New Roman" w:hAnsi="Arial" w:cs="Arial"/>
          <w:color w:val="000000"/>
          <w:sz w:val="23"/>
          <w:szCs w:val="23"/>
        </w:rPr>
        <w:t xml:space="preserve"> into clusters </w:t>
      </w:r>
      <w:r w:rsidR="00AA0856">
        <w:rPr>
          <w:rFonts w:ascii="Arial" w:eastAsia="Times New Roman" w:hAnsi="Arial" w:cs="Arial"/>
          <w:color w:val="000000"/>
          <w:sz w:val="23"/>
          <w:szCs w:val="23"/>
        </w:rPr>
        <w:t xml:space="preserve">and further into subclusters </w:t>
      </w:r>
      <w:r w:rsidR="00F01C99">
        <w:rPr>
          <w:rFonts w:ascii="Arial" w:eastAsia="Times New Roman" w:hAnsi="Arial" w:cs="Arial"/>
          <w:color w:val="000000"/>
          <w:sz w:val="23"/>
          <w:szCs w:val="23"/>
        </w:rPr>
        <w:t xml:space="preserve">[1]. </w:t>
      </w:r>
      <w:r w:rsidR="008E2D20" w:rsidRPr="008E2D20">
        <w:rPr>
          <w:rFonts w:ascii="Arial" w:eastAsia="Times New Roman" w:hAnsi="Arial" w:cs="Arial"/>
          <w:color w:val="000000"/>
          <w:sz w:val="23"/>
          <w:szCs w:val="23"/>
        </w:rPr>
        <w:t xml:space="preserve">Many tools for the analysis of mycobacteriophage genomes depend on sequence alignment or knowledge of gene content. </w:t>
      </w:r>
      <w:r>
        <w:rPr>
          <w:rFonts w:ascii="Arial" w:eastAsia="Times New Roman" w:hAnsi="Arial" w:cs="Arial"/>
          <w:color w:val="000000"/>
          <w:sz w:val="23"/>
          <w:szCs w:val="23"/>
        </w:rPr>
        <w:t>These</w:t>
      </w:r>
      <w:r w:rsidR="008E2D20" w:rsidRPr="008E2D20">
        <w:rPr>
          <w:rFonts w:ascii="Arial" w:eastAsia="Times New Roman" w:hAnsi="Arial" w:cs="Arial"/>
          <w:color w:val="000000"/>
          <w:sz w:val="23"/>
          <w:szCs w:val="23"/>
        </w:rPr>
        <w:t xml:space="preserve"> methods </w:t>
      </w:r>
      <w:r>
        <w:rPr>
          <w:rFonts w:ascii="Arial" w:eastAsia="Times New Roman" w:hAnsi="Arial" w:cs="Arial"/>
          <w:color w:val="000000"/>
          <w:sz w:val="23"/>
          <w:szCs w:val="23"/>
        </w:rPr>
        <w:t>are computationally expensive, can</w:t>
      </w:r>
      <w:r w:rsidR="008E2D20" w:rsidRPr="008E2D20">
        <w:rPr>
          <w:rFonts w:ascii="Arial" w:eastAsia="Times New Roman" w:hAnsi="Arial" w:cs="Arial"/>
          <w:color w:val="000000"/>
          <w:sz w:val="23"/>
          <w:szCs w:val="23"/>
        </w:rPr>
        <w:t xml:space="preserve"> requi</w:t>
      </w:r>
      <w:r w:rsidR="007E01F1">
        <w:rPr>
          <w:rFonts w:ascii="Arial" w:eastAsia="Times New Roman" w:hAnsi="Arial" w:cs="Arial"/>
          <w:color w:val="000000"/>
          <w:sz w:val="23"/>
          <w:szCs w:val="23"/>
        </w:rPr>
        <w:t>re significant manual input (for example,</w:t>
      </w:r>
      <w:r w:rsidR="008E2D20" w:rsidRPr="008E2D20">
        <w:rPr>
          <w:rFonts w:ascii="Arial" w:eastAsia="Times New Roman" w:hAnsi="Arial" w:cs="Arial"/>
          <w:color w:val="000000"/>
          <w:sz w:val="23"/>
          <w:szCs w:val="23"/>
        </w:rPr>
        <w:t xml:space="preserve"> gene annotation)</w:t>
      </w:r>
      <w:r>
        <w:rPr>
          <w:rFonts w:ascii="Arial" w:eastAsia="Times New Roman" w:hAnsi="Arial" w:cs="Arial"/>
          <w:color w:val="000000"/>
          <w:sz w:val="23"/>
          <w:szCs w:val="23"/>
        </w:rPr>
        <w:t xml:space="preserve"> and </w:t>
      </w:r>
      <w:r w:rsidR="00391E78">
        <w:rPr>
          <w:rFonts w:ascii="Arial" w:eastAsia="Times New Roman" w:hAnsi="Arial" w:cs="Arial"/>
          <w:color w:val="000000"/>
          <w:sz w:val="23"/>
          <w:szCs w:val="23"/>
        </w:rPr>
        <w:t xml:space="preserve">can be ineffective for </w:t>
      </w:r>
      <w:r w:rsidR="00F50389">
        <w:rPr>
          <w:rFonts w:ascii="Arial" w:eastAsia="Times New Roman" w:hAnsi="Arial" w:cs="Arial"/>
          <w:color w:val="000000"/>
          <w:sz w:val="23"/>
          <w:szCs w:val="23"/>
        </w:rPr>
        <w:t>significantly</w:t>
      </w:r>
      <w:r w:rsidR="00391E78">
        <w:rPr>
          <w:rFonts w:ascii="Arial" w:eastAsia="Times New Roman" w:hAnsi="Arial" w:cs="Arial"/>
          <w:color w:val="000000"/>
          <w:sz w:val="23"/>
          <w:szCs w:val="23"/>
        </w:rPr>
        <w:t xml:space="preserve"> diverged </w:t>
      </w:r>
      <w:r w:rsidR="004B2408">
        <w:rPr>
          <w:rFonts w:ascii="Arial" w:eastAsia="Times New Roman" w:hAnsi="Arial" w:cs="Arial"/>
          <w:color w:val="000000"/>
          <w:sz w:val="23"/>
          <w:szCs w:val="23"/>
        </w:rPr>
        <w:t>sequences</w:t>
      </w:r>
      <w:r w:rsidR="008E3462">
        <w:rPr>
          <w:rFonts w:ascii="Arial" w:eastAsia="Times New Roman" w:hAnsi="Arial" w:cs="Arial"/>
          <w:color w:val="000000"/>
          <w:sz w:val="23"/>
          <w:szCs w:val="23"/>
        </w:rPr>
        <w:t xml:space="preserve"> [2]</w:t>
      </w:r>
      <w:r w:rsidR="008E2D20" w:rsidRPr="008E2D20">
        <w:rPr>
          <w:rFonts w:ascii="Arial" w:eastAsia="Times New Roman" w:hAnsi="Arial" w:cs="Arial"/>
          <w:color w:val="000000"/>
          <w:sz w:val="23"/>
          <w:szCs w:val="23"/>
        </w:rPr>
        <w:t>. We evaluated tetranucleotide usage in mycobacteriophages as an alternative to alignment-bas</w:t>
      </w:r>
      <w:r w:rsidR="00F50389">
        <w:rPr>
          <w:rFonts w:ascii="Arial" w:eastAsia="Times New Roman" w:hAnsi="Arial" w:cs="Arial"/>
          <w:color w:val="000000"/>
          <w:sz w:val="23"/>
          <w:szCs w:val="23"/>
        </w:rPr>
        <w:t>ed methods for genome analysis.</w:t>
      </w:r>
    </w:p>
    <w:p w:rsidR="00F50389" w:rsidRDefault="00F50389" w:rsidP="008E2D20">
      <w:pPr>
        <w:spacing w:after="0" w:line="240" w:lineRule="auto"/>
        <w:contextualSpacing w:val="0"/>
        <w:jc w:val="left"/>
        <w:rPr>
          <w:rFonts w:ascii="Arial" w:eastAsia="Times New Roman" w:hAnsi="Arial" w:cs="Arial"/>
          <w:color w:val="000000"/>
          <w:sz w:val="23"/>
          <w:szCs w:val="23"/>
        </w:rPr>
      </w:pPr>
    </w:p>
    <w:p w:rsidR="00F50389" w:rsidRPr="00F50389" w:rsidRDefault="00F50389" w:rsidP="008E2D20">
      <w:pPr>
        <w:spacing w:after="0" w:line="240" w:lineRule="auto"/>
        <w:contextualSpacing w:val="0"/>
        <w:jc w:val="left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Arial" w:eastAsia="Times New Roman" w:hAnsi="Arial" w:cs="Arial"/>
          <w:b/>
          <w:color w:val="000000"/>
          <w:sz w:val="23"/>
          <w:szCs w:val="23"/>
        </w:rPr>
        <w:t>Description</w:t>
      </w:r>
    </w:p>
    <w:p w:rsidR="00393EAA" w:rsidRDefault="00393EAA" w:rsidP="008E2D20">
      <w:pPr>
        <w:spacing w:after="0" w:line="240" w:lineRule="auto"/>
        <w:contextualSpacing w:val="0"/>
        <w:jc w:val="left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W</w:t>
      </w:r>
      <w:r w:rsidR="008E2D20" w:rsidRPr="008E2D20">
        <w:rPr>
          <w:rFonts w:ascii="Arial" w:eastAsia="Times New Roman" w:hAnsi="Arial" w:cs="Arial"/>
          <w:color w:val="000000"/>
          <w:sz w:val="23"/>
          <w:szCs w:val="23"/>
        </w:rPr>
        <w:t>e computed tetranucleotide usage deviation, the ratio of observed counts of 4-mers in a genome to the expected count under a null model</w:t>
      </w:r>
      <w:r w:rsidR="00AA0856">
        <w:rPr>
          <w:rFonts w:ascii="Arial" w:eastAsia="Times New Roman" w:hAnsi="Arial" w:cs="Arial"/>
          <w:color w:val="000000"/>
          <w:sz w:val="23"/>
          <w:szCs w:val="23"/>
        </w:rPr>
        <w:t xml:space="preserve"> [</w:t>
      </w:r>
      <w:r w:rsidR="008E3462">
        <w:rPr>
          <w:rFonts w:ascii="Arial" w:eastAsia="Times New Roman" w:hAnsi="Arial" w:cs="Arial"/>
          <w:color w:val="000000"/>
          <w:sz w:val="23"/>
          <w:szCs w:val="23"/>
        </w:rPr>
        <w:t>3</w:t>
      </w:r>
      <w:r w:rsidR="00AA0856">
        <w:rPr>
          <w:rFonts w:ascii="Arial" w:eastAsia="Times New Roman" w:hAnsi="Arial" w:cs="Arial"/>
          <w:color w:val="000000"/>
          <w:sz w:val="23"/>
          <w:szCs w:val="23"/>
        </w:rPr>
        <w:t>]</w:t>
      </w:r>
      <w:r w:rsidR="008E2D20" w:rsidRPr="008E2D20">
        <w:rPr>
          <w:rFonts w:ascii="Arial" w:eastAsia="Times New Roman" w:hAnsi="Arial" w:cs="Arial"/>
          <w:color w:val="000000"/>
          <w:sz w:val="23"/>
          <w:szCs w:val="23"/>
        </w:rPr>
        <w:t xml:space="preserve">. </w:t>
      </w:r>
      <w:r w:rsidR="004B2408">
        <w:rPr>
          <w:rFonts w:ascii="Arial" w:eastAsia="Times New Roman" w:hAnsi="Arial" w:cs="Arial"/>
          <w:color w:val="000000"/>
          <w:sz w:val="23"/>
          <w:szCs w:val="23"/>
        </w:rPr>
        <w:t xml:space="preserve">Tetranucleotide usage deviation is comparable </w:t>
      </w:r>
      <w:r w:rsidR="007E01F1">
        <w:rPr>
          <w:rFonts w:ascii="Arial" w:eastAsia="Times New Roman" w:hAnsi="Arial" w:cs="Arial"/>
          <w:color w:val="000000"/>
          <w:sz w:val="23"/>
          <w:szCs w:val="23"/>
        </w:rPr>
        <w:t xml:space="preserve">for members of the same phage subcluster and </w:t>
      </w:r>
      <w:r w:rsidR="00BB4384">
        <w:rPr>
          <w:rFonts w:ascii="Arial" w:eastAsia="Times New Roman" w:hAnsi="Arial" w:cs="Arial"/>
          <w:color w:val="000000"/>
          <w:sz w:val="23"/>
          <w:szCs w:val="23"/>
        </w:rPr>
        <w:t xml:space="preserve">distinct between subclusters. </w:t>
      </w:r>
      <w:r>
        <w:rPr>
          <w:rFonts w:ascii="Arial" w:eastAsia="Times New Roman" w:hAnsi="Arial" w:cs="Arial"/>
          <w:color w:val="000000"/>
          <w:sz w:val="23"/>
          <w:szCs w:val="23"/>
        </w:rPr>
        <w:t>N</w:t>
      </w:r>
      <w:r w:rsidR="008E2D20" w:rsidRPr="008E2D20">
        <w:rPr>
          <w:rFonts w:ascii="Arial" w:eastAsia="Times New Roman" w:hAnsi="Arial" w:cs="Arial"/>
          <w:color w:val="000000"/>
          <w:sz w:val="23"/>
          <w:szCs w:val="23"/>
        </w:rPr>
        <w:t>eighbor joining phylogenetic trees were constructed on pairwise Euclidean distances between all genomes in the mycobacteriophage database. In almost every case, phage were placed in a monophyletic clade with members of the same subcluster.</w:t>
      </w:r>
      <w:r>
        <w:rPr>
          <w:rFonts w:ascii="Arial" w:eastAsia="Times New Roman" w:hAnsi="Arial" w:cs="Arial"/>
          <w:color w:val="000000"/>
          <w:sz w:val="23"/>
          <w:szCs w:val="23"/>
        </w:rPr>
        <w:t xml:space="preserve"> With few exceptions, trees computed from </w:t>
      </w:r>
      <w:r w:rsidRPr="008E2D20">
        <w:rPr>
          <w:rFonts w:ascii="Arial" w:eastAsia="Times New Roman" w:hAnsi="Arial" w:cs="Arial"/>
          <w:color w:val="000000"/>
          <w:sz w:val="23"/>
          <w:szCs w:val="23"/>
        </w:rPr>
        <w:t>tetranucleotide usage deviation</w:t>
      </w:r>
      <w:r>
        <w:rPr>
          <w:rFonts w:ascii="Arial" w:eastAsia="Times New Roman" w:hAnsi="Arial" w:cs="Arial"/>
          <w:color w:val="000000"/>
          <w:sz w:val="23"/>
          <w:szCs w:val="23"/>
        </w:rPr>
        <w:t xml:space="preserve"> accurately reconstruct trees based on gene content for a subset of the mycobacteriophage population (Fig.1). </w:t>
      </w:r>
    </w:p>
    <w:p w:rsidR="008E2D20" w:rsidRPr="008E2D20" w:rsidRDefault="00393EAA" w:rsidP="008E2D20">
      <w:pPr>
        <w:spacing w:after="0" w:line="240" w:lineRule="auto"/>
        <w:contextualSpacing w:val="0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W</w:t>
      </w:r>
      <w:r w:rsidR="008E2D20" w:rsidRPr="008E2D20">
        <w:rPr>
          <w:rFonts w:ascii="Arial" w:eastAsia="Times New Roman" w:hAnsi="Arial" w:cs="Arial"/>
          <w:color w:val="000000"/>
          <w:sz w:val="23"/>
          <w:szCs w:val="23"/>
        </w:rPr>
        <w:t xml:space="preserve">e also evaluated the possibility of assigning clusters to unknown phage based on </w:t>
      </w:r>
      <w:r w:rsidR="00BB4384">
        <w:rPr>
          <w:rFonts w:ascii="Arial" w:eastAsia="Times New Roman" w:hAnsi="Arial" w:cs="Arial"/>
          <w:color w:val="000000"/>
          <w:sz w:val="23"/>
          <w:szCs w:val="23"/>
        </w:rPr>
        <w:t>tetranucleotide usage deviation</w:t>
      </w:r>
      <w:r>
        <w:rPr>
          <w:rFonts w:ascii="Arial" w:eastAsia="Times New Roman" w:hAnsi="Arial" w:cs="Arial"/>
          <w:color w:val="000000"/>
          <w:sz w:val="23"/>
          <w:szCs w:val="23"/>
        </w:rPr>
        <w:t xml:space="preserve">. Under a simple nearest neighbor </w:t>
      </w:r>
      <w:r w:rsidR="008E2D20" w:rsidRPr="008E2D20">
        <w:rPr>
          <w:rFonts w:ascii="Arial" w:eastAsia="Times New Roman" w:hAnsi="Arial" w:cs="Arial"/>
          <w:color w:val="000000"/>
          <w:sz w:val="23"/>
          <w:szCs w:val="23"/>
        </w:rPr>
        <w:t>classifier, cluster assignments were recovered at a frequency greater than 98%.</w:t>
      </w:r>
    </w:p>
    <w:p w:rsidR="008E2D20" w:rsidRDefault="008E2D20" w:rsidP="008E2D20">
      <w:pPr>
        <w:spacing w:after="0" w:line="240" w:lineRule="auto"/>
        <w:contextualSpacing w:val="0"/>
        <w:jc w:val="left"/>
        <w:rPr>
          <w:rFonts w:ascii="Arial" w:eastAsia="Times New Roman" w:hAnsi="Arial" w:cs="Arial"/>
          <w:color w:val="000000"/>
          <w:sz w:val="23"/>
          <w:szCs w:val="23"/>
        </w:rPr>
      </w:pPr>
      <w:r w:rsidRPr="008E2D20">
        <w:rPr>
          <w:rFonts w:ascii="Arial" w:eastAsia="Times New Roman" w:hAnsi="Arial" w:cs="Arial"/>
          <w:color w:val="000000"/>
          <w:sz w:val="23"/>
          <w:szCs w:val="23"/>
        </w:rPr>
        <w:t>In addition, we looked for evidence of horizontal gene transfer by using tetra</w:t>
      </w:r>
      <w:r w:rsidR="00BB4384">
        <w:rPr>
          <w:rFonts w:ascii="Arial" w:eastAsia="Times New Roman" w:hAnsi="Arial" w:cs="Arial"/>
          <w:color w:val="000000"/>
          <w:sz w:val="23"/>
          <w:szCs w:val="23"/>
        </w:rPr>
        <w:t>nucleotide difference index</w:t>
      </w:r>
      <w:r w:rsidRPr="008E2D20">
        <w:rPr>
          <w:rFonts w:ascii="Arial" w:eastAsia="Times New Roman" w:hAnsi="Arial" w:cs="Arial"/>
          <w:color w:val="000000"/>
          <w:sz w:val="23"/>
          <w:szCs w:val="23"/>
        </w:rPr>
        <w:t>, a measure of the deviation in tetranucleotide usage from the genomic mean in a sliding window across the genome</w:t>
      </w:r>
      <w:r w:rsidR="00517561">
        <w:rPr>
          <w:rFonts w:ascii="Arial" w:eastAsia="Times New Roman" w:hAnsi="Arial" w:cs="Arial"/>
          <w:color w:val="000000"/>
          <w:sz w:val="23"/>
          <w:szCs w:val="23"/>
        </w:rPr>
        <w:t xml:space="preserve"> [</w:t>
      </w:r>
      <w:r w:rsidR="008E3462">
        <w:rPr>
          <w:rFonts w:ascii="Arial" w:eastAsia="Times New Roman" w:hAnsi="Arial" w:cs="Arial"/>
          <w:color w:val="000000"/>
          <w:sz w:val="23"/>
          <w:szCs w:val="23"/>
        </w:rPr>
        <w:t>3</w:t>
      </w:r>
      <w:r w:rsidR="00517561">
        <w:rPr>
          <w:rFonts w:ascii="Arial" w:eastAsia="Times New Roman" w:hAnsi="Arial" w:cs="Arial"/>
          <w:color w:val="000000"/>
          <w:sz w:val="23"/>
          <w:szCs w:val="23"/>
        </w:rPr>
        <w:t>]. T</w:t>
      </w:r>
      <w:r w:rsidR="00BB4384">
        <w:rPr>
          <w:rFonts w:ascii="Arial" w:eastAsia="Times New Roman" w:hAnsi="Arial" w:cs="Arial"/>
          <w:color w:val="000000"/>
          <w:sz w:val="23"/>
          <w:szCs w:val="23"/>
        </w:rPr>
        <w:t>etranucleotide difference index</w:t>
      </w:r>
      <w:r w:rsidRPr="008E2D20">
        <w:rPr>
          <w:rFonts w:ascii="Arial" w:eastAsia="Times New Roman" w:hAnsi="Arial" w:cs="Arial"/>
          <w:color w:val="000000"/>
          <w:sz w:val="23"/>
          <w:szCs w:val="23"/>
        </w:rPr>
        <w:t xml:space="preserve"> plots showed a strong spike at the end of cluster L mycobacteriophages, which could indicate horizon</w:t>
      </w:r>
      <w:r w:rsidR="00BB4384">
        <w:rPr>
          <w:rFonts w:ascii="Arial" w:eastAsia="Times New Roman" w:hAnsi="Arial" w:cs="Arial"/>
          <w:color w:val="000000"/>
          <w:sz w:val="23"/>
          <w:szCs w:val="23"/>
        </w:rPr>
        <w:t>tal gene transfer in the region.</w:t>
      </w:r>
    </w:p>
    <w:p w:rsidR="00BB4384" w:rsidRDefault="00BB4384" w:rsidP="008E2D20">
      <w:pPr>
        <w:spacing w:after="0" w:line="240" w:lineRule="auto"/>
        <w:contextualSpacing w:val="0"/>
        <w:jc w:val="left"/>
        <w:rPr>
          <w:rFonts w:ascii="Arial" w:eastAsia="Times New Roman" w:hAnsi="Arial" w:cs="Arial"/>
          <w:b/>
          <w:color w:val="000000"/>
          <w:sz w:val="23"/>
          <w:szCs w:val="23"/>
        </w:rPr>
      </w:pPr>
    </w:p>
    <w:p w:rsidR="00BB4384" w:rsidRPr="00BB4384" w:rsidRDefault="00BB4384" w:rsidP="008E2D20">
      <w:pPr>
        <w:spacing w:after="0" w:line="240" w:lineRule="auto"/>
        <w:contextualSpacing w:val="0"/>
        <w:jc w:val="left"/>
        <w:rPr>
          <w:rFonts w:ascii="Arial" w:eastAsia="Times New Roman" w:hAnsi="Arial" w:cs="Arial"/>
          <w:b/>
          <w:color w:val="000000"/>
          <w:sz w:val="23"/>
          <w:szCs w:val="23"/>
        </w:rPr>
      </w:pPr>
      <w:r>
        <w:rPr>
          <w:rFonts w:ascii="Arial" w:eastAsia="Times New Roman" w:hAnsi="Arial" w:cs="Arial"/>
          <w:b/>
          <w:color w:val="000000"/>
          <w:sz w:val="23"/>
          <w:szCs w:val="23"/>
        </w:rPr>
        <w:t>Conclusions</w:t>
      </w:r>
    </w:p>
    <w:p w:rsidR="00F01C99" w:rsidRDefault="008E2D20" w:rsidP="001A2FCB">
      <w:pPr>
        <w:spacing w:after="0" w:line="240" w:lineRule="auto"/>
        <w:contextualSpacing w:val="0"/>
        <w:jc w:val="left"/>
        <w:rPr>
          <w:rFonts w:ascii="Arial" w:eastAsia="Times New Roman" w:hAnsi="Arial" w:cs="Arial"/>
          <w:color w:val="000000"/>
          <w:sz w:val="23"/>
          <w:szCs w:val="23"/>
        </w:rPr>
      </w:pPr>
      <w:r w:rsidRPr="008E2D20">
        <w:rPr>
          <w:rFonts w:ascii="Arial" w:eastAsia="Times New Roman" w:hAnsi="Arial" w:cs="Arial"/>
          <w:color w:val="000000"/>
          <w:sz w:val="23"/>
          <w:szCs w:val="23"/>
        </w:rPr>
        <w:t>Genome analysis</w:t>
      </w:r>
      <w:r w:rsidR="00BB4384">
        <w:rPr>
          <w:rFonts w:ascii="Arial" w:eastAsia="Times New Roman" w:hAnsi="Arial" w:cs="Arial"/>
          <w:color w:val="000000"/>
          <w:sz w:val="23"/>
          <w:szCs w:val="23"/>
        </w:rPr>
        <w:t xml:space="preserve"> based on tetranucleotide usage</w:t>
      </w:r>
      <w:r w:rsidRPr="008E2D20">
        <w:rPr>
          <w:rFonts w:ascii="Arial" w:eastAsia="Times New Roman" w:hAnsi="Arial" w:cs="Arial"/>
          <w:color w:val="000000"/>
          <w:sz w:val="23"/>
          <w:szCs w:val="23"/>
        </w:rPr>
        <w:t xml:space="preserve"> shows promise for evaluating host-parasite coevolution and gene exchange within the mycobacteriophage population. These methods are computationally inexpensive and independent of gene annotation, making them optimal</w:t>
      </w:r>
      <w:r w:rsidR="007A0897">
        <w:rPr>
          <w:rFonts w:ascii="Arial" w:eastAsia="Times New Roman" w:hAnsi="Arial" w:cs="Arial"/>
          <w:color w:val="000000"/>
          <w:sz w:val="23"/>
          <w:szCs w:val="23"/>
        </w:rPr>
        <w:t xml:space="preserve"> candidates</w:t>
      </w:r>
      <w:r w:rsidRPr="008E2D20">
        <w:rPr>
          <w:rFonts w:ascii="Arial" w:eastAsia="Times New Roman" w:hAnsi="Arial" w:cs="Arial"/>
          <w:color w:val="000000"/>
          <w:sz w:val="23"/>
          <w:szCs w:val="23"/>
        </w:rPr>
        <w:t xml:space="preserve"> for further research aimed at clustering phage and determining evolutionary relationships.</w:t>
      </w:r>
      <w:r w:rsidR="00517561">
        <w:rPr>
          <w:rFonts w:ascii="Arial" w:eastAsia="Times New Roman" w:hAnsi="Arial" w:cs="Arial"/>
          <w:color w:val="000000"/>
          <w:sz w:val="23"/>
          <w:szCs w:val="23"/>
        </w:rPr>
        <w:t xml:space="preserve"> Code for genome analysis and data used in this project are freely available at [http</w:t>
      </w:r>
      <w:r w:rsidR="00E315E1">
        <w:rPr>
          <w:rFonts w:ascii="Arial" w:eastAsia="Times New Roman" w:hAnsi="Arial" w:cs="Arial"/>
          <w:color w:val="000000"/>
          <w:sz w:val="23"/>
          <w:szCs w:val="23"/>
        </w:rPr>
        <w:t>s</w:t>
      </w:r>
      <w:r w:rsidR="00517561">
        <w:rPr>
          <w:rFonts w:ascii="Arial" w:eastAsia="Times New Roman" w:hAnsi="Arial" w:cs="Arial"/>
          <w:color w:val="000000"/>
          <w:sz w:val="23"/>
          <w:szCs w:val="23"/>
        </w:rPr>
        <w:t>://github.com/bsiranosian/tango</w:t>
      </w:r>
      <w:r w:rsidR="00E315E1">
        <w:rPr>
          <w:rFonts w:ascii="Arial" w:eastAsia="Times New Roman" w:hAnsi="Arial" w:cs="Arial"/>
          <w:color w:val="000000"/>
          <w:sz w:val="23"/>
          <w:szCs w:val="23"/>
        </w:rPr>
        <w:t>_final</w:t>
      </w:r>
      <w:r w:rsidR="00517561">
        <w:rPr>
          <w:rFonts w:ascii="Arial" w:eastAsia="Times New Roman" w:hAnsi="Arial" w:cs="Arial"/>
          <w:color w:val="000000"/>
          <w:sz w:val="23"/>
          <w:szCs w:val="23"/>
        </w:rPr>
        <w:t>].</w:t>
      </w:r>
    </w:p>
    <w:p w:rsidR="00F01C99" w:rsidRDefault="00F01C99" w:rsidP="001A2FCB">
      <w:pPr>
        <w:spacing w:after="0" w:line="240" w:lineRule="auto"/>
        <w:contextualSpacing w:val="0"/>
        <w:jc w:val="left"/>
        <w:rPr>
          <w:rFonts w:ascii="Arial" w:eastAsia="Times New Roman" w:hAnsi="Arial" w:cs="Arial"/>
          <w:color w:val="000000"/>
          <w:sz w:val="23"/>
          <w:szCs w:val="23"/>
        </w:rPr>
      </w:pPr>
    </w:p>
    <w:p w:rsidR="00F01C99" w:rsidRDefault="00F01C99" w:rsidP="001A2FCB">
      <w:pPr>
        <w:spacing w:after="0" w:line="240" w:lineRule="auto"/>
        <w:contextualSpacing w:val="0"/>
        <w:jc w:val="left"/>
        <w:rPr>
          <w:rFonts w:ascii="Arial" w:eastAsia="Times New Roman" w:hAnsi="Arial" w:cs="Arial"/>
          <w:b/>
          <w:color w:val="000000"/>
          <w:sz w:val="23"/>
          <w:szCs w:val="23"/>
        </w:rPr>
      </w:pPr>
      <w:r w:rsidRPr="00F01C99">
        <w:rPr>
          <w:rFonts w:ascii="Arial" w:eastAsia="Times New Roman" w:hAnsi="Arial" w:cs="Arial"/>
          <w:b/>
          <w:color w:val="000000"/>
          <w:sz w:val="23"/>
          <w:szCs w:val="23"/>
        </w:rPr>
        <w:t xml:space="preserve">References </w:t>
      </w:r>
    </w:p>
    <w:p w:rsidR="00F01C99" w:rsidRDefault="00F01C99" w:rsidP="00F01C99">
      <w:pPr>
        <w:spacing w:after="0" w:line="240" w:lineRule="auto"/>
        <w:contextualSpacing w:val="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F01C99">
        <w:rPr>
          <w:rFonts w:ascii="Times New Roman" w:eastAsia="Times New Roman" w:hAnsi="Times New Roman" w:cs="Times New Roman"/>
          <w:sz w:val="24"/>
          <w:szCs w:val="24"/>
        </w:rPr>
        <w:t xml:space="preserve">1. </w:t>
      </w:r>
      <w:proofErr w:type="spellStart"/>
      <w:r w:rsidRPr="00F01C99">
        <w:rPr>
          <w:rFonts w:ascii="Times New Roman" w:eastAsia="Times New Roman" w:hAnsi="Times New Roman" w:cs="Times New Roman"/>
          <w:sz w:val="24"/>
          <w:szCs w:val="24"/>
        </w:rPr>
        <w:t>Hatfull</w:t>
      </w:r>
      <w:proofErr w:type="spellEnd"/>
      <w:r w:rsidRPr="00F01C99">
        <w:rPr>
          <w:rFonts w:ascii="Times New Roman" w:eastAsia="Times New Roman" w:hAnsi="Times New Roman" w:cs="Times New Roman"/>
          <w:sz w:val="24"/>
          <w:szCs w:val="24"/>
        </w:rPr>
        <w:t xml:space="preserve"> GF: </w:t>
      </w:r>
      <w:r w:rsidRPr="00F01C99">
        <w:rPr>
          <w:rFonts w:ascii="Times New Roman" w:eastAsia="Times New Roman" w:hAnsi="Times New Roman" w:cs="Times New Roman"/>
          <w:b/>
          <w:bCs/>
          <w:sz w:val="24"/>
          <w:szCs w:val="24"/>
        </w:rPr>
        <w:t>Mycobacteriophages: Windows into Tuberculosis</w:t>
      </w:r>
      <w:r w:rsidRPr="00F01C99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F01C99">
        <w:rPr>
          <w:rFonts w:ascii="Times New Roman" w:eastAsia="Times New Roman" w:hAnsi="Times New Roman" w:cs="Times New Roman"/>
          <w:i/>
          <w:iCs/>
          <w:sz w:val="24"/>
          <w:szCs w:val="24"/>
        </w:rPr>
        <w:t>PLoS</w:t>
      </w:r>
      <w:proofErr w:type="spellEnd"/>
      <w:r w:rsidRPr="00F01C99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01C99">
        <w:rPr>
          <w:rFonts w:ascii="Times New Roman" w:eastAsia="Times New Roman" w:hAnsi="Times New Roman" w:cs="Times New Roman"/>
          <w:i/>
          <w:iCs/>
          <w:sz w:val="24"/>
          <w:szCs w:val="24"/>
        </w:rPr>
        <w:t>Pathog</w:t>
      </w:r>
      <w:proofErr w:type="spellEnd"/>
      <w:r w:rsidRPr="00F01C99">
        <w:rPr>
          <w:rFonts w:ascii="Times New Roman" w:eastAsia="Times New Roman" w:hAnsi="Times New Roman" w:cs="Times New Roman"/>
          <w:sz w:val="24"/>
          <w:szCs w:val="24"/>
        </w:rPr>
        <w:t xml:space="preserve"> 2014, </w:t>
      </w:r>
      <w:r w:rsidRPr="00F01C99">
        <w:rPr>
          <w:rFonts w:ascii="Times New Roman" w:eastAsia="Times New Roman" w:hAnsi="Times New Roman" w:cs="Times New Roman"/>
          <w:b/>
          <w:bCs/>
          <w:sz w:val="24"/>
          <w:szCs w:val="24"/>
        </w:rPr>
        <w:t>10</w:t>
      </w:r>
      <w:r w:rsidRPr="00F01C99">
        <w:rPr>
          <w:rFonts w:ascii="Times New Roman" w:eastAsia="Times New Roman" w:hAnsi="Times New Roman" w:cs="Times New Roman"/>
          <w:sz w:val="24"/>
          <w:szCs w:val="24"/>
        </w:rPr>
        <w:t>:e1003953.</w:t>
      </w:r>
    </w:p>
    <w:p w:rsidR="008E3462" w:rsidRPr="008E3462" w:rsidRDefault="008E3462" w:rsidP="008E3462">
      <w:pPr>
        <w:spacing w:after="0" w:line="240" w:lineRule="auto"/>
        <w:contextualSpacing w:val="0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</w:t>
      </w:r>
      <w:r w:rsidRPr="008E346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8E3462">
        <w:rPr>
          <w:rFonts w:ascii="Times New Roman" w:eastAsia="Times New Roman" w:hAnsi="Times New Roman" w:cs="Times New Roman"/>
          <w:sz w:val="24"/>
          <w:szCs w:val="24"/>
        </w:rPr>
        <w:t>Vinga</w:t>
      </w:r>
      <w:proofErr w:type="spellEnd"/>
      <w:r w:rsidRPr="008E3462">
        <w:rPr>
          <w:rFonts w:ascii="Times New Roman" w:eastAsia="Times New Roman" w:hAnsi="Times New Roman" w:cs="Times New Roman"/>
          <w:sz w:val="24"/>
          <w:szCs w:val="24"/>
        </w:rPr>
        <w:t xml:space="preserve"> S, Almeida J: </w:t>
      </w:r>
      <w:r w:rsidRPr="008E3462">
        <w:rPr>
          <w:rFonts w:ascii="Times New Roman" w:eastAsia="Times New Roman" w:hAnsi="Times New Roman" w:cs="Times New Roman"/>
          <w:b/>
          <w:bCs/>
          <w:sz w:val="24"/>
          <w:szCs w:val="24"/>
        </w:rPr>
        <w:t>Alignment-free sequence comparison—a review</w:t>
      </w:r>
      <w:r w:rsidRPr="008E346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8E3462">
        <w:rPr>
          <w:rFonts w:ascii="Times New Roman" w:eastAsia="Times New Roman" w:hAnsi="Times New Roman" w:cs="Times New Roman"/>
          <w:i/>
          <w:iCs/>
          <w:sz w:val="24"/>
          <w:szCs w:val="24"/>
        </w:rPr>
        <w:t>Bioinformatics</w:t>
      </w:r>
      <w:r w:rsidRPr="008E3462">
        <w:rPr>
          <w:rFonts w:ascii="Times New Roman" w:eastAsia="Times New Roman" w:hAnsi="Times New Roman" w:cs="Times New Roman"/>
          <w:sz w:val="24"/>
          <w:szCs w:val="24"/>
        </w:rPr>
        <w:t xml:space="preserve"> 2003, </w:t>
      </w:r>
      <w:r w:rsidRPr="008E3462">
        <w:rPr>
          <w:rFonts w:ascii="Times New Roman" w:eastAsia="Times New Roman" w:hAnsi="Times New Roman" w:cs="Times New Roman"/>
          <w:b/>
          <w:bCs/>
          <w:sz w:val="24"/>
          <w:szCs w:val="24"/>
        </w:rPr>
        <w:t>19</w:t>
      </w:r>
      <w:r w:rsidRPr="008E3462">
        <w:rPr>
          <w:rFonts w:ascii="Times New Roman" w:eastAsia="Times New Roman" w:hAnsi="Times New Roman" w:cs="Times New Roman"/>
          <w:sz w:val="24"/>
          <w:szCs w:val="24"/>
        </w:rPr>
        <w:t>:513–523.</w:t>
      </w:r>
    </w:p>
    <w:p w:rsidR="008E3462" w:rsidRPr="00F01C99" w:rsidRDefault="008E3462" w:rsidP="00F01C99">
      <w:pPr>
        <w:spacing w:after="0" w:line="240" w:lineRule="auto"/>
        <w:contextualSpacing w:val="0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:rsidR="00AA0856" w:rsidRDefault="008E3462" w:rsidP="00AA0856">
      <w:pPr>
        <w:spacing w:after="0" w:line="240" w:lineRule="auto"/>
        <w:contextualSpacing w:val="0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3</w:t>
      </w:r>
      <w:r w:rsidR="00AA0856" w:rsidRPr="00AA0856">
        <w:rPr>
          <w:rFonts w:ascii="Times New Roman" w:eastAsia="Times New Roman" w:hAnsi="Times New Roman" w:cs="Times New Roman"/>
          <w:sz w:val="24"/>
          <w:szCs w:val="24"/>
        </w:rPr>
        <w:t xml:space="preserve">. Pride DT, </w:t>
      </w:r>
      <w:proofErr w:type="spellStart"/>
      <w:r w:rsidR="00AA0856" w:rsidRPr="00AA0856">
        <w:rPr>
          <w:rFonts w:ascii="Times New Roman" w:eastAsia="Times New Roman" w:hAnsi="Times New Roman" w:cs="Times New Roman"/>
          <w:sz w:val="24"/>
          <w:szCs w:val="24"/>
        </w:rPr>
        <w:t>Wassenaar</w:t>
      </w:r>
      <w:proofErr w:type="spellEnd"/>
      <w:r w:rsidR="00AA0856" w:rsidRPr="00AA0856">
        <w:rPr>
          <w:rFonts w:ascii="Times New Roman" w:eastAsia="Times New Roman" w:hAnsi="Times New Roman" w:cs="Times New Roman"/>
          <w:sz w:val="24"/>
          <w:szCs w:val="24"/>
        </w:rPr>
        <w:t xml:space="preserve"> TM, </w:t>
      </w:r>
      <w:proofErr w:type="spellStart"/>
      <w:r w:rsidR="00AA0856" w:rsidRPr="00AA0856">
        <w:rPr>
          <w:rFonts w:ascii="Times New Roman" w:eastAsia="Times New Roman" w:hAnsi="Times New Roman" w:cs="Times New Roman"/>
          <w:sz w:val="24"/>
          <w:szCs w:val="24"/>
        </w:rPr>
        <w:t>Ghose</w:t>
      </w:r>
      <w:proofErr w:type="spellEnd"/>
      <w:r w:rsidR="00AA0856" w:rsidRPr="00AA0856">
        <w:rPr>
          <w:rFonts w:ascii="Times New Roman" w:eastAsia="Times New Roman" w:hAnsi="Times New Roman" w:cs="Times New Roman"/>
          <w:sz w:val="24"/>
          <w:szCs w:val="24"/>
        </w:rPr>
        <w:t xml:space="preserve"> C, </w:t>
      </w:r>
      <w:proofErr w:type="spellStart"/>
      <w:r w:rsidR="00AA0856" w:rsidRPr="00AA0856">
        <w:rPr>
          <w:rFonts w:ascii="Times New Roman" w:eastAsia="Times New Roman" w:hAnsi="Times New Roman" w:cs="Times New Roman"/>
          <w:sz w:val="24"/>
          <w:szCs w:val="24"/>
        </w:rPr>
        <w:t>Blaser</w:t>
      </w:r>
      <w:proofErr w:type="spellEnd"/>
      <w:r w:rsidR="00AA0856" w:rsidRPr="00AA0856">
        <w:rPr>
          <w:rFonts w:ascii="Times New Roman" w:eastAsia="Times New Roman" w:hAnsi="Times New Roman" w:cs="Times New Roman"/>
          <w:sz w:val="24"/>
          <w:szCs w:val="24"/>
        </w:rPr>
        <w:t xml:space="preserve"> MJ: </w:t>
      </w:r>
      <w:r w:rsidR="00AA0856" w:rsidRPr="00AA0856">
        <w:rPr>
          <w:rFonts w:ascii="Times New Roman" w:eastAsia="Times New Roman" w:hAnsi="Times New Roman" w:cs="Times New Roman"/>
          <w:b/>
          <w:bCs/>
          <w:sz w:val="24"/>
          <w:szCs w:val="24"/>
        </w:rPr>
        <w:t>Evidence of host-virus co-evolution in tetranucleotide usage patterns of bacteriophages and eukaryotic viruses</w:t>
      </w:r>
      <w:r w:rsidR="00AA0856" w:rsidRPr="00AA085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AA0856" w:rsidRPr="00AA0856">
        <w:rPr>
          <w:rFonts w:ascii="Times New Roman" w:eastAsia="Times New Roman" w:hAnsi="Times New Roman" w:cs="Times New Roman"/>
          <w:i/>
          <w:iCs/>
          <w:sz w:val="24"/>
          <w:szCs w:val="24"/>
        </w:rPr>
        <w:t>BMC Genomics</w:t>
      </w:r>
      <w:r w:rsidR="00AA0856" w:rsidRPr="00AA0856">
        <w:rPr>
          <w:rFonts w:ascii="Times New Roman" w:eastAsia="Times New Roman" w:hAnsi="Times New Roman" w:cs="Times New Roman"/>
          <w:sz w:val="24"/>
          <w:szCs w:val="24"/>
        </w:rPr>
        <w:t xml:space="preserve"> 2006, </w:t>
      </w:r>
      <w:r w:rsidR="00AA0856" w:rsidRPr="00AA0856">
        <w:rPr>
          <w:rFonts w:ascii="Times New Roman" w:eastAsia="Times New Roman" w:hAnsi="Times New Roman" w:cs="Times New Roman"/>
          <w:b/>
          <w:bCs/>
          <w:sz w:val="24"/>
          <w:szCs w:val="24"/>
        </w:rPr>
        <w:t>7</w:t>
      </w:r>
      <w:r w:rsidR="00AA0856" w:rsidRPr="00AA0856">
        <w:rPr>
          <w:rFonts w:ascii="Times New Roman" w:eastAsia="Times New Roman" w:hAnsi="Times New Roman" w:cs="Times New Roman"/>
          <w:sz w:val="24"/>
          <w:szCs w:val="24"/>
        </w:rPr>
        <w:t>:8.</w:t>
      </w:r>
    </w:p>
    <w:p w:rsidR="00517561" w:rsidRPr="00517561" w:rsidRDefault="008E3462" w:rsidP="00517561">
      <w:pPr>
        <w:spacing w:after="0" w:line="240" w:lineRule="auto"/>
        <w:contextualSpacing w:val="0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</w:t>
      </w:r>
      <w:r w:rsidR="00517561" w:rsidRPr="0051756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517561" w:rsidRPr="00517561">
        <w:rPr>
          <w:rFonts w:ascii="Times New Roman" w:eastAsia="Times New Roman" w:hAnsi="Times New Roman" w:cs="Times New Roman"/>
          <w:sz w:val="24"/>
          <w:szCs w:val="24"/>
        </w:rPr>
        <w:t>Hatfull</w:t>
      </w:r>
      <w:proofErr w:type="spellEnd"/>
      <w:r w:rsidR="00517561" w:rsidRPr="00517561">
        <w:rPr>
          <w:rFonts w:ascii="Times New Roman" w:eastAsia="Times New Roman" w:hAnsi="Times New Roman" w:cs="Times New Roman"/>
          <w:sz w:val="24"/>
          <w:szCs w:val="24"/>
        </w:rPr>
        <w:t xml:space="preserve"> GF, Jacobs-Sera D, Lawrence JG, Pope WH, Russell DA, </w:t>
      </w:r>
      <w:proofErr w:type="spellStart"/>
      <w:r w:rsidR="00517561" w:rsidRPr="00517561">
        <w:rPr>
          <w:rFonts w:ascii="Times New Roman" w:eastAsia="Times New Roman" w:hAnsi="Times New Roman" w:cs="Times New Roman"/>
          <w:sz w:val="24"/>
          <w:szCs w:val="24"/>
        </w:rPr>
        <w:t>Ko</w:t>
      </w:r>
      <w:proofErr w:type="spellEnd"/>
      <w:r w:rsidR="00517561" w:rsidRPr="00517561">
        <w:rPr>
          <w:rFonts w:ascii="Times New Roman" w:eastAsia="Times New Roman" w:hAnsi="Times New Roman" w:cs="Times New Roman"/>
          <w:sz w:val="24"/>
          <w:szCs w:val="24"/>
        </w:rPr>
        <w:t xml:space="preserve"> C-C, Weber RJ, Patel MC, Germane KL, Edgar RH, </w:t>
      </w:r>
      <w:proofErr w:type="spellStart"/>
      <w:r w:rsidR="00517561" w:rsidRPr="00517561">
        <w:rPr>
          <w:rFonts w:ascii="Times New Roman" w:eastAsia="Times New Roman" w:hAnsi="Times New Roman" w:cs="Times New Roman"/>
          <w:sz w:val="24"/>
          <w:szCs w:val="24"/>
        </w:rPr>
        <w:t>Hoyte</w:t>
      </w:r>
      <w:proofErr w:type="spellEnd"/>
      <w:r w:rsidR="00517561" w:rsidRPr="00517561">
        <w:rPr>
          <w:rFonts w:ascii="Times New Roman" w:eastAsia="Times New Roman" w:hAnsi="Times New Roman" w:cs="Times New Roman"/>
          <w:sz w:val="24"/>
          <w:szCs w:val="24"/>
        </w:rPr>
        <w:t xml:space="preserve"> NN, Bowman CA, </w:t>
      </w:r>
      <w:proofErr w:type="spellStart"/>
      <w:r w:rsidR="00517561" w:rsidRPr="00517561">
        <w:rPr>
          <w:rFonts w:ascii="Times New Roman" w:eastAsia="Times New Roman" w:hAnsi="Times New Roman" w:cs="Times New Roman"/>
          <w:sz w:val="24"/>
          <w:szCs w:val="24"/>
        </w:rPr>
        <w:t>Tantoco</w:t>
      </w:r>
      <w:proofErr w:type="spellEnd"/>
      <w:r w:rsidR="00517561" w:rsidRPr="00517561">
        <w:rPr>
          <w:rFonts w:ascii="Times New Roman" w:eastAsia="Times New Roman" w:hAnsi="Times New Roman" w:cs="Times New Roman"/>
          <w:sz w:val="24"/>
          <w:szCs w:val="24"/>
        </w:rPr>
        <w:t xml:space="preserve"> AT, Paladin EC, Myers MS, Smith AL, Grace MS, Pham TT, O’Brien MB, </w:t>
      </w:r>
      <w:proofErr w:type="spellStart"/>
      <w:r w:rsidR="00517561" w:rsidRPr="00517561">
        <w:rPr>
          <w:rFonts w:ascii="Times New Roman" w:eastAsia="Times New Roman" w:hAnsi="Times New Roman" w:cs="Times New Roman"/>
          <w:sz w:val="24"/>
          <w:szCs w:val="24"/>
        </w:rPr>
        <w:t>Vogelsberger</w:t>
      </w:r>
      <w:proofErr w:type="spellEnd"/>
      <w:r w:rsidR="00517561" w:rsidRPr="00517561">
        <w:rPr>
          <w:rFonts w:ascii="Times New Roman" w:eastAsia="Times New Roman" w:hAnsi="Times New Roman" w:cs="Times New Roman"/>
          <w:sz w:val="24"/>
          <w:szCs w:val="24"/>
        </w:rPr>
        <w:t xml:space="preserve"> AM, </w:t>
      </w:r>
      <w:proofErr w:type="spellStart"/>
      <w:r w:rsidR="00517561" w:rsidRPr="00517561">
        <w:rPr>
          <w:rFonts w:ascii="Times New Roman" w:eastAsia="Times New Roman" w:hAnsi="Times New Roman" w:cs="Times New Roman"/>
          <w:sz w:val="24"/>
          <w:szCs w:val="24"/>
        </w:rPr>
        <w:t>Hryckowian</w:t>
      </w:r>
      <w:proofErr w:type="spellEnd"/>
      <w:r w:rsidR="00517561" w:rsidRPr="00517561">
        <w:rPr>
          <w:rFonts w:ascii="Times New Roman" w:eastAsia="Times New Roman" w:hAnsi="Times New Roman" w:cs="Times New Roman"/>
          <w:sz w:val="24"/>
          <w:szCs w:val="24"/>
        </w:rPr>
        <w:t xml:space="preserve"> AJ, </w:t>
      </w:r>
      <w:proofErr w:type="spellStart"/>
      <w:r w:rsidR="00517561" w:rsidRPr="00517561">
        <w:rPr>
          <w:rFonts w:ascii="Times New Roman" w:eastAsia="Times New Roman" w:hAnsi="Times New Roman" w:cs="Times New Roman"/>
          <w:sz w:val="24"/>
          <w:szCs w:val="24"/>
        </w:rPr>
        <w:t>Wynalek</w:t>
      </w:r>
      <w:proofErr w:type="spellEnd"/>
      <w:r w:rsidR="00517561" w:rsidRPr="00517561">
        <w:rPr>
          <w:rFonts w:ascii="Times New Roman" w:eastAsia="Times New Roman" w:hAnsi="Times New Roman" w:cs="Times New Roman"/>
          <w:sz w:val="24"/>
          <w:szCs w:val="24"/>
        </w:rPr>
        <w:t xml:space="preserve"> JL, </w:t>
      </w:r>
      <w:proofErr w:type="spellStart"/>
      <w:r w:rsidR="00517561" w:rsidRPr="00517561">
        <w:rPr>
          <w:rFonts w:ascii="Times New Roman" w:eastAsia="Times New Roman" w:hAnsi="Times New Roman" w:cs="Times New Roman"/>
          <w:sz w:val="24"/>
          <w:szCs w:val="24"/>
        </w:rPr>
        <w:t>Donis</w:t>
      </w:r>
      <w:proofErr w:type="spellEnd"/>
      <w:r w:rsidR="00517561" w:rsidRPr="00517561">
        <w:rPr>
          <w:rFonts w:ascii="Times New Roman" w:eastAsia="Times New Roman" w:hAnsi="Times New Roman" w:cs="Times New Roman"/>
          <w:sz w:val="24"/>
          <w:szCs w:val="24"/>
        </w:rPr>
        <w:t xml:space="preserve">-Keller H, </w:t>
      </w:r>
      <w:proofErr w:type="spellStart"/>
      <w:r w:rsidR="00517561" w:rsidRPr="00517561">
        <w:rPr>
          <w:rFonts w:ascii="Times New Roman" w:eastAsia="Times New Roman" w:hAnsi="Times New Roman" w:cs="Times New Roman"/>
          <w:sz w:val="24"/>
          <w:szCs w:val="24"/>
        </w:rPr>
        <w:t>Bogel</w:t>
      </w:r>
      <w:proofErr w:type="spellEnd"/>
      <w:r w:rsidR="00517561" w:rsidRPr="00517561">
        <w:rPr>
          <w:rFonts w:ascii="Times New Roman" w:eastAsia="Times New Roman" w:hAnsi="Times New Roman" w:cs="Times New Roman"/>
          <w:sz w:val="24"/>
          <w:szCs w:val="24"/>
        </w:rPr>
        <w:t xml:space="preserve"> MW, Peebles CL, </w:t>
      </w:r>
      <w:proofErr w:type="spellStart"/>
      <w:r w:rsidR="00517561" w:rsidRPr="00517561">
        <w:rPr>
          <w:rFonts w:ascii="Times New Roman" w:eastAsia="Times New Roman" w:hAnsi="Times New Roman" w:cs="Times New Roman"/>
          <w:sz w:val="24"/>
          <w:szCs w:val="24"/>
        </w:rPr>
        <w:t>Cresawn</w:t>
      </w:r>
      <w:proofErr w:type="spellEnd"/>
      <w:r w:rsidR="00517561" w:rsidRPr="00517561">
        <w:rPr>
          <w:rFonts w:ascii="Times New Roman" w:eastAsia="Times New Roman" w:hAnsi="Times New Roman" w:cs="Times New Roman"/>
          <w:sz w:val="24"/>
          <w:szCs w:val="24"/>
        </w:rPr>
        <w:t xml:space="preserve"> SG, Hendrix RW: </w:t>
      </w:r>
      <w:r w:rsidR="00517561" w:rsidRPr="00517561">
        <w:rPr>
          <w:rFonts w:ascii="Times New Roman" w:eastAsia="Times New Roman" w:hAnsi="Times New Roman" w:cs="Times New Roman"/>
          <w:b/>
          <w:bCs/>
          <w:sz w:val="24"/>
          <w:szCs w:val="24"/>
        </w:rPr>
        <w:t>Comparative Genomic Anal</w:t>
      </w:r>
      <w:bookmarkStart w:id="0" w:name="_GoBack"/>
      <w:bookmarkEnd w:id="0"/>
      <w:r w:rsidR="00517561" w:rsidRPr="00517561">
        <w:rPr>
          <w:rFonts w:ascii="Times New Roman" w:eastAsia="Times New Roman" w:hAnsi="Times New Roman" w:cs="Times New Roman"/>
          <w:b/>
          <w:bCs/>
          <w:sz w:val="24"/>
          <w:szCs w:val="24"/>
        </w:rPr>
        <w:t>ysis of 60 Mycobacteriophage Genomes: Genome Clustering, Gene Acquisition, and Gene Size</w:t>
      </w:r>
      <w:r w:rsidR="00517561" w:rsidRPr="0051756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517561" w:rsidRPr="00517561">
        <w:rPr>
          <w:rFonts w:ascii="Times New Roman" w:eastAsia="Times New Roman" w:hAnsi="Times New Roman" w:cs="Times New Roman"/>
          <w:i/>
          <w:iCs/>
          <w:sz w:val="24"/>
          <w:szCs w:val="24"/>
        </w:rPr>
        <w:t>Journal of Molecular Biology</w:t>
      </w:r>
      <w:r w:rsidR="00517561" w:rsidRPr="00517561">
        <w:rPr>
          <w:rFonts w:ascii="Times New Roman" w:eastAsia="Times New Roman" w:hAnsi="Times New Roman" w:cs="Times New Roman"/>
          <w:sz w:val="24"/>
          <w:szCs w:val="24"/>
        </w:rPr>
        <w:t xml:space="preserve"> 2010, </w:t>
      </w:r>
      <w:r w:rsidR="00517561" w:rsidRPr="00517561">
        <w:rPr>
          <w:rFonts w:ascii="Times New Roman" w:eastAsia="Times New Roman" w:hAnsi="Times New Roman" w:cs="Times New Roman"/>
          <w:b/>
          <w:bCs/>
          <w:sz w:val="24"/>
          <w:szCs w:val="24"/>
        </w:rPr>
        <w:t>397</w:t>
      </w:r>
      <w:r w:rsidR="00517561" w:rsidRPr="00517561">
        <w:rPr>
          <w:rFonts w:ascii="Times New Roman" w:eastAsia="Times New Roman" w:hAnsi="Times New Roman" w:cs="Times New Roman"/>
          <w:sz w:val="24"/>
          <w:szCs w:val="24"/>
        </w:rPr>
        <w:t>:119–143.</w:t>
      </w:r>
    </w:p>
    <w:p w:rsidR="00517561" w:rsidRPr="00AA0856" w:rsidRDefault="00517561" w:rsidP="00AA0856">
      <w:pPr>
        <w:spacing w:after="0" w:line="240" w:lineRule="auto"/>
        <w:contextualSpacing w:val="0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:rsidR="00F01C99" w:rsidRDefault="00F01C99" w:rsidP="001A2FCB">
      <w:pPr>
        <w:spacing w:after="0" w:line="240" w:lineRule="auto"/>
        <w:contextualSpacing w:val="0"/>
        <w:jc w:val="left"/>
        <w:rPr>
          <w:rFonts w:ascii="Arial" w:eastAsia="Times New Roman" w:hAnsi="Arial" w:cs="Arial"/>
          <w:b/>
          <w:color w:val="000000"/>
          <w:sz w:val="23"/>
          <w:szCs w:val="23"/>
        </w:rPr>
      </w:pPr>
    </w:p>
    <w:p w:rsidR="00E315E1" w:rsidRPr="008B6811" w:rsidRDefault="00E315E1" w:rsidP="008B6811">
      <w:pPr>
        <w:spacing w:after="0" w:line="240" w:lineRule="auto"/>
        <w:contextualSpacing w:val="0"/>
        <w:jc w:val="left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eastAsia="Times New Roman" w:hAnsi="Arial" w:cs="Arial"/>
          <w:b/>
          <w:color w:val="000000"/>
          <w:sz w:val="23"/>
          <w:szCs w:val="23"/>
        </w:rPr>
        <w:t xml:space="preserve">Figure 1 </w:t>
      </w:r>
      <w:r w:rsidRPr="00E315E1">
        <w:rPr>
          <w:rFonts w:ascii="Arial" w:eastAsia="Times New Roman" w:hAnsi="Arial" w:cs="Arial"/>
          <w:b/>
          <w:color w:val="000000"/>
          <w:sz w:val="23"/>
          <w:szCs w:val="23"/>
        </w:rPr>
        <w:t>A)</w:t>
      </w:r>
      <w:r>
        <w:rPr>
          <w:rFonts w:ascii="Arial" w:eastAsia="Times New Roman" w:hAnsi="Arial" w:cs="Arial"/>
          <w:color w:val="000000"/>
          <w:sz w:val="23"/>
          <w:szCs w:val="23"/>
        </w:rPr>
        <w:t xml:space="preserve"> Neighbor joining tree constructed from tetranucleotide usage deviation distances and </w:t>
      </w:r>
      <w:r>
        <w:rPr>
          <w:rFonts w:ascii="Arial" w:eastAsia="Times New Roman" w:hAnsi="Arial" w:cs="Arial"/>
          <w:b/>
          <w:color w:val="000000"/>
          <w:sz w:val="23"/>
          <w:szCs w:val="23"/>
        </w:rPr>
        <w:t>B)</w:t>
      </w:r>
      <w:r w:rsidR="008E3462">
        <w:rPr>
          <w:rFonts w:ascii="Arial" w:eastAsia="Times New Roman" w:hAnsi="Arial" w:cs="Arial"/>
          <w:color w:val="000000"/>
          <w:sz w:val="23"/>
          <w:szCs w:val="23"/>
        </w:rPr>
        <w:t xml:space="preserve"> tree from [4</w:t>
      </w:r>
      <w:r>
        <w:rPr>
          <w:rFonts w:ascii="Arial" w:eastAsia="Times New Roman" w:hAnsi="Arial" w:cs="Arial"/>
          <w:color w:val="000000"/>
          <w:sz w:val="23"/>
          <w:szCs w:val="23"/>
        </w:rPr>
        <w:t xml:space="preserve">] constructed from predicted protein products in a subset of sequenced mycobacteriophages. </w:t>
      </w:r>
      <w:r w:rsidR="008B6811">
        <w:rPr>
          <w:rFonts w:ascii="Arial" w:eastAsia="Times New Roman" w:hAnsi="Arial" w:cs="Arial"/>
          <w:color w:val="000000"/>
          <w:sz w:val="23"/>
          <w:szCs w:val="23"/>
        </w:rPr>
        <w:t>Our method accurately places phage in a monophyletic clade with members of the same subcluster and often reconstructs relationships between subclusters. In some cases, a subcluster is not placed with other members of the cluster because of significant and conserved differences in tetranucleotide usage, such as overrepresentation of</w:t>
      </w:r>
      <w:r w:rsidR="008E3462">
        <w:rPr>
          <w:rFonts w:ascii="Arial" w:eastAsia="Times New Roman" w:hAnsi="Arial" w:cs="Arial"/>
          <w:color w:val="000000"/>
          <w:sz w:val="23"/>
          <w:szCs w:val="23"/>
        </w:rPr>
        <w:t xml:space="preserve"> the 4-mer</w:t>
      </w:r>
      <w:r w:rsidR="008B6811">
        <w:rPr>
          <w:rFonts w:ascii="Arial" w:eastAsia="Times New Roman" w:hAnsi="Arial" w:cs="Arial"/>
          <w:color w:val="000000"/>
          <w:sz w:val="23"/>
          <w:szCs w:val="23"/>
        </w:rPr>
        <w:t xml:space="preserve"> ‘GATC’ in cluster B3 genomes. </w:t>
      </w:r>
    </w:p>
    <w:sectPr w:rsidR="00E315E1" w:rsidRPr="008B68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73E"/>
    <w:rsid w:val="00081969"/>
    <w:rsid w:val="00087625"/>
    <w:rsid w:val="000E47E3"/>
    <w:rsid w:val="001A1B2B"/>
    <w:rsid w:val="001A2FCB"/>
    <w:rsid w:val="001B671C"/>
    <w:rsid w:val="001E0DCB"/>
    <w:rsid w:val="001E3697"/>
    <w:rsid w:val="00391E78"/>
    <w:rsid w:val="00393EAA"/>
    <w:rsid w:val="00464599"/>
    <w:rsid w:val="004A1A52"/>
    <w:rsid w:val="004B2408"/>
    <w:rsid w:val="004F0841"/>
    <w:rsid w:val="00512C7B"/>
    <w:rsid w:val="00517561"/>
    <w:rsid w:val="00550EF0"/>
    <w:rsid w:val="005E05D7"/>
    <w:rsid w:val="006237A9"/>
    <w:rsid w:val="006313A6"/>
    <w:rsid w:val="006965E0"/>
    <w:rsid w:val="006E773E"/>
    <w:rsid w:val="00710E24"/>
    <w:rsid w:val="00722C2D"/>
    <w:rsid w:val="007508F0"/>
    <w:rsid w:val="00751ADA"/>
    <w:rsid w:val="0077353A"/>
    <w:rsid w:val="007809CE"/>
    <w:rsid w:val="007A0897"/>
    <w:rsid w:val="007E01F1"/>
    <w:rsid w:val="007E31A2"/>
    <w:rsid w:val="008B6811"/>
    <w:rsid w:val="008E2D20"/>
    <w:rsid w:val="008E3462"/>
    <w:rsid w:val="0094307C"/>
    <w:rsid w:val="00A111F0"/>
    <w:rsid w:val="00AA0856"/>
    <w:rsid w:val="00AC3441"/>
    <w:rsid w:val="00BB4384"/>
    <w:rsid w:val="00C96AC2"/>
    <w:rsid w:val="00CD25C5"/>
    <w:rsid w:val="00E315E1"/>
    <w:rsid w:val="00E821D0"/>
    <w:rsid w:val="00EB37E8"/>
    <w:rsid w:val="00EC0B95"/>
    <w:rsid w:val="00F01C99"/>
    <w:rsid w:val="00F256E2"/>
    <w:rsid w:val="00F50389"/>
    <w:rsid w:val="00F66B4E"/>
    <w:rsid w:val="00FB4D0A"/>
    <w:rsid w:val="00FC4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481530-9916-4811-89D2-0FD2CBBD2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307C"/>
    <w:pPr>
      <w:spacing w:after="200" w:line="276" w:lineRule="auto"/>
      <w:contextualSpacing/>
      <w:jc w:val="both"/>
    </w:pPr>
    <w:rPr>
      <w:rFonts w:eastAsiaTheme="minorEastAsia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4307C"/>
    <w:pPr>
      <w:spacing w:after="0" w:line="240" w:lineRule="auto"/>
      <w:jc w:val="both"/>
    </w:pPr>
    <w:rPr>
      <w:rFonts w:eastAsiaTheme="minorEastAsia"/>
      <w:szCs w:val="20"/>
    </w:rPr>
  </w:style>
  <w:style w:type="paragraph" w:styleId="NormalWeb">
    <w:name w:val="Normal (Web)"/>
    <w:basedOn w:val="Normal"/>
    <w:uiPriority w:val="99"/>
    <w:semiHidden/>
    <w:unhideWhenUsed/>
    <w:rsid w:val="008E2D20"/>
    <w:pPr>
      <w:spacing w:before="100" w:beforeAutospacing="1" w:after="100" w:afterAutospacing="1" w:line="240" w:lineRule="auto"/>
      <w:contextualSpacing w:val="0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E3462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567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8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4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23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49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2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72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1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33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1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6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99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7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65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4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642</Words>
  <Characters>3660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Siranosian</dc:creator>
  <cp:keywords/>
  <dc:description/>
  <cp:lastModifiedBy>Ben Siranosian</cp:lastModifiedBy>
  <cp:revision>2</cp:revision>
  <dcterms:created xsi:type="dcterms:W3CDTF">2014-08-31T16:00:00Z</dcterms:created>
  <dcterms:modified xsi:type="dcterms:W3CDTF">2014-08-31T16:00:00Z</dcterms:modified>
</cp:coreProperties>
</file>