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Arial" w:cs="Arial" w:eastAsia="Arial" w:hAnsi="Arial"/>
          <w:color w:val="6B6459"/>
          <w:sz w:val="18"/>
          <w:szCs w:val="18"/>
        </w:rPr>
        <w:t xml:space="preserve">Deaf &amp; DeafBlind healthcare access  ·  volunteer briefing</w:t>
      </w:r>
    </w:p>
    <w:p>
      <w:pPr>
        <w:spacing w:after="60"/>
      </w:pPr>
      <w:r>
        <w:rPr>
          <w:rFonts w:ascii="Arial" w:cs="Arial" w:eastAsia="Arial" w:hAnsi="Arial"/>
          <w:b/>
          <w:bCs/>
          <w:color w:val="1A1814"/>
          <w:sz w:val="36"/>
          <w:szCs w:val="36"/>
        </w:rPr>
        <w:t xml:space="preserve">What comparable BSL-request data exists outside SWL</w:t>
      </w:r>
    </w:p>
    <w:p>
      <w:pPr>
        <w:spacing w:after="160" w:before="0" w:line="276"/>
      </w:pPr>
      <w:r>
        <w:rPr>
          <w:rFonts w:ascii="Arial" w:cs="Arial" w:eastAsia="Arial" w:hAnsi="Arial"/>
          <w:color w:val="6B6459"/>
          <w:sz w:val="21"/>
          <w:szCs w:val="21"/>
        </w:rPr>
        <w:t xml:space="preserve">A gap tracker for grassroots researchers. What is published, what is missing, and a ready FOI pack.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
        <w:gridCol w:w="10086"/>
      </w:tblGrid>
      <w:tr>
        <w:tc>
          <w:tcPr>
            <w:tcW w:type="dxa" w:w="120"/>
            <w:tcBorders>
              <w:top w:val="none" w:color="FFFFFF" w:sz="0"/>
              <w:left w:val="none" w:color="FFFFFF" w:sz="0"/>
              <w:bottom w:val="none" w:color="FFFFFF" w:sz="0"/>
              <w:right w:val="none" w:color="FFFFFF" w:sz="0"/>
            </w:tcBorders>
            <w:shd w:fill="8A5A00" w:val="clear"/>
          </w:tcPr>
          <w:p/>
        </w:tc>
        <w:tc>
          <w:tcPr>
            <w:tcW w:type="dxa" w:w="10086"/>
            <w:tcBorders>
              <w:top w:val="none" w:color="FFFFFF" w:sz="0"/>
              <w:left w:val="none" w:color="FFFFFF" w:sz="0"/>
              <w:bottom w:val="none" w:color="FFFFFF" w:sz="0"/>
              <w:right w:val="none" w:color="FFFFFF" w:sz="0"/>
            </w:tcBorders>
            <w:shd w:fill="FDF2DF" w:val="clear"/>
            <w:tcMar>
              <w:top w:type="dxa" w:w="100"/>
              <w:left w:type="dxa" w:w="140"/>
              <w:bottom w:type="dxa" w:w="100"/>
              <w:right w:type="dxa" w:w="140"/>
            </w:tcMar>
          </w:tcPr>
          <w:p>
            <w:pPr>
              <w:spacing w:after="40" w:before="0" w:line="276"/>
            </w:pPr>
            <w:r>
              <w:rPr>
                <w:rFonts w:ascii="Arial" w:cs="Arial" w:eastAsia="Arial" w:hAnsi="Arial"/>
                <w:b/>
                <w:bCs/>
                <w:color w:val="8A5A00"/>
                <w:sz w:val="20"/>
                <w:szCs w:val="20"/>
              </w:rPr>
              <w:t xml:space="preserve">Read this first</w:t>
            </w:r>
          </w:p>
          <w:p>
            <w:pPr>
              <w:spacing w:after="0" w:before="0" w:line="276"/>
            </w:pPr>
            <w:r>
              <w:rPr>
                <w:rFonts w:ascii="Arial" w:cs="Arial" w:eastAsia="Arial" w:hAnsi="Arial"/>
                <w:color w:val="1A1814"/>
                <w:sz w:val="20"/>
                <w:szCs w:val="20"/>
              </w:rPr>
              <w:t xml:space="preserve">NHS England does not publish BSL interpreter requests by ICB, borough or patient. South West London’s 878-request table exists because the ICB changed provider in October 2024 and Healthwatch asked for the numbers by borough. That combination is rare. Most FOIs come back as contract names, spend, or “information not held centrally.” Do not treat the SWL split as a national pattern.</w:t>
            </w:r>
          </w:p>
        </w:tc>
      </w:tr>
    </w:tbl>
    <w:p>
      <w:pPr>
        <w:pStyle w:val="Heading1"/>
        <w:spacing w:after="120" w:before="280"/>
      </w:pPr>
      <w:r>
        <w:rPr>
          <w:rFonts w:ascii="Arial" w:cs="Arial" w:eastAsia="Arial" w:hAnsi="Arial"/>
          <w:b/>
          <w:bCs/>
          <w:color w:val="0B3D91"/>
          <w:sz w:val="28"/>
          <w:szCs w:val="28"/>
        </w:rPr>
        <w:t xml:space="preserve">1. The gold standard you already have</w:t>
      </w:r>
    </w:p>
    <w:p>
      <w:pPr>
        <w:spacing w:after="80" w:before="0" w:line="276"/>
      </w:pPr>
      <w:r>
        <w:rPr>
          <w:rFonts w:ascii="Arial" w:cs="Arial" w:eastAsia="Arial" w:hAnsi="Arial"/>
          <w:color w:val="1A1814"/>
          <w:sz w:val="21"/>
          <w:szCs w:val="21"/>
        </w:rPr>
        <w:t xml:space="preserve">South West London ICB, GP practices only, October 2024 to June 2025. Source: Healthwatch Croydon / SWL ICB report, March 2026. These are requests, not unique patients.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2000"/>
        <w:gridCol w:w="2006"/>
      </w:tblGrid>
      <w:tr>
        <w:trPr>
          <w:tblHeader/>
        </w:trPr>
        <w:tc>
          <w:tcPr>
            <w:tcW w:type="dxa" w:w="2400"/>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Borough</w:t>
            </w:r>
          </w:p>
        </w:tc>
        <w:tc>
          <w:tcPr>
            <w:tcW w:type="dxa" w:w="1800"/>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Population</w:t>
            </w:r>
          </w:p>
        </w:tc>
        <w:tc>
          <w:tcPr>
            <w:tcW w:type="dxa" w:w="2000"/>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BSL requests</w:t>
            </w:r>
          </w:p>
        </w:tc>
        <w:tc>
          <w:tcPr>
            <w:tcW w:type="dxa" w:w="2000"/>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Share of SWL</w:t>
            </w:r>
          </w:p>
        </w:tc>
        <w:tc>
          <w:tcPr>
            <w:tcW w:type="dxa" w:w="2006"/>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Per 10,000 people</w:t>
            </w:r>
          </w:p>
        </w:tc>
      </w:tr>
      <w:tr>
        <w:tc>
          <w:tcPr>
            <w:tcW w:type="dxa" w:w="2400"/>
            <w:tcBorders>
              <w:top w:val="single" w:color="D8D3C8" w:sz="4"/>
              <w:left w:val="single" w:color="D8D3C8" w:sz="4"/>
              <w:bottom w:val="single" w:color="D8D3C8" w:sz="4"/>
              <w:right w:val="single" w:color="D8D3C8" w:sz="4"/>
            </w:tcBorders>
            <w:shd w:fill="E9F3EC" w:val="clear"/>
            <w:tcMar>
              <w:top w:type="dxa" w:w="50"/>
              <w:left w:type="dxa" w:w="70"/>
              <w:bottom w:type="dxa" w:w="50"/>
              <w:right w:type="dxa" w:w="70"/>
            </w:tcMar>
            <w:vAlign w:val="center"/>
          </w:tcPr>
          <w:p>
            <w:pPr>
              <w:spacing w:after="0" w:line="240"/>
            </w:pPr>
            <w:r>
              <w:rPr>
                <w:rFonts w:ascii="Arial" w:cs="Arial" w:eastAsia="Arial" w:hAnsi="Arial"/>
                <w:b/>
                <w:bCs/>
                <w:color w:val="1A1814"/>
                <w:sz w:val="18"/>
                <w:szCs w:val="18"/>
              </w:rPr>
              <w:t xml:space="preserve">Wandsworth</w:t>
            </w:r>
          </w:p>
        </w:tc>
        <w:tc>
          <w:tcPr>
            <w:tcW w:type="dxa" w:w="1800"/>
            <w:tcBorders>
              <w:top w:val="single" w:color="D8D3C8" w:sz="4"/>
              <w:left w:val="single" w:color="D8D3C8" w:sz="4"/>
              <w:bottom w:val="single" w:color="D8D3C8" w:sz="4"/>
              <w:right w:val="single" w:color="D8D3C8" w:sz="4"/>
            </w:tcBorders>
            <w:shd w:fill="E9F3EC" w:val="clear"/>
            <w:tcMar>
              <w:top w:type="dxa" w:w="50"/>
              <w:left w:type="dxa" w:w="70"/>
              <w:bottom w:type="dxa" w:w="50"/>
              <w:right w:type="dxa" w:w="70"/>
            </w:tcMar>
            <w:vAlign w:val="center"/>
          </w:tcPr>
          <w:p>
            <w:pPr>
              <w:spacing w:after="0" w:line="240"/>
            </w:pPr>
            <w:r>
              <w:rPr>
                <w:rFonts w:ascii="Arial" w:cs="Arial" w:eastAsia="Arial" w:hAnsi="Arial"/>
                <w:color w:val="1A1814"/>
                <w:sz w:val="18"/>
                <w:szCs w:val="18"/>
              </w:rPr>
              <w:t xml:space="preserve">340,000</w:t>
            </w:r>
          </w:p>
        </w:tc>
        <w:tc>
          <w:tcPr>
            <w:tcW w:type="dxa" w:w="2000"/>
            <w:tcBorders>
              <w:top w:val="single" w:color="D8D3C8" w:sz="4"/>
              <w:left w:val="single" w:color="D8D3C8" w:sz="4"/>
              <w:bottom w:val="single" w:color="D8D3C8" w:sz="4"/>
              <w:right w:val="single" w:color="D8D3C8" w:sz="4"/>
            </w:tcBorders>
            <w:shd w:fill="E9F3EC" w:val="clear"/>
            <w:tcMar>
              <w:top w:type="dxa" w:w="50"/>
              <w:left w:type="dxa" w:w="70"/>
              <w:bottom w:type="dxa" w:w="50"/>
              <w:right w:type="dxa" w:w="70"/>
            </w:tcMar>
            <w:vAlign w:val="center"/>
          </w:tcPr>
          <w:p>
            <w:pPr>
              <w:spacing w:after="0" w:line="240"/>
            </w:pPr>
            <w:r>
              <w:rPr>
                <w:rFonts w:ascii="Arial" w:cs="Arial" w:eastAsia="Arial" w:hAnsi="Arial"/>
                <w:b/>
                <w:bCs/>
                <w:color w:val="1A1814"/>
                <w:sz w:val="18"/>
                <w:szCs w:val="18"/>
              </w:rPr>
              <w:t xml:space="preserve">466</w:t>
            </w:r>
          </w:p>
        </w:tc>
        <w:tc>
          <w:tcPr>
            <w:tcW w:type="dxa" w:w="2000"/>
            <w:tcBorders>
              <w:top w:val="single" w:color="D8D3C8" w:sz="4"/>
              <w:left w:val="single" w:color="D8D3C8" w:sz="4"/>
              <w:bottom w:val="single" w:color="D8D3C8" w:sz="4"/>
              <w:right w:val="single" w:color="D8D3C8" w:sz="4"/>
            </w:tcBorders>
            <w:shd w:fill="E9F3EC" w:val="clear"/>
            <w:tcMar>
              <w:top w:type="dxa" w:w="50"/>
              <w:left w:type="dxa" w:w="70"/>
              <w:bottom w:type="dxa" w:w="50"/>
              <w:right w:type="dxa" w:w="70"/>
            </w:tcMar>
            <w:vAlign w:val="center"/>
          </w:tcPr>
          <w:p>
            <w:pPr>
              <w:spacing w:after="0" w:line="240"/>
            </w:pPr>
            <w:r>
              <w:rPr>
                <w:rFonts w:ascii="Arial" w:cs="Arial" w:eastAsia="Arial" w:hAnsi="Arial"/>
                <w:color w:val="1A1814"/>
                <w:sz w:val="18"/>
                <w:szCs w:val="18"/>
              </w:rPr>
              <w:t xml:space="preserve">53.1%</w:t>
            </w:r>
          </w:p>
        </w:tc>
        <w:tc>
          <w:tcPr>
            <w:tcW w:type="dxa" w:w="2006"/>
            <w:tcBorders>
              <w:top w:val="single" w:color="D8D3C8" w:sz="4"/>
              <w:left w:val="single" w:color="D8D3C8" w:sz="4"/>
              <w:bottom w:val="single" w:color="D8D3C8" w:sz="4"/>
              <w:right w:val="single" w:color="D8D3C8" w:sz="4"/>
            </w:tcBorders>
            <w:shd w:fill="E9F3EC" w:val="clear"/>
            <w:tcMar>
              <w:top w:type="dxa" w:w="50"/>
              <w:left w:type="dxa" w:w="70"/>
              <w:bottom w:type="dxa" w:w="50"/>
              <w:right w:type="dxa" w:w="70"/>
            </w:tcMar>
            <w:vAlign w:val="center"/>
          </w:tcPr>
          <w:p>
            <w:pPr>
              <w:spacing w:after="0" w:line="240"/>
            </w:pPr>
            <w:r>
              <w:rPr>
                <w:rFonts w:ascii="Arial" w:cs="Arial" w:eastAsia="Arial" w:hAnsi="Arial"/>
                <w:color w:val="1A1814"/>
                <w:sz w:val="18"/>
                <w:szCs w:val="18"/>
              </w:rPr>
              <w:t xml:space="preserve">13.7</w:t>
            </w:r>
          </w:p>
        </w:tc>
      </w:tr>
      <w:tr>
        <w:tc>
          <w:tcPr>
            <w:tcW w:type="dxa" w:w="24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8"/>
                <w:szCs w:val="18"/>
              </w:rPr>
              <w:t xml:space="preserve">Croydon</w:t>
            </w:r>
          </w:p>
        </w:tc>
        <w:tc>
          <w:tcPr>
            <w:tcW w:type="dxa" w:w="18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8"/>
                <w:szCs w:val="18"/>
              </w:rPr>
              <w:t xml:space="preserve">410,000</w:t>
            </w:r>
          </w:p>
        </w:tc>
        <w:tc>
          <w:tcPr>
            <w:tcW w:type="dxa" w:w="20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8"/>
                <w:szCs w:val="18"/>
              </w:rPr>
              <w:t xml:space="preserve">185</w:t>
            </w:r>
          </w:p>
        </w:tc>
        <w:tc>
          <w:tcPr>
            <w:tcW w:type="dxa" w:w="20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8"/>
                <w:szCs w:val="18"/>
              </w:rPr>
              <w:t xml:space="preserve">21.1%</w:t>
            </w:r>
          </w:p>
        </w:tc>
        <w:tc>
          <w:tcPr>
            <w:tcW w:type="dxa" w:w="20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8"/>
                <w:szCs w:val="18"/>
              </w:rPr>
              <w:t xml:space="preserve">4.5</w:t>
            </w:r>
          </w:p>
        </w:tc>
      </w:tr>
      <w:tr>
        <w:tc>
          <w:tcPr>
            <w:tcW w:type="dxa" w:w="24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8"/>
                <w:szCs w:val="18"/>
              </w:rPr>
              <w:t xml:space="preserve">Sutton</w:t>
            </w:r>
          </w:p>
        </w:tc>
        <w:tc>
          <w:tcPr>
            <w:tcW w:type="dxa" w:w="18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8"/>
                <w:szCs w:val="18"/>
              </w:rPr>
              <w:t xml:space="preserve">214,000</w:t>
            </w:r>
          </w:p>
        </w:tc>
        <w:tc>
          <w:tcPr>
            <w:tcW w:type="dxa" w:w="20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8"/>
                <w:szCs w:val="18"/>
              </w:rPr>
              <w:t xml:space="preserve">72</w:t>
            </w:r>
          </w:p>
        </w:tc>
        <w:tc>
          <w:tcPr>
            <w:tcW w:type="dxa" w:w="20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8"/>
                <w:szCs w:val="18"/>
              </w:rPr>
              <w:t xml:space="preserve">8.2%</w:t>
            </w:r>
          </w:p>
        </w:tc>
        <w:tc>
          <w:tcPr>
            <w:tcW w:type="dxa" w:w="20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8"/>
                <w:szCs w:val="18"/>
              </w:rPr>
              <w:t xml:space="preserve">3.4</w:t>
            </w:r>
          </w:p>
        </w:tc>
      </w:tr>
      <w:tr>
        <w:tc>
          <w:tcPr>
            <w:tcW w:type="dxa" w:w="24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8"/>
                <w:szCs w:val="18"/>
              </w:rPr>
              <w:t xml:space="preserve">Merton</w:t>
            </w:r>
          </w:p>
        </w:tc>
        <w:tc>
          <w:tcPr>
            <w:tcW w:type="dxa" w:w="18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8"/>
                <w:szCs w:val="18"/>
              </w:rPr>
              <w:t xml:space="preserve">219,000</w:t>
            </w:r>
          </w:p>
        </w:tc>
        <w:tc>
          <w:tcPr>
            <w:tcW w:type="dxa" w:w="20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8"/>
                <w:szCs w:val="18"/>
              </w:rPr>
              <w:t xml:space="preserve">68</w:t>
            </w:r>
          </w:p>
        </w:tc>
        <w:tc>
          <w:tcPr>
            <w:tcW w:type="dxa" w:w="20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8"/>
                <w:szCs w:val="18"/>
              </w:rPr>
              <w:t xml:space="preserve">7.7%</w:t>
            </w:r>
          </w:p>
        </w:tc>
        <w:tc>
          <w:tcPr>
            <w:tcW w:type="dxa" w:w="20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8"/>
                <w:szCs w:val="18"/>
              </w:rPr>
              <w:t xml:space="preserve">3.1</w:t>
            </w:r>
          </w:p>
        </w:tc>
      </w:tr>
      <w:tr>
        <w:tc>
          <w:tcPr>
            <w:tcW w:type="dxa" w:w="24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8"/>
                <w:szCs w:val="18"/>
              </w:rPr>
              <w:t xml:space="preserve">Kingston upon Thames</w:t>
            </w:r>
          </w:p>
        </w:tc>
        <w:tc>
          <w:tcPr>
            <w:tcW w:type="dxa" w:w="18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8"/>
                <w:szCs w:val="18"/>
              </w:rPr>
              <w:t xml:space="preserve">173,000</w:t>
            </w:r>
          </w:p>
        </w:tc>
        <w:tc>
          <w:tcPr>
            <w:tcW w:type="dxa" w:w="20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8"/>
                <w:szCs w:val="18"/>
              </w:rPr>
              <w:t xml:space="preserve">61</w:t>
            </w:r>
          </w:p>
        </w:tc>
        <w:tc>
          <w:tcPr>
            <w:tcW w:type="dxa" w:w="20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8"/>
                <w:szCs w:val="18"/>
              </w:rPr>
              <w:t xml:space="preserve">7.0%</w:t>
            </w:r>
          </w:p>
        </w:tc>
        <w:tc>
          <w:tcPr>
            <w:tcW w:type="dxa" w:w="20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8"/>
                <w:szCs w:val="18"/>
              </w:rPr>
              <w:t xml:space="preserve">3.5</w:t>
            </w:r>
          </w:p>
        </w:tc>
      </w:tr>
      <w:tr>
        <w:tc>
          <w:tcPr>
            <w:tcW w:type="dxa" w:w="24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8"/>
                <w:szCs w:val="18"/>
              </w:rPr>
              <w:t xml:space="preserve">Richmond upon Thames</w:t>
            </w:r>
          </w:p>
        </w:tc>
        <w:tc>
          <w:tcPr>
            <w:tcW w:type="dxa" w:w="18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8"/>
                <w:szCs w:val="18"/>
              </w:rPr>
              <w:t xml:space="preserve">197,000</w:t>
            </w:r>
          </w:p>
        </w:tc>
        <w:tc>
          <w:tcPr>
            <w:tcW w:type="dxa" w:w="20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8"/>
                <w:szCs w:val="18"/>
              </w:rPr>
              <w:t xml:space="preserve">26</w:t>
            </w:r>
          </w:p>
        </w:tc>
        <w:tc>
          <w:tcPr>
            <w:tcW w:type="dxa" w:w="20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8"/>
                <w:szCs w:val="18"/>
              </w:rPr>
              <w:t xml:space="preserve">3.0%</w:t>
            </w:r>
          </w:p>
        </w:tc>
        <w:tc>
          <w:tcPr>
            <w:tcW w:type="dxa" w:w="20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8"/>
                <w:szCs w:val="18"/>
              </w:rPr>
              <w:t xml:space="preserve">1.3</w:t>
            </w:r>
          </w:p>
        </w:tc>
      </w:tr>
      <w:tr>
        <w:tc>
          <w:tcPr>
            <w:tcW w:type="dxa" w:w="2400"/>
            <w:tcBorders>
              <w:top w:val="single" w:color="D8D3C8" w:sz="4"/>
              <w:left w:val="single" w:color="D8D3C8" w:sz="4"/>
              <w:bottom w:val="single" w:color="D8D3C8" w:sz="4"/>
              <w:right w:val="single" w:color="D8D3C8" w:sz="4"/>
            </w:tcBorders>
            <w:shd w:fill="E6F1FB" w:val="clear"/>
            <w:tcMar>
              <w:top w:type="dxa" w:w="50"/>
              <w:left w:type="dxa" w:w="70"/>
              <w:bottom w:type="dxa" w:w="50"/>
              <w:right w:type="dxa" w:w="70"/>
            </w:tcMar>
            <w:vAlign w:val="center"/>
          </w:tcPr>
          <w:p>
            <w:pPr>
              <w:spacing w:after="0" w:line="240"/>
            </w:pPr>
            <w:r>
              <w:rPr>
                <w:rFonts w:ascii="Arial" w:cs="Arial" w:eastAsia="Arial" w:hAnsi="Arial"/>
                <w:b/>
                <w:bCs/>
                <w:color w:val="1A1814"/>
                <w:sz w:val="18"/>
                <w:szCs w:val="18"/>
              </w:rPr>
              <w:t xml:space="preserve">SWL total</w:t>
            </w:r>
          </w:p>
        </w:tc>
        <w:tc>
          <w:tcPr>
            <w:tcW w:type="dxa" w:w="1800"/>
            <w:tcBorders>
              <w:top w:val="single" w:color="D8D3C8" w:sz="4"/>
              <w:left w:val="single" w:color="D8D3C8" w:sz="4"/>
              <w:bottom w:val="single" w:color="D8D3C8" w:sz="4"/>
              <w:right w:val="single" w:color="D8D3C8" w:sz="4"/>
            </w:tcBorders>
            <w:shd w:fill="E6F1FB" w:val="clear"/>
            <w:tcMar>
              <w:top w:type="dxa" w:w="50"/>
              <w:left w:type="dxa" w:w="70"/>
              <w:bottom w:type="dxa" w:w="50"/>
              <w:right w:type="dxa" w:w="70"/>
            </w:tcMar>
            <w:vAlign w:val="center"/>
          </w:tcPr>
          <w:p>
            <w:pPr>
              <w:spacing w:after="0" w:line="240"/>
            </w:pPr>
            <w:r>
              <w:rPr>
                <w:rFonts w:ascii="Arial" w:cs="Arial" w:eastAsia="Arial" w:hAnsi="Arial"/>
                <w:b/>
                <w:bCs/>
                <w:color w:val="1A1814"/>
                <w:sz w:val="18"/>
                <w:szCs w:val="18"/>
              </w:rPr>
              <w:t xml:space="preserve">1,553,000</w:t>
            </w:r>
          </w:p>
        </w:tc>
        <w:tc>
          <w:tcPr>
            <w:tcW w:type="dxa" w:w="2000"/>
            <w:tcBorders>
              <w:top w:val="single" w:color="D8D3C8" w:sz="4"/>
              <w:left w:val="single" w:color="D8D3C8" w:sz="4"/>
              <w:bottom w:val="single" w:color="D8D3C8" w:sz="4"/>
              <w:right w:val="single" w:color="D8D3C8" w:sz="4"/>
            </w:tcBorders>
            <w:shd w:fill="E6F1FB" w:val="clear"/>
            <w:tcMar>
              <w:top w:type="dxa" w:w="50"/>
              <w:left w:type="dxa" w:w="70"/>
              <w:bottom w:type="dxa" w:w="50"/>
              <w:right w:type="dxa" w:w="70"/>
            </w:tcMar>
            <w:vAlign w:val="center"/>
          </w:tcPr>
          <w:p>
            <w:pPr>
              <w:spacing w:after="0" w:line="240"/>
            </w:pPr>
            <w:r>
              <w:rPr>
                <w:rFonts w:ascii="Arial" w:cs="Arial" w:eastAsia="Arial" w:hAnsi="Arial"/>
                <w:b/>
                <w:bCs/>
                <w:color w:val="1A1814"/>
                <w:sz w:val="18"/>
                <w:szCs w:val="18"/>
              </w:rPr>
              <w:t xml:space="preserve">878</w:t>
            </w:r>
          </w:p>
        </w:tc>
        <w:tc>
          <w:tcPr>
            <w:tcW w:type="dxa" w:w="2000"/>
            <w:tcBorders>
              <w:top w:val="single" w:color="D8D3C8" w:sz="4"/>
              <w:left w:val="single" w:color="D8D3C8" w:sz="4"/>
              <w:bottom w:val="single" w:color="D8D3C8" w:sz="4"/>
              <w:right w:val="single" w:color="D8D3C8" w:sz="4"/>
            </w:tcBorders>
            <w:shd w:fill="E6F1FB" w:val="clear"/>
            <w:tcMar>
              <w:top w:type="dxa" w:w="50"/>
              <w:left w:type="dxa" w:w="70"/>
              <w:bottom w:type="dxa" w:w="50"/>
              <w:right w:type="dxa" w:w="70"/>
            </w:tcMar>
            <w:vAlign w:val="center"/>
          </w:tcPr>
          <w:p>
            <w:pPr>
              <w:spacing w:after="0" w:line="240"/>
            </w:pPr>
            <w:r>
              <w:rPr>
                <w:rFonts w:ascii="Arial" w:cs="Arial" w:eastAsia="Arial" w:hAnsi="Arial"/>
                <w:b/>
                <w:bCs/>
                <w:color w:val="1A1814"/>
                <w:sz w:val="18"/>
                <w:szCs w:val="18"/>
              </w:rPr>
              <w:t xml:space="preserve">100%</w:t>
            </w:r>
          </w:p>
        </w:tc>
        <w:tc>
          <w:tcPr>
            <w:tcW w:type="dxa" w:w="2006"/>
            <w:tcBorders>
              <w:top w:val="single" w:color="D8D3C8" w:sz="4"/>
              <w:left w:val="single" w:color="D8D3C8" w:sz="4"/>
              <w:bottom w:val="single" w:color="D8D3C8" w:sz="4"/>
              <w:right w:val="single" w:color="D8D3C8" w:sz="4"/>
            </w:tcBorders>
            <w:shd w:fill="E6F1FB" w:val="clear"/>
            <w:tcMar>
              <w:top w:type="dxa" w:w="50"/>
              <w:left w:type="dxa" w:w="70"/>
              <w:bottom w:type="dxa" w:w="50"/>
              <w:right w:type="dxa" w:w="70"/>
            </w:tcMar>
            <w:vAlign w:val="center"/>
          </w:tcPr>
          <w:p>
            <w:pPr>
              <w:spacing w:after="0" w:line="240"/>
            </w:pPr>
            <w:r>
              <w:rPr>
                <w:rFonts w:ascii="Arial" w:cs="Arial" w:eastAsia="Arial" w:hAnsi="Arial"/>
                <w:b/>
                <w:bCs/>
                <w:color w:val="1A1814"/>
                <w:sz w:val="18"/>
                <w:szCs w:val="18"/>
              </w:rPr>
              <w:t xml:space="preserve">5.7</w:t>
            </w:r>
          </w:p>
        </w:tc>
      </w:tr>
    </w:tbl>
    <w:p>
      <w:pPr>
        <w:spacing w:after="80" w:before="80" w:line="276"/>
      </w:pPr>
      <w:r>
        <w:rPr>
          <w:rFonts w:ascii="Arial" w:cs="Arial" w:eastAsia="Arial" w:hAnsi="Arial"/>
          <w:i/>
          <w:iCs/>
          <w:color w:val="6B6459"/>
          <w:sz w:val="20"/>
          <w:szCs w:val="20"/>
        </w:rPr>
        <w:t xml:space="preserve">Why Wandsworth dominates: two Achieving Together Deaf care homes (Harding House, Huguenot Place) and Oak Lodge School sit in the borough. That is service geography, not a national prevalence rule. Hospital, mental health, dentistry and social care are outside these 878.</w:t>
      </w:r>
    </w:p>
    <w:p>
      <w:pPr>
        <w:pStyle w:val="Heading1"/>
        <w:spacing w:after="120" w:before="280"/>
      </w:pPr>
      <w:r>
        <w:rPr>
          <w:rFonts w:ascii="Arial" w:cs="Arial" w:eastAsia="Arial" w:hAnsi="Arial"/>
          <w:b/>
          <w:bCs/>
          <w:color w:val="0B3D91"/>
          <w:sz w:val="28"/>
          <w:szCs w:val="28"/>
        </w:rPr>
        <w:t xml:space="preserve">2. What else is in public — and what it is worth</w:t>
      </w:r>
    </w:p>
    <w:p>
      <w:pPr>
        <w:spacing w:after="80" w:before="0" w:line="276"/>
      </w:pPr>
      <w:r>
        <w:rPr>
          <w:rFonts w:ascii="Arial" w:cs="Arial" w:eastAsia="Arial" w:hAnsi="Arial"/>
          <w:color w:val="1A1814"/>
          <w:sz w:val="21"/>
          <w:szCs w:val="21"/>
        </w:rPr>
        <w:t xml:space="preserve">England now has 36 ICBs (from 1 April 2026). After a public-source sweep of ICB reports, Healthwatch papers and WhatDoTheyKnow FOIs, only one other ICB has published a locality-level BSL request table. A few trusts have published request/fulfilment counts with no geography.</w:t>
      </w:r>
    </w:p>
    <w:p>
      <w:pPr>
        <w:pStyle w:val="Heading2"/>
        <w:spacing w:after="80" w:before="220"/>
      </w:pPr>
      <w:r>
        <w:rPr>
          <w:rFonts w:ascii="Arial" w:cs="Arial" w:eastAsia="Arial" w:hAnsi="Arial"/>
          <w:b/>
          <w:bCs/>
          <w:color w:val="1A1814"/>
          <w:sz w:val="24"/>
          <w:szCs w:val="24"/>
        </w:rPr>
        <w:t xml:space="preserve">Tier A — usable geography (very rare)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700"/>
        <w:gridCol w:w="2706"/>
      </w:tblGrid>
      <w:tr>
        <w:trPr>
          <w:tblHeader/>
        </w:trPr>
        <w:tc>
          <w:tcPr>
            <w:tcW w:type="dxa" w:w="2100"/>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Place</w:t>
            </w:r>
          </w:p>
        </w:tc>
        <w:tc>
          <w:tcPr>
            <w:tcW w:type="dxa" w:w="2700"/>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What was published</w:t>
            </w:r>
          </w:p>
        </w:tc>
        <w:tc>
          <w:tcPr>
            <w:tcW w:type="dxa" w:w="2700"/>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Period / definition</w:t>
            </w:r>
          </w:p>
        </w:tc>
        <w:tc>
          <w:tcPr>
            <w:tcW w:type="dxa" w:w="2706"/>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Use for the team?</w:t>
            </w:r>
          </w:p>
        </w:tc>
      </w:tr>
      <w:tr>
        <w:tc>
          <w:tcPr>
            <w:tcW w:type="dxa" w:w="2100"/>
            <w:tcBorders>
              <w:top w:val="single" w:color="D8D3C8" w:sz="4"/>
              <w:left w:val="single" w:color="D8D3C8" w:sz="4"/>
              <w:bottom w:val="single" w:color="D8D3C8" w:sz="4"/>
              <w:right w:val="single" w:color="D8D3C8" w:sz="4"/>
            </w:tcBorders>
            <w:shd w:fill="E9F3EC"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South West London ICB</w:t>
            </w:r>
          </w:p>
        </w:tc>
        <w:tc>
          <w:tcPr>
            <w:tcW w:type="dxa" w:w="2700"/>
            <w:tcBorders>
              <w:top w:val="single" w:color="D8D3C8" w:sz="4"/>
              <w:left w:val="single" w:color="D8D3C8" w:sz="4"/>
              <w:bottom w:val="single" w:color="D8D3C8" w:sz="4"/>
              <w:right w:val="single" w:color="D8D3C8" w:sz="4"/>
            </w:tcBorders>
            <w:shd w:fill="E9F3EC"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878 GP BSL requests split across 6 boroughs</w:t>
            </w:r>
          </w:p>
        </w:tc>
        <w:tc>
          <w:tcPr>
            <w:tcW w:type="dxa" w:w="2700"/>
            <w:tcBorders>
              <w:top w:val="single" w:color="D8D3C8" w:sz="4"/>
              <w:left w:val="single" w:color="D8D3C8" w:sz="4"/>
              <w:bottom w:val="single" w:color="D8D3C8" w:sz="4"/>
              <w:right w:val="single" w:color="D8D3C8" w:sz="4"/>
            </w:tcBorders>
            <w:shd w:fill="E9F3EC"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Oct 2024–Jun 2025. Requests, not people. Primary care only.</w:t>
            </w:r>
          </w:p>
        </w:tc>
        <w:tc>
          <w:tcPr>
            <w:tcW w:type="dxa" w:w="2706"/>
            <w:tcBorders>
              <w:top w:val="single" w:color="D8D3C8" w:sz="4"/>
              <w:left w:val="single" w:color="D8D3C8" w:sz="4"/>
              <w:bottom w:val="single" w:color="D8D3C8" w:sz="4"/>
              <w:right w:val="single" w:color="D8D3C8" w:sz="4"/>
            </w:tcBorders>
            <w:shd w:fill="E9F3EC"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Gold standard. Keep as the benchmark.</w:t>
            </w:r>
          </w:p>
        </w:tc>
      </w:tr>
      <w:tr>
        <w:tc>
          <w:tcPr>
            <w:tcW w:type="dxa" w:w="2100"/>
            <w:tcBorders>
              <w:top w:val="single" w:color="D8D3C8" w:sz="4"/>
              <w:left w:val="single" w:color="D8D3C8" w:sz="4"/>
              <w:bottom w:val="single" w:color="D8D3C8" w:sz="4"/>
              <w:right w:val="single" w:color="D8D3C8" w:sz="4"/>
            </w:tcBorders>
            <w:shd w:fill="E9F3EC"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Greater Manchester ICB</w:t>
            </w:r>
          </w:p>
        </w:tc>
        <w:tc>
          <w:tcPr>
            <w:tcW w:type="dxa" w:w="2700"/>
            <w:tcBorders>
              <w:top w:val="single" w:color="D8D3C8" w:sz="4"/>
              <w:left w:val="single" w:color="D8D3C8" w:sz="4"/>
              <w:bottom w:val="single" w:color="D8D3C8" w:sz="4"/>
              <w:right w:val="single" w:color="D8D3C8" w:sz="4"/>
            </w:tcBorders>
            <w:shd w:fill="E9F3EC"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Annual average requests for 8 of 10 localities. Tameside and Wigan “not held”. Combined primary-care BSL spend c. £270,819 (2025/26).</w:t>
            </w:r>
          </w:p>
        </w:tc>
        <w:tc>
          <w:tcPr>
            <w:tcW w:type="dxa" w:w="2700"/>
            <w:tcBorders>
              <w:top w:val="single" w:color="D8D3C8" w:sz="4"/>
              <w:left w:val="single" w:color="D8D3C8" w:sz="4"/>
              <w:bottom w:val="single" w:color="D8D3C8" w:sz="4"/>
              <w:right w:val="single" w:color="D8D3C8" w:sz="4"/>
            </w:tcBorders>
            <w:shd w:fill="E9F3EC"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FOI 2025/1383. Averages, not a dated extract. Mix of response-time and failure-rate fields, many blank.</w:t>
            </w:r>
          </w:p>
        </w:tc>
        <w:tc>
          <w:tcPr>
            <w:tcW w:type="dxa" w:w="2706"/>
            <w:tcBorders>
              <w:top w:val="single" w:color="D8D3C8" w:sz="4"/>
              <w:left w:val="single" w:color="D8D3C8" w:sz="4"/>
              <w:bottom w:val="single" w:color="D8D3C8" w:sz="4"/>
              <w:right w:val="single" w:color="D8D3C8" w:sz="4"/>
            </w:tcBorders>
            <w:shd w:fill="E9F3EC"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Best comparator. Not same period or definition as SWL.</w:t>
            </w:r>
          </w:p>
        </w:tc>
      </w:tr>
    </w:tbl>
    <w:p>
      <w:pPr>
        <w:spacing w:after="60" w:before="140" w:line="276"/>
      </w:pPr>
      <w:r>
        <w:rPr>
          <w:rFonts w:ascii="Arial" w:cs="Arial" w:eastAsia="Arial" w:hAnsi="Arial"/>
          <w:b/>
          <w:bCs/>
          <w:color w:val="1A1814"/>
          <w:sz w:val="21"/>
          <w:szCs w:val="21"/>
        </w:rPr>
        <w:t xml:space="preserve">Greater Manchester locality averages (FOI 2025/1383):</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300"/>
        <w:gridCol w:w="2306"/>
      </w:tblGrid>
      <w:tr>
        <w:trPr>
          <w:tblHeader/>
        </w:trPr>
        <w:tc>
          <w:tcPr>
            <w:tcW w:type="dxa" w:w="3400"/>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Locality</w:t>
            </w:r>
          </w:p>
        </w:tc>
        <w:tc>
          <w:tcPr>
            <w:tcW w:type="dxa" w:w="2200"/>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Avg annual BSL requests</w:t>
            </w:r>
          </w:p>
        </w:tc>
        <w:tc>
          <w:tcPr>
            <w:tcW w:type="dxa" w:w="2300"/>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Failure / unfulfilled</w:t>
            </w:r>
          </w:p>
        </w:tc>
        <w:tc>
          <w:tcPr>
            <w:tcW w:type="dxa" w:w="2306"/>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Response time</w:t>
            </w:r>
          </w:p>
        </w:tc>
      </w:tr>
      <w:tr>
        <w:tc>
          <w:tcPr>
            <w:tcW w:type="dxa" w:w="34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Manchester</w:t>
            </w:r>
          </w:p>
        </w:tc>
        <w:tc>
          <w:tcPr>
            <w:tcW w:type="dxa" w:w="22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370</w:t>
            </w:r>
          </w:p>
        </w:tc>
        <w:tc>
          <w:tcPr>
            <w:tcW w:type="dxa" w:w="23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6"/>
                <w:szCs w:val="16"/>
              </w:rPr>
              <w:t xml:space="preserve">Held in contract — not published</w:t>
            </w:r>
          </w:p>
        </w:tc>
        <w:tc>
          <w:tcPr>
            <w:tcW w:type="dxa" w:w="23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6"/>
                <w:szCs w:val="16"/>
              </w:rPr>
              <w:t xml:space="preserve">Contract-managed</w:t>
            </w:r>
          </w:p>
        </w:tc>
      </w:tr>
      <w:tr>
        <w:tc>
          <w:tcPr>
            <w:tcW w:type="dxa" w:w="34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Trafford</w:t>
            </w:r>
          </w:p>
        </w:tc>
        <w:tc>
          <w:tcPr>
            <w:tcW w:type="dxa" w:w="22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277</w:t>
            </w:r>
          </w:p>
        </w:tc>
        <w:tc>
          <w:tcPr>
            <w:tcW w:type="dxa" w:w="2300"/>
            <w:tcBorders>
              <w:top w:val="single" w:color="D8D3C8" w:sz="4"/>
              <w:left w:val="single" w:color="D8D3C8" w:sz="4"/>
              <w:bottom w:val="single" w:color="D8D3C8" w:sz="4"/>
              <w:right w:val="single" w:color="D8D3C8" w:sz="4"/>
            </w:tcBorders>
            <w:shd w:fill="FBE9E7" w:val="clear"/>
            <w:tcMar>
              <w:top w:type="dxa" w:w="50"/>
              <w:left w:type="dxa" w:w="70"/>
              <w:bottom w:type="dxa" w:w="50"/>
              <w:right w:type="dxa" w:w="70"/>
            </w:tcMar>
            <w:vAlign w:val="center"/>
          </w:tcPr>
          <w:p>
            <w:pPr>
              <w:spacing w:after="0" w:line="240"/>
            </w:pPr>
            <w:r>
              <w:rPr>
                <w:rFonts w:ascii="Arial" w:cs="Arial" w:eastAsia="Arial" w:hAnsi="Arial"/>
                <w:color w:val="1A1814"/>
                <w:sz w:val="16"/>
                <w:szCs w:val="16"/>
              </w:rPr>
              <w:t xml:space="preserve">31% cancelled / unfulfilled</w:t>
            </w:r>
          </w:p>
        </w:tc>
        <w:tc>
          <w:tcPr>
            <w:tcW w:type="dxa" w:w="2306"/>
            <w:tcBorders>
              <w:top w:val="single" w:color="D8D3C8" w:sz="4"/>
              <w:left w:val="single" w:color="D8D3C8" w:sz="4"/>
              <w:bottom w:val="single" w:color="D8D3C8" w:sz="4"/>
              <w:right w:val="single" w:color="D8D3C8" w:sz="4"/>
            </w:tcBorders>
            <w:shd w:fill="FDF2DF" w:val="clear"/>
            <w:tcMar>
              <w:top w:type="dxa" w:w="50"/>
              <w:left w:type="dxa" w:w="70"/>
              <w:bottom w:type="dxa" w:w="50"/>
              <w:right w:type="dxa" w:w="70"/>
            </w:tcMar>
            <w:vAlign w:val="center"/>
          </w:tcPr>
          <w:p>
            <w:pPr>
              <w:spacing w:after="0" w:line="240"/>
            </w:pPr>
            <w:r>
              <w:rPr>
                <w:rFonts w:ascii="Arial" w:cs="Arial" w:eastAsia="Arial" w:hAnsi="Arial"/>
                <w:color w:val="1A1814"/>
                <w:sz w:val="16"/>
                <w:szCs w:val="16"/>
              </w:rPr>
              <w:t xml:space="preserve">Not held</w:t>
            </w:r>
          </w:p>
        </w:tc>
      </w:tr>
      <w:tr>
        <w:tc>
          <w:tcPr>
            <w:tcW w:type="dxa" w:w="34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Bolton</w:t>
            </w:r>
          </w:p>
        </w:tc>
        <w:tc>
          <w:tcPr>
            <w:tcW w:type="dxa" w:w="22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229</w:t>
            </w:r>
          </w:p>
        </w:tc>
        <w:tc>
          <w:tcPr>
            <w:tcW w:type="dxa" w:w="2300"/>
            <w:tcBorders>
              <w:top w:val="single" w:color="D8D3C8" w:sz="4"/>
              <w:left w:val="single" w:color="D8D3C8" w:sz="4"/>
              <w:bottom w:val="single" w:color="D8D3C8" w:sz="4"/>
              <w:right w:val="single" w:color="D8D3C8" w:sz="4"/>
            </w:tcBorders>
            <w:shd w:fill="FDF2DF" w:val="clear"/>
            <w:tcMar>
              <w:top w:type="dxa" w:w="50"/>
              <w:left w:type="dxa" w:w="70"/>
              <w:bottom w:type="dxa" w:w="50"/>
              <w:right w:type="dxa" w:w="70"/>
            </w:tcMar>
            <w:vAlign w:val="center"/>
          </w:tcPr>
          <w:p>
            <w:pPr>
              <w:spacing w:after="0" w:line="240"/>
            </w:pPr>
            <w:r>
              <w:rPr>
                <w:rFonts w:ascii="Arial" w:cs="Arial" w:eastAsia="Arial" w:hAnsi="Arial"/>
                <w:color w:val="1A1814"/>
                <w:sz w:val="16"/>
                <w:szCs w:val="16"/>
              </w:rPr>
              <w:t xml:space="preserve">Not held</w:t>
            </w:r>
          </w:p>
        </w:tc>
        <w:tc>
          <w:tcPr>
            <w:tcW w:type="dxa" w:w="23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6"/>
                <w:szCs w:val="16"/>
              </w:rPr>
              <w:t xml:space="preserve">24 hours</w:t>
            </w:r>
          </w:p>
        </w:tc>
      </w:tr>
      <w:tr>
        <w:tc>
          <w:tcPr>
            <w:tcW w:type="dxa" w:w="34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Stockport</w:t>
            </w:r>
          </w:p>
        </w:tc>
        <w:tc>
          <w:tcPr>
            <w:tcW w:type="dxa" w:w="22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198</w:t>
            </w:r>
          </w:p>
        </w:tc>
        <w:tc>
          <w:tcPr>
            <w:tcW w:type="dxa" w:w="2300"/>
            <w:tcBorders>
              <w:top w:val="single" w:color="D8D3C8" w:sz="4"/>
              <w:left w:val="single" w:color="D8D3C8" w:sz="4"/>
              <w:bottom w:val="single" w:color="D8D3C8" w:sz="4"/>
              <w:right w:val="single" w:color="D8D3C8" w:sz="4"/>
            </w:tcBorders>
            <w:shd w:fill="FDF2DF" w:val="clear"/>
            <w:tcMar>
              <w:top w:type="dxa" w:w="50"/>
              <w:left w:type="dxa" w:w="70"/>
              <w:bottom w:type="dxa" w:w="50"/>
              <w:right w:type="dxa" w:w="70"/>
            </w:tcMar>
            <w:vAlign w:val="center"/>
          </w:tcPr>
          <w:p>
            <w:pPr>
              <w:spacing w:after="0" w:line="240"/>
            </w:pPr>
            <w:r>
              <w:rPr>
                <w:rFonts w:ascii="Arial" w:cs="Arial" w:eastAsia="Arial" w:hAnsi="Arial"/>
                <w:color w:val="1A1814"/>
                <w:sz w:val="16"/>
                <w:szCs w:val="16"/>
              </w:rPr>
              <w:t xml:space="preserve">Not held</w:t>
            </w:r>
          </w:p>
        </w:tc>
        <w:tc>
          <w:tcPr>
            <w:tcW w:type="dxa" w:w="2306"/>
            <w:tcBorders>
              <w:top w:val="single" w:color="D8D3C8" w:sz="4"/>
              <w:left w:val="single" w:color="D8D3C8" w:sz="4"/>
              <w:bottom w:val="single" w:color="D8D3C8" w:sz="4"/>
              <w:right w:val="single" w:color="D8D3C8" w:sz="4"/>
            </w:tcBorders>
            <w:shd w:fill="FDF2DF" w:val="clear"/>
            <w:tcMar>
              <w:top w:type="dxa" w:w="50"/>
              <w:left w:type="dxa" w:w="70"/>
              <w:bottom w:type="dxa" w:w="50"/>
              <w:right w:type="dxa" w:w="70"/>
            </w:tcMar>
            <w:vAlign w:val="center"/>
          </w:tcPr>
          <w:p>
            <w:pPr>
              <w:spacing w:after="0" w:line="240"/>
            </w:pPr>
            <w:r>
              <w:rPr>
                <w:rFonts w:ascii="Arial" w:cs="Arial" w:eastAsia="Arial" w:hAnsi="Arial"/>
                <w:color w:val="1A1814"/>
                <w:sz w:val="16"/>
                <w:szCs w:val="16"/>
              </w:rPr>
              <w:t xml:space="preserve">Not held</w:t>
            </w:r>
          </w:p>
        </w:tc>
      </w:tr>
      <w:tr>
        <w:tc>
          <w:tcPr>
            <w:tcW w:type="dxa" w:w="34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Heywood, Middleton &amp; Rochdale</w:t>
            </w:r>
          </w:p>
        </w:tc>
        <w:tc>
          <w:tcPr>
            <w:tcW w:type="dxa" w:w="22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180</w:t>
            </w:r>
          </w:p>
        </w:tc>
        <w:tc>
          <w:tcPr>
            <w:tcW w:type="dxa" w:w="23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6"/>
                <w:szCs w:val="16"/>
              </w:rPr>
              <w:t xml:space="preserve">None reported</w:t>
            </w:r>
          </w:p>
        </w:tc>
        <w:tc>
          <w:tcPr>
            <w:tcW w:type="dxa" w:w="2306"/>
            <w:tcBorders>
              <w:top w:val="single" w:color="D8D3C8" w:sz="4"/>
              <w:left w:val="single" w:color="D8D3C8" w:sz="4"/>
              <w:bottom w:val="single" w:color="D8D3C8" w:sz="4"/>
              <w:right w:val="single" w:color="D8D3C8" w:sz="4"/>
            </w:tcBorders>
            <w:shd w:fill="FDF2DF" w:val="clear"/>
            <w:tcMar>
              <w:top w:type="dxa" w:w="50"/>
              <w:left w:type="dxa" w:w="70"/>
              <w:bottom w:type="dxa" w:w="50"/>
              <w:right w:type="dxa" w:w="70"/>
            </w:tcMar>
            <w:vAlign w:val="center"/>
          </w:tcPr>
          <w:p>
            <w:pPr>
              <w:spacing w:after="0" w:line="240"/>
            </w:pPr>
            <w:r>
              <w:rPr>
                <w:rFonts w:ascii="Arial" w:cs="Arial" w:eastAsia="Arial" w:hAnsi="Arial"/>
                <w:color w:val="1A1814"/>
                <w:sz w:val="16"/>
                <w:szCs w:val="16"/>
              </w:rPr>
              <w:t xml:space="preserve">Not held</w:t>
            </w:r>
          </w:p>
        </w:tc>
      </w:tr>
      <w:tr>
        <w:tc>
          <w:tcPr>
            <w:tcW w:type="dxa" w:w="34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Salford</w:t>
            </w:r>
          </w:p>
        </w:tc>
        <w:tc>
          <w:tcPr>
            <w:tcW w:type="dxa" w:w="22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131</w:t>
            </w:r>
          </w:p>
        </w:tc>
        <w:tc>
          <w:tcPr>
            <w:tcW w:type="dxa" w:w="2300"/>
            <w:tcBorders>
              <w:top w:val="single" w:color="D8D3C8" w:sz="4"/>
              <w:left w:val="single" w:color="D8D3C8" w:sz="4"/>
              <w:bottom w:val="single" w:color="D8D3C8" w:sz="4"/>
              <w:right w:val="single" w:color="D8D3C8" w:sz="4"/>
            </w:tcBorders>
            <w:shd w:fill="FDF2DF" w:val="clear"/>
            <w:tcMar>
              <w:top w:type="dxa" w:w="50"/>
              <w:left w:type="dxa" w:w="70"/>
              <w:bottom w:type="dxa" w:w="50"/>
              <w:right w:type="dxa" w:w="70"/>
            </w:tcMar>
            <w:vAlign w:val="center"/>
          </w:tcPr>
          <w:p>
            <w:pPr>
              <w:spacing w:after="0" w:line="240"/>
            </w:pPr>
            <w:r>
              <w:rPr>
                <w:rFonts w:ascii="Arial" w:cs="Arial" w:eastAsia="Arial" w:hAnsi="Arial"/>
                <w:color w:val="1A1814"/>
                <w:sz w:val="16"/>
                <w:szCs w:val="16"/>
              </w:rPr>
              <w:t xml:space="preserve">13.3% failure</w:t>
            </w:r>
          </w:p>
        </w:tc>
        <w:tc>
          <w:tcPr>
            <w:tcW w:type="dxa" w:w="23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6"/>
                <w:szCs w:val="16"/>
              </w:rPr>
              <w:t xml:space="preserve">15.68 seconds (likely VRS)</w:t>
            </w:r>
          </w:p>
        </w:tc>
      </w:tr>
      <w:tr>
        <w:tc>
          <w:tcPr>
            <w:tcW w:type="dxa" w:w="34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Bury</w:t>
            </w:r>
          </w:p>
        </w:tc>
        <w:tc>
          <w:tcPr>
            <w:tcW w:type="dxa" w:w="22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88</w:t>
            </w:r>
          </w:p>
        </w:tc>
        <w:tc>
          <w:tcPr>
            <w:tcW w:type="dxa" w:w="23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6"/>
                <w:szCs w:val="16"/>
              </w:rPr>
              <w:t xml:space="preserve">9 cancelled by client</w:t>
            </w:r>
          </w:p>
        </w:tc>
        <w:tc>
          <w:tcPr>
            <w:tcW w:type="dxa" w:w="2306"/>
            <w:tcBorders>
              <w:top w:val="single" w:color="D8D3C8" w:sz="4"/>
              <w:left w:val="single" w:color="D8D3C8" w:sz="4"/>
              <w:bottom w:val="single" w:color="D8D3C8" w:sz="4"/>
              <w:right w:val="single" w:color="D8D3C8" w:sz="4"/>
            </w:tcBorders>
            <w:shd w:fill="FDF2DF" w:val="clear"/>
            <w:tcMar>
              <w:top w:type="dxa" w:w="50"/>
              <w:left w:type="dxa" w:w="70"/>
              <w:bottom w:type="dxa" w:w="50"/>
              <w:right w:type="dxa" w:w="70"/>
            </w:tcMar>
            <w:vAlign w:val="center"/>
          </w:tcPr>
          <w:p>
            <w:pPr>
              <w:spacing w:after="0" w:line="240"/>
            </w:pPr>
            <w:r>
              <w:rPr>
                <w:rFonts w:ascii="Arial" w:cs="Arial" w:eastAsia="Arial" w:hAnsi="Arial"/>
                <w:color w:val="1A1814"/>
                <w:sz w:val="16"/>
                <w:szCs w:val="16"/>
              </w:rPr>
              <w:t xml:space="preserve">Not held</w:t>
            </w:r>
          </w:p>
        </w:tc>
      </w:tr>
      <w:tr>
        <w:tc>
          <w:tcPr>
            <w:tcW w:type="dxa" w:w="34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Oldham</w:t>
            </w:r>
          </w:p>
        </w:tc>
        <w:tc>
          <w:tcPr>
            <w:tcW w:type="dxa" w:w="22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66</w:t>
            </w:r>
          </w:p>
        </w:tc>
        <w:tc>
          <w:tcPr>
            <w:tcW w:type="dxa" w:w="2300"/>
            <w:tcBorders>
              <w:top w:val="single" w:color="D8D3C8" w:sz="4"/>
              <w:left w:val="single" w:color="D8D3C8" w:sz="4"/>
              <w:bottom w:val="single" w:color="D8D3C8" w:sz="4"/>
              <w:right w:val="single" w:color="D8D3C8" w:sz="4"/>
            </w:tcBorders>
            <w:shd w:fill="FDF2DF" w:val="clear"/>
            <w:tcMar>
              <w:top w:type="dxa" w:w="50"/>
              <w:left w:type="dxa" w:w="70"/>
              <w:bottom w:type="dxa" w:w="50"/>
              <w:right w:type="dxa" w:w="70"/>
            </w:tcMar>
            <w:vAlign w:val="center"/>
          </w:tcPr>
          <w:p>
            <w:pPr>
              <w:spacing w:after="0" w:line="240"/>
            </w:pPr>
            <w:r>
              <w:rPr>
                <w:rFonts w:ascii="Arial" w:cs="Arial" w:eastAsia="Arial" w:hAnsi="Arial"/>
                <w:color w:val="1A1814"/>
                <w:sz w:val="16"/>
                <w:szCs w:val="16"/>
              </w:rPr>
              <w:t xml:space="preserve">Not held</w:t>
            </w:r>
          </w:p>
        </w:tc>
        <w:tc>
          <w:tcPr>
            <w:tcW w:type="dxa" w:w="23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6"/>
                <w:szCs w:val="16"/>
              </w:rPr>
              <w:t xml:space="preserve">1–2 hours up to 48 hours</w:t>
            </w:r>
          </w:p>
        </w:tc>
      </w:tr>
      <w:tr>
        <w:tc>
          <w:tcPr>
            <w:tcW w:type="dxa" w:w="3400"/>
            <w:tcBorders>
              <w:top w:val="single" w:color="D8D3C8" w:sz="4"/>
              <w:left w:val="single" w:color="D8D3C8" w:sz="4"/>
              <w:bottom w:val="single" w:color="D8D3C8" w:sz="4"/>
              <w:right w:val="single" w:color="D8D3C8" w:sz="4"/>
            </w:tcBorders>
            <w:shd w:fill="FBE9E7"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Tameside</w:t>
            </w:r>
          </w:p>
        </w:tc>
        <w:tc>
          <w:tcPr>
            <w:tcW w:type="dxa" w:w="2200"/>
            <w:tcBorders>
              <w:top w:val="single" w:color="D8D3C8" w:sz="4"/>
              <w:left w:val="single" w:color="D8D3C8" w:sz="4"/>
              <w:bottom w:val="single" w:color="D8D3C8" w:sz="4"/>
              <w:right w:val="single" w:color="D8D3C8" w:sz="4"/>
            </w:tcBorders>
            <w:shd w:fill="FBE9E7"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Not held</w:t>
            </w:r>
          </w:p>
        </w:tc>
        <w:tc>
          <w:tcPr>
            <w:tcW w:type="dxa" w:w="2300"/>
            <w:tcBorders>
              <w:top w:val="single" w:color="D8D3C8" w:sz="4"/>
              <w:left w:val="single" w:color="D8D3C8" w:sz="4"/>
              <w:bottom w:val="single" w:color="D8D3C8" w:sz="4"/>
              <w:right w:val="single" w:color="D8D3C8" w:sz="4"/>
            </w:tcBorders>
            <w:shd w:fill="FBE9E7" w:val="clear"/>
            <w:tcMar>
              <w:top w:type="dxa" w:w="50"/>
              <w:left w:type="dxa" w:w="70"/>
              <w:bottom w:type="dxa" w:w="50"/>
              <w:right w:type="dxa" w:w="70"/>
            </w:tcMar>
            <w:vAlign w:val="center"/>
          </w:tcPr>
          <w:p>
            <w:pPr>
              <w:spacing w:after="0" w:line="240"/>
            </w:pPr>
            <w:r>
              <w:rPr>
                <w:rFonts w:ascii="Arial" w:cs="Arial" w:eastAsia="Arial" w:hAnsi="Arial"/>
                <w:color w:val="1A1814"/>
                <w:sz w:val="16"/>
                <w:szCs w:val="16"/>
              </w:rPr>
              <w:t xml:space="preserve">Not held</w:t>
            </w:r>
          </w:p>
        </w:tc>
        <w:tc>
          <w:tcPr>
            <w:tcW w:type="dxa" w:w="2306"/>
            <w:tcBorders>
              <w:top w:val="single" w:color="D8D3C8" w:sz="4"/>
              <w:left w:val="single" w:color="D8D3C8" w:sz="4"/>
              <w:bottom w:val="single" w:color="D8D3C8" w:sz="4"/>
              <w:right w:val="single" w:color="D8D3C8" w:sz="4"/>
            </w:tcBorders>
            <w:shd w:fill="FBE9E7" w:val="clear"/>
            <w:tcMar>
              <w:top w:type="dxa" w:w="50"/>
              <w:left w:type="dxa" w:w="70"/>
              <w:bottom w:type="dxa" w:w="50"/>
              <w:right w:type="dxa" w:w="70"/>
            </w:tcMar>
            <w:vAlign w:val="center"/>
          </w:tcPr>
          <w:p>
            <w:pPr>
              <w:spacing w:after="0" w:line="240"/>
            </w:pPr>
            <w:r>
              <w:rPr>
                <w:rFonts w:ascii="Arial" w:cs="Arial" w:eastAsia="Arial" w:hAnsi="Arial"/>
                <w:color w:val="1A1814"/>
                <w:sz w:val="16"/>
                <w:szCs w:val="16"/>
              </w:rPr>
              <w:t xml:space="preserve">Not held</w:t>
            </w:r>
          </w:p>
        </w:tc>
      </w:tr>
      <w:tr>
        <w:tc>
          <w:tcPr>
            <w:tcW w:type="dxa" w:w="3400"/>
            <w:tcBorders>
              <w:top w:val="single" w:color="D8D3C8" w:sz="4"/>
              <w:left w:val="single" w:color="D8D3C8" w:sz="4"/>
              <w:bottom w:val="single" w:color="D8D3C8" w:sz="4"/>
              <w:right w:val="single" w:color="D8D3C8" w:sz="4"/>
            </w:tcBorders>
            <w:shd w:fill="FBE9E7"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Wigan</w:t>
            </w:r>
          </w:p>
        </w:tc>
        <w:tc>
          <w:tcPr>
            <w:tcW w:type="dxa" w:w="2200"/>
            <w:tcBorders>
              <w:top w:val="single" w:color="D8D3C8" w:sz="4"/>
              <w:left w:val="single" w:color="D8D3C8" w:sz="4"/>
              <w:bottom w:val="single" w:color="D8D3C8" w:sz="4"/>
              <w:right w:val="single" w:color="D8D3C8" w:sz="4"/>
            </w:tcBorders>
            <w:shd w:fill="FBE9E7"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Not held</w:t>
            </w:r>
          </w:p>
        </w:tc>
        <w:tc>
          <w:tcPr>
            <w:tcW w:type="dxa" w:w="2300"/>
            <w:tcBorders>
              <w:top w:val="single" w:color="D8D3C8" w:sz="4"/>
              <w:left w:val="single" w:color="D8D3C8" w:sz="4"/>
              <w:bottom w:val="single" w:color="D8D3C8" w:sz="4"/>
              <w:right w:val="single" w:color="D8D3C8" w:sz="4"/>
            </w:tcBorders>
            <w:shd w:fill="FBE9E7" w:val="clear"/>
            <w:tcMar>
              <w:top w:type="dxa" w:w="50"/>
              <w:left w:type="dxa" w:w="70"/>
              <w:bottom w:type="dxa" w:w="50"/>
              <w:right w:type="dxa" w:w="70"/>
            </w:tcMar>
            <w:vAlign w:val="center"/>
          </w:tcPr>
          <w:p>
            <w:pPr>
              <w:spacing w:after="0" w:line="240"/>
            </w:pPr>
            <w:r>
              <w:rPr>
                <w:rFonts w:ascii="Arial" w:cs="Arial" w:eastAsia="Arial" w:hAnsi="Arial"/>
                <w:color w:val="1A1814"/>
                <w:sz w:val="16"/>
                <w:szCs w:val="16"/>
              </w:rPr>
              <w:t xml:space="preserve">Not held</w:t>
            </w:r>
          </w:p>
        </w:tc>
        <w:tc>
          <w:tcPr>
            <w:tcW w:type="dxa" w:w="2306"/>
            <w:tcBorders>
              <w:top w:val="single" w:color="D8D3C8" w:sz="4"/>
              <w:left w:val="single" w:color="D8D3C8" w:sz="4"/>
              <w:bottom w:val="single" w:color="D8D3C8" w:sz="4"/>
              <w:right w:val="single" w:color="D8D3C8" w:sz="4"/>
            </w:tcBorders>
            <w:shd w:fill="FBE9E7" w:val="clear"/>
            <w:tcMar>
              <w:top w:type="dxa" w:w="50"/>
              <w:left w:type="dxa" w:w="70"/>
              <w:bottom w:type="dxa" w:w="50"/>
              <w:right w:type="dxa" w:w="70"/>
            </w:tcMar>
            <w:vAlign w:val="center"/>
          </w:tcPr>
          <w:p>
            <w:pPr>
              <w:spacing w:after="0" w:line="240"/>
            </w:pPr>
            <w:r>
              <w:rPr>
                <w:rFonts w:ascii="Arial" w:cs="Arial" w:eastAsia="Arial" w:hAnsi="Arial"/>
                <w:color w:val="1A1814"/>
                <w:sz w:val="16"/>
                <w:szCs w:val="16"/>
              </w:rPr>
              <w:t xml:space="preserve">Not held</w:t>
            </w:r>
          </w:p>
        </w:tc>
      </w:tr>
    </w:tbl>
    <w:p>
      <w:pPr>
        <w:spacing w:after="80" w:before="80" w:line="276"/>
      </w:pPr>
      <w:r>
        <w:rPr>
          <w:rFonts w:ascii="Arial" w:cs="Arial" w:eastAsia="Arial" w:hAnsi="Arial"/>
          <w:i/>
          <w:iCs/>
          <w:color w:val="6B6459"/>
          <w:sz w:val="19"/>
          <w:szCs w:val="19"/>
        </w:rPr>
        <w:t xml:space="preserve">Nine suppliers cover GM primary care interpreting (BSL plus spoken). Do not add these averages to the SWL 878 — different clock, different question.</w:t>
      </w:r>
    </w:p>
    <w:p>
      <w:pPr>
        <w:pStyle w:val="Heading2"/>
        <w:spacing w:after="80" w:before="220"/>
      </w:pPr>
      <w:r>
        <w:rPr>
          <w:rFonts w:ascii="Arial" w:cs="Arial" w:eastAsia="Arial" w:hAnsi="Arial"/>
          <w:b/>
          <w:bCs/>
          <w:color w:val="1A1814"/>
          <w:sz w:val="24"/>
          <w:szCs w:val="24"/>
        </w:rPr>
        <w:t xml:space="preserve">Tier B — request counts with no useful map</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700"/>
        <w:gridCol w:w="2706"/>
      </w:tblGrid>
      <w:tr>
        <w:trPr>
          <w:tblHeader/>
        </w:trPr>
        <w:tc>
          <w:tcPr>
            <w:tcW w:type="dxa" w:w="2100"/>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Place</w:t>
            </w:r>
          </w:p>
        </w:tc>
        <w:tc>
          <w:tcPr>
            <w:tcW w:type="dxa" w:w="2700"/>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What was published</w:t>
            </w:r>
          </w:p>
        </w:tc>
        <w:tc>
          <w:tcPr>
            <w:tcW w:type="dxa" w:w="2700"/>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Period / definition</w:t>
            </w:r>
          </w:p>
        </w:tc>
        <w:tc>
          <w:tcPr>
            <w:tcW w:type="dxa" w:w="2706"/>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Use for the team?</w:t>
            </w:r>
          </w:p>
        </w:tc>
      </w:tr>
      <w:tr>
        <w:tc>
          <w:tcPr>
            <w:tcW w:type="dxa" w:w="21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Frimley ICB (FOI 2023/24)</w:t>
            </w:r>
          </w:p>
        </w:tc>
        <w:tc>
          <w:tcPr>
            <w:tcW w:type="dxa" w:w="2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110 face-to-face interpreting requests, of which 32 were BSL. 96% F2F met. One month listed “Deafblind Manual &lt;5”.</w:t>
            </w:r>
          </w:p>
        </w:tc>
        <w:tc>
          <w:tcPr>
            <w:tcW w:type="dxa" w:w="2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Apr 2023–Mar 2024. Small numbers suppressed as “fewer than 5/10”.</w:t>
            </w:r>
          </w:p>
        </w:tc>
        <w:tc>
          <w:tcPr>
            <w:tcW w:type="dxa" w:w="27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Shows BSL can be split out of spoken F2F if you ask. No borough split.</w:t>
            </w:r>
          </w:p>
        </w:tc>
      </w:tr>
      <w:tr>
        <w:tc>
          <w:tcPr>
            <w:tcW w:type="dxa" w:w="21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University Hospitals of North Midlands</w:t>
            </w:r>
          </w:p>
        </w:tc>
        <w:tc>
          <w:tcPr>
            <w:tcW w:type="dxa" w:w="2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Year-by-year BSL and Deafblind request / fulfilled / unfulfilled tables. Example 2023: 311 BSL requests, 309 fulfilled; 1 Deafblind request, fulfilled.</w:t>
            </w:r>
          </w:p>
        </w:tc>
        <w:tc>
          <w:tcPr>
            <w:tcW w:type="dxa" w:w="2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Trust hospitals, not primary care. 2020–2024.</w:t>
            </w:r>
          </w:p>
        </w:tc>
        <w:tc>
          <w:tcPr>
            <w:tcW w:type="dxa" w:w="27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Proof that Deafblind interpreting can be counted separately. Ask every trust this way.</w:t>
            </w:r>
          </w:p>
        </w:tc>
      </w:tr>
      <w:tr>
        <w:tc>
          <w:tcPr>
            <w:tcW w:type="dxa" w:w="21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Doncaster and Bassetlaw Trust</w:t>
            </w:r>
          </w:p>
        </w:tc>
        <w:tc>
          <w:tcPr>
            <w:tcW w:type="dxa" w:w="2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154 BSL/SSE requests, 104 fulfilled. Reasons for gaps “not held — not a KPI”.</w:t>
            </w:r>
          </w:p>
        </w:tc>
        <w:tc>
          <w:tcPr>
            <w:tcW w:type="dxa" w:w="2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2020 to May 2024 pooled.</w:t>
            </w:r>
          </w:p>
        </w:tc>
        <w:tc>
          <w:tcPr>
            <w:tcW w:type="dxa" w:w="27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Typical trust answer: a headline number, no geography, no reason codes.</w:t>
            </w:r>
          </w:p>
        </w:tc>
      </w:tr>
      <w:tr>
        <w:tc>
          <w:tcPr>
            <w:tcW w:type="dxa" w:w="21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See Hear / BBC trust FOI</w:t>
            </w:r>
          </w:p>
        </w:tc>
        <w:tc>
          <w:tcPr>
            <w:tcW w:type="dxa" w:w="2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145 trusts replied. Fulfilment ranged from 23.5% to 100%. 90 trusts had a VRS contract, 43 did not. National framework only requires 92% fulfilment.</w:t>
            </w:r>
          </w:p>
        </w:tc>
        <w:tc>
          <w:tcPr>
            <w:tcW w:type="dxa" w:w="2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Cited in Locked Out, Nov 2025.</w:t>
            </w:r>
          </w:p>
        </w:tc>
        <w:tc>
          <w:tcPr>
            <w:tcW w:type="dxa" w:w="27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Use as the “postcode lottery” evidence. Not a request map.</w:t>
            </w:r>
          </w:p>
        </w:tc>
      </w:tr>
    </w:tbl>
    <w:p>
      <w:pPr>
        <w:pStyle w:val="Heading2"/>
        <w:spacing w:after="80" w:before="220"/>
      </w:pPr>
      <w:r>
        <w:rPr>
          <w:rFonts w:ascii="Arial" w:cs="Arial" w:eastAsia="Arial" w:hAnsi="Arial"/>
          <w:b/>
          <w:bCs/>
          <w:color w:val="1A1814"/>
          <w:sz w:val="24"/>
          <w:szCs w:val="24"/>
        </w:rPr>
        <w:t xml:space="preserve">Tier C — asked, and the data was not held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3706"/>
      </w:tblGrid>
      <w:tr>
        <w:trPr>
          <w:tblHeader/>
        </w:trPr>
        <w:tc>
          <w:tcPr>
            <w:tcW w:type="dxa" w:w="2800"/>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Place</w:t>
            </w:r>
          </w:p>
        </w:tc>
        <w:tc>
          <w:tcPr>
            <w:tcW w:type="dxa" w:w="3700"/>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What they said</w:t>
            </w:r>
          </w:p>
        </w:tc>
        <w:tc>
          <w:tcPr>
            <w:tcW w:type="dxa" w:w="3706"/>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Lesson</w:t>
            </w:r>
          </w:p>
        </w:tc>
      </w:tr>
      <w:tr>
        <w:tc>
          <w:tcPr>
            <w:tcW w:type="dxa" w:w="2800"/>
            <w:tcBorders>
              <w:top w:val="single" w:color="D8D3C8" w:sz="4"/>
              <w:left w:val="single" w:color="D8D3C8" w:sz="4"/>
              <w:bottom w:val="single" w:color="D8D3C8" w:sz="4"/>
              <w:right w:val="single" w:color="D8D3C8" w:sz="4"/>
            </w:tcBorders>
            <w:shd w:fill="FBE9E7"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Hampshire &amp; Isle of Wight ICB</w:t>
            </w:r>
          </w:p>
        </w:tc>
        <w:tc>
          <w:tcPr>
            <w:tcW w:type="dxa" w:w="3700"/>
            <w:tcBorders>
              <w:top w:val="single" w:color="D8D3C8" w:sz="4"/>
              <w:left w:val="single" w:color="D8D3C8" w:sz="4"/>
              <w:bottom w:val="single" w:color="D8D3C8" w:sz="4"/>
              <w:right w:val="single" w:color="D8D3C8" w:sz="4"/>
            </w:tcBorders>
            <w:shd w:fill="FBE9E7"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Feb 2025 FOI: BSL assignment counts and hours for general practice “not held in a centralised system.” Named four BSL suppliers (Deaf Action, ISS, Team Communications, Lip Speaker UK) and Language Line for spoken/video.</w:t>
            </w:r>
          </w:p>
        </w:tc>
        <w:tc>
          <w:tcPr>
            <w:tcW w:type="dxa" w:w="3706"/>
            <w:tcBorders>
              <w:top w:val="single" w:color="D8D3C8" w:sz="4"/>
              <w:left w:val="single" w:color="D8D3C8" w:sz="4"/>
              <w:bottom w:val="single" w:color="D8D3C8" w:sz="4"/>
              <w:right w:val="single" w:color="D8D3C8" w:sz="4"/>
            </w:tcBorders>
            <w:shd w:fill="FBE9E7"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An ICB can name the supplier and still not hold the activity file. Ask the supplier via the ICB, or ask practices.</w:t>
            </w:r>
          </w:p>
        </w:tc>
      </w:tr>
      <w:tr>
        <w:tc>
          <w:tcPr>
            <w:tcW w:type="dxa" w:w="2800"/>
            <w:tcBorders>
              <w:top w:val="single" w:color="D8D3C8" w:sz="4"/>
              <w:left w:val="single" w:color="D8D3C8" w:sz="4"/>
              <w:bottom w:val="single" w:color="D8D3C8" w:sz="4"/>
              <w:right w:val="single" w:color="D8D3C8" w:sz="4"/>
            </w:tcBorders>
            <w:shd w:fill="FBE9E7"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Lancashire Teaching Hospitals</w:t>
            </w:r>
          </w:p>
        </w:tc>
        <w:tc>
          <w:tcPr>
            <w:tcW w:type="dxa" w:w="3700"/>
            <w:tcBorders>
              <w:top w:val="single" w:color="D8D3C8" w:sz="4"/>
              <w:left w:val="single" w:color="D8D3C8" w:sz="4"/>
              <w:bottom w:val="single" w:color="D8D3C8" w:sz="4"/>
              <w:right w:val="single" w:color="D8D3C8" w:sz="4"/>
            </w:tcBorders>
            <w:shd w:fill="FBE9E7"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Request volumes by service type, including BSL: “information not held centrally.” Fulfilment % also not held.</w:t>
            </w:r>
          </w:p>
        </w:tc>
        <w:tc>
          <w:tcPr>
            <w:tcW w:type="dxa" w:w="3706"/>
            <w:tcBorders>
              <w:top w:val="single" w:color="D8D3C8" w:sz="4"/>
              <w:left w:val="single" w:color="D8D3C8" w:sz="4"/>
              <w:bottom w:val="single" w:color="D8D3C8" w:sz="4"/>
              <w:right w:val="single" w:color="D8D3C8" w:sz="4"/>
            </w:tcBorders>
            <w:shd w:fill="FBE9E7"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“Not held centrally” usually means the agency portal has it. Ask the ICB to extract from the contractor.</w:t>
            </w:r>
          </w:p>
        </w:tc>
      </w:tr>
      <w:tr>
        <w:tc>
          <w:tcPr>
            <w:tcW w:type="dxa" w:w="2800"/>
            <w:tcBorders>
              <w:top w:val="single" w:color="D8D3C8" w:sz="4"/>
              <w:left w:val="single" w:color="D8D3C8" w:sz="4"/>
              <w:bottom w:val="single" w:color="D8D3C8" w:sz="4"/>
              <w:right w:val="single" w:color="D8D3C8" w:sz="4"/>
            </w:tcBorders>
            <w:shd w:fill="FDF2D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Birmingham &amp; Solihull ICB</w:t>
            </w:r>
          </w:p>
        </w:tc>
        <w:tc>
          <w:tcPr>
            <w:tcW w:type="dxa" w:w="3700"/>
            <w:tcBorders>
              <w:top w:val="single" w:color="D8D3C8" w:sz="4"/>
              <w:left w:val="single" w:color="D8D3C8" w:sz="4"/>
              <w:bottom w:val="single" w:color="D8D3C8" w:sz="4"/>
              <w:right w:val="single" w:color="D8D3C8" w:sz="4"/>
            </w:tcBorders>
            <w:shd w:fill="FDF2D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On-site non-spoken 2024 listed as “2 written” — category collapse. Spoken and BSL mixed in the same return.</w:t>
            </w:r>
          </w:p>
        </w:tc>
        <w:tc>
          <w:tcPr>
            <w:tcW w:type="dxa" w:w="3706"/>
            <w:tcBorders>
              <w:top w:val="single" w:color="D8D3C8" w:sz="4"/>
              <w:left w:val="single" w:color="D8D3C8" w:sz="4"/>
              <w:bottom w:val="single" w:color="D8D3C8" w:sz="4"/>
              <w:right w:val="single" w:color="D8D3C8" w:sz="4"/>
            </w:tcBorders>
            <w:shd w:fill="FDF2D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Always specify “British Sign Language separately from spoken language and from written translation.”</w:t>
            </w:r>
          </w:p>
        </w:tc>
      </w:tr>
      <w:tr>
        <w:tc>
          <w:tcPr>
            <w:tcW w:type="dxa" w:w="2800"/>
            <w:tcBorders>
              <w:top w:val="single" w:color="D8D3C8" w:sz="4"/>
              <w:left w:val="single" w:color="D8D3C8" w:sz="4"/>
              <w:bottom w:val="single" w:color="D8D3C8" w:sz="4"/>
              <w:right w:val="single" w:color="D8D3C8" w:sz="4"/>
            </w:tcBorders>
            <w:shd w:fill="FBE9E7"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Most other ICBs / Healthwatch areas</w:t>
            </w:r>
          </w:p>
        </w:tc>
        <w:tc>
          <w:tcPr>
            <w:tcW w:type="dxa" w:w="3700"/>
            <w:tcBorders>
              <w:top w:val="single" w:color="D8D3C8" w:sz="4"/>
              <w:left w:val="single" w:color="D8D3C8" w:sz="4"/>
              <w:bottom w:val="single" w:color="D8D3C8" w:sz="4"/>
              <w:right w:val="single" w:color="D8D3C8" w:sz="4"/>
            </w:tcBorders>
            <w:shd w:fill="FBE9E7"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Public reports discuss barriers, contracts or case studies. They do not publish request counts by place. Bedfordshire, Luton &amp; Milton Keynes; Lancashire &amp; South Cumbria; and SEL Talking Therapies tenders are examples.</w:t>
            </w:r>
          </w:p>
        </w:tc>
        <w:tc>
          <w:tcPr>
            <w:tcW w:type="dxa" w:w="3706"/>
            <w:tcBorders>
              <w:top w:val="single" w:color="D8D3C8" w:sz="4"/>
              <w:left w:val="single" w:color="D8D3C8" w:sz="4"/>
              <w:bottom w:val="single" w:color="D8D3C8" w:sz="4"/>
              <w:right w:val="single" w:color="D8D3C8" w:sz="4"/>
            </w:tcBorders>
            <w:shd w:fill="FBE9E7"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Absence of a number is the finding. Log it as a gap, do not invent a rate.</w:t>
            </w:r>
          </w:p>
        </w:tc>
      </w:tr>
    </w:tbl>
    <w:p>
      <w:pPr>
        <w:pStyle w:val="Heading1"/>
        <w:spacing w:after="120" w:before="280"/>
      </w:pPr>
      <w:r>
        <w:rPr>
          <w:rFonts w:ascii="Arial" w:cs="Arial" w:eastAsia="Arial" w:hAnsi="Arial"/>
          <w:b/>
          <w:bCs/>
          <w:color w:val="0B3D91"/>
          <w:sz w:val="28"/>
          <w:szCs w:val="28"/>
        </w:rPr>
        <w:t xml:space="preserve">3. Why the gap exists</w:t>
      </w:r>
    </w:p>
    <w:p>
      <w:pPr>
        <w:pStyle w:val="ListParagraph"/>
        <w:numPr>
          <w:ilvl w:val="0"/>
          <w:numId w:val="2"/>
        </w:numPr>
        <w:spacing w:after="60" w:line="276"/>
      </w:pPr>
      <w:r>
        <w:rPr>
          <w:rFonts w:ascii="Arial" w:cs="Arial" w:eastAsia="Arial" w:hAnsi="Arial"/>
          <w:sz w:val="21"/>
          <w:szCs w:val="21"/>
        </w:rPr>
        <w:t xml:space="preserve">The booking sits with the language agency, not the ICB. If the contract does not require a monthly activity file by borough and by language, the ICB legally “does not hold” it.</w:t>
      </w:r>
    </w:p>
    <w:p>
      <w:pPr>
        <w:pStyle w:val="ListParagraph"/>
        <w:numPr>
          <w:ilvl w:val="0"/>
          <w:numId w:val="2"/>
        </w:numPr>
        <w:spacing w:after="60" w:line="276"/>
      </w:pPr>
      <w:r>
        <w:rPr>
          <w:rFonts w:ascii="Arial" w:cs="Arial" w:eastAsia="Arial" w:hAnsi="Arial"/>
          <w:sz w:val="21"/>
          <w:szCs w:val="21"/>
        </w:rPr>
        <w:t xml:space="preserve">Spoken and non-spoken interpreting are often bought on one contract. BSL disappears inside “face-to-face”.</w:t>
      </w:r>
    </w:p>
    <w:p>
      <w:pPr>
        <w:pStyle w:val="ListParagraph"/>
        <w:numPr>
          <w:ilvl w:val="0"/>
          <w:numId w:val="2"/>
        </w:numPr>
        <w:spacing w:after="60" w:line="276"/>
      </w:pPr>
      <w:r>
        <w:rPr>
          <w:rFonts w:ascii="Arial" w:cs="Arial" w:eastAsia="Arial" w:hAnsi="Arial"/>
          <w:sz w:val="21"/>
          <w:szCs w:val="21"/>
        </w:rPr>
        <w:t xml:space="preserve">The Accessible Information Standard requires needs to be recorded on the patient record. It does not require anyone to publish how often an interpreter was actually booked or turned up.</w:t>
      </w:r>
    </w:p>
    <w:p>
      <w:pPr>
        <w:pStyle w:val="ListParagraph"/>
        <w:numPr>
          <w:ilvl w:val="0"/>
          <w:numId w:val="2"/>
        </w:numPr>
        <w:spacing w:after="60" w:line="276"/>
      </w:pPr>
      <w:r>
        <w:rPr>
          <w:rFonts w:ascii="Arial" w:cs="Arial" w:eastAsia="Arial" w:hAnsi="Arial"/>
          <w:sz w:val="21"/>
          <w:szCs w:val="21"/>
        </w:rPr>
        <w:t xml:space="preserve">The national framework only requires 92% fulfilment. Trusts set their own bar. Monitoring of reason codes is weak.</w:t>
      </w:r>
    </w:p>
    <w:p>
      <w:pPr>
        <w:pStyle w:val="ListParagraph"/>
        <w:numPr>
          <w:ilvl w:val="0"/>
          <w:numId w:val="2"/>
        </w:numPr>
        <w:spacing w:after="60" w:line="276"/>
      </w:pPr>
      <w:r>
        <w:rPr>
          <w:rFonts w:ascii="Arial" w:cs="Arial" w:eastAsia="Arial" w:hAnsi="Arial"/>
          <w:sz w:val="21"/>
          <w:szCs w:val="21"/>
        </w:rPr>
        <w:t xml:space="preserve">Small numbers are suppressed (“fewer than 5”). That is correct for identity protection, and it is why borough tables need an ICB extract, not a practice-level FOI.</w:t>
      </w:r>
    </w:p>
    <w:p>
      <w:pPr>
        <w:pStyle w:val="ListParagraph"/>
        <w:numPr>
          <w:ilvl w:val="0"/>
          <w:numId w:val="2"/>
        </w:numPr>
        <w:spacing w:after="80" w:line="276"/>
      </w:pPr>
      <w:r>
        <w:rPr>
          <w:rFonts w:ascii="Arial" w:cs="Arial" w:eastAsia="Arial" w:hAnsi="Arial"/>
          <w:sz w:val="21"/>
          <w:szCs w:val="21"/>
        </w:rPr>
        <w:t xml:space="preserve">Deafblind interpreting is a separate NRCPD register (19 people nationally as of late August 2026). Most systems never code it as its own line.</w:t>
      </w:r>
    </w:p>
    <w:p>
      <w:pPr>
        <w:pStyle w:val="ListParagraph"/>
        <w:numPr>
          <w:ilvl w:val="0"/>
          <w:numId w:val="2"/>
        </w:numPr>
        <w:spacing w:after="80" w:line="276"/>
      </w:pPr>
      <w:r>
        <w:rPr>
          <w:rFonts w:ascii="Arial" w:cs="Arial" w:eastAsia="Arial" w:hAnsi="Arial"/>
          <w:sz w:val="21"/>
          <w:szCs w:val="21"/>
        </w:rPr>
        <w:t xml:space="preserve">The FOI cost limit (Section 12) is £450 for most bodies in this pack (18 hours at £25/hour) — roughly 25 for a full council. A body citing Section 12 has not refused the topic, only the scope. Narrow with Template T6 rather than dropping the request.</w:t>
      </w:r>
    </w:p>
    <w:p>
      <w:pPr>
        <w:pStyle w:val="ListParagraph"/>
        <w:numPr>
          <w:ilvl w:val="0"/>
          <w:numId w:val="2"/>
        </w:numPr>
        <w:spacing w:after="80" w:line="276"/>
      </w:pPr>
      <w:r>
        <w:rPr>
          <w:rFonts w:ascii="Arial" w:cs="Arial" w:eastAsia="Arial" w:hAnsi="Arial"/>
          <w:sz w:val="21"/>
          <w:szCs w:val="21"/>
        </w:rPr>
        <w:t xml:space="preserve">Community health services (e.g. Central London Community Healthcare, which covers Wandsworth and Merton) and NHS dentistry, commissioned by ICBs since 2023, sit outside the 878 and outside every current template's named scope. Some community providers are CICs or social enterprises and are not directly FOI-able — route the ask through the commissioning ICB instead.</w:t>
      </w:r>
    </w:p>
    <w:p>
      <w:pPr>
        <w:pStyle w:val="Heading1"/>
        <w:spacing w:after="120" w:before="280"/>
      </w:pPr>
      <w:r>
        <w:rPr>
          <w:rFonts w:ascii="Arial" w:cs="Arial" w:eastAsia="Arial" w:hAnsi="Arial"/>
          <w:b/>
          <w:bCs/>
          <w:color w:val="0B3D91"/>
          <w:sz w:val="28"/>
          <w:szCs w:val="28"/>
        </w:rPr>
        <w:t xml:space="preserve">4. Ready FOI pack — copy, send, log</w:t>
      </w:r>
    </w:p>
    <w:p>
      <w:pPr>
        <w:spacing w:after="80" w:before="0" w:line="276"/>
      </w:pPr>
      <w:r>
        <w:rPr>
          <w:rFonts w:ascii="Arial" w:cs="Arial" w:eastAsia="Arial" w:hAnsi="Arial"/>
          <w:color w:val="1A1814"/>
          <w:sz w:val="21"/>
          <w:szCs w:val="21"/>
        </w:rPr>
        <w:t xml:space="preserve">Send to the ICB first (they commission GP interpreting). If they say “not held”, send the same questions to the named supplier via the ICB, and to the main acute and mental-health trusts in the footprint. Use WhatDoTheyKnow so the answer stays public.</w:t>
      </w:r>
    </w:p>
    <w:p>
      <w:pPr>
        <w:spacing w:after="80" w:before="80" w:line="276"/>
      </w:pPr>
      <w:r>
        <w:rPr>
          <w:rFonts w:ascii="Arial" w:cs="Arial" w:eastAsia="Arial" w:hAnsi="Arial"/>
          <w:b/>
          <w:bCs/>
          <w:color w:val="1A1814"/>
          <w:sz w:val="21"/>
          <w:szCs w:val="21"/>
        </w:rPr>
        <w:t xml:space="preserve">Subject line: FOI — British Sign Language and Deafblind interpreter activity, by place</w:t>
      </w:r>
    </w:p>
    <w:p>
      <w:pPr>
        <w:spacing w:after="80" w:before="80" w:line="276"/>
      </w:pPr>
      <w:r>
        <w:rPr>
          <w:rFonts w:ascii="Arial" w:cs="Arial" w:eastAsia="Arial" w:hAnsi="Arial"/>
          <w:color w:val="1A1814"/>
          <w:sz w:val="21"/>
          <w:szCs w:val="21"/>
        </w:rPr>
        <w:t xml:space="preserve">Please provide the following for primary care (GP practices) and, separately, for any other services the ICB commissions.</w:t>
      </w:r>
    </w:p>
    <w:p>
      <w:pPr>
        <w:pStyle w:val="ListParagraph"/>
        <w:numPr>
          <w:ilvl w:val="0"/>
          <w:numId w:val="3"/>
        </w:numPr>
        <w:spacing w:after="50" w:line="260"/>
      </w:pPr>
      <w:r>
        <w:rPr>
          <w:rFonts w:ascii="Arial" w:cs="Arial" w:eastAsia="Arial" w:hAnsi="Arial"/>
          <w:sz w:val="20"/>
          <w:szCs w:val="20"/>
        </w:rPr>
        <w:t xml:space="preserve">Number of British Sign Language (BSL) interpreter requests, by local authority / borough / locality, for each month from October 2024 to the most recent complete month. Count requests, not unique patients, and say so.</w:t>
      </w:r>
    </w:p>
    <w:p>
      <w:pPr>
        <w:pStyle w:val="ListParagraph"/>
        <w:numPr>
          <w:ilvl w:val="0"/>
          <w:numId w:val="3"/>
        </w:numPr>
        <w:spacing w:after="50" w:line="260"/>
      </w:pPr>
      <w:r>
        <w:rPr>
          <w:rFonts w:ascii="Arial" w:cs="Arial" w:eastAsia="Arial" w:hAnsi="Arial"/>
          <w:sz w:val="20"/>
          <w:szCs w:val="20"/>
        </w:rPr>
        <w:t xml:space="preserve">Of those requests: how many were fulfilled (interpreter attended), how many were cancelled by the service, how many were cancelled by the patient, how many the supplier could not fill. Give the main reason codes.</w:t>
      </w:r>
    </w:p>
    <w:p>
      <w:pPr>
        <w:pStyle w:val="ListParagraph"/>
        <w:numPr>
          <w:ilvl w:val="0"/>
          <w:numId w:val="3"/>
        </w:numPr>
        <w:spacing w:after="50" w:line="260"/>
      </w:pPr>
      <w:r>
        <w:rPr>
          <w:rFonts w:ascii="Arial" w:cs="Arial" w:eastAsia="Arial" w:hAnsi="Arial"/>
          <w:sz w:val="20"/>
          <w:szCs w:val="20"/>
        </w:rPr>
        <w:t xml:space="preserve">Split by channel: in-person BSL, video / on-demand BSL, other.</w:t>
      </w:r>
    </w:p>
    <w:p>
      <w:pPr>
        <w:pStyle w:val="ListParagraph"/>
        <w:numPr>
          <w:ilvl w:val="0"/>
          <w:numId w:val="3"/>
        </w:numPr>
        <w:spacing w:after="50" w:line="260"/>
      </w:pPr>
      <w:r>
        <w:rPr>
          <w:rFonts w:ascii="Arial" w:cs="Arial" w:eastAsia="Arial" w:hAnsi="Arial"/>
          <w:sz w:val="20"/>
          <w:szCs w:val="20"/>
        </w:rPr>
        <w:t xml:space="preserve">The same four fields for Deafblind / deafblind-manual / hands-on / visual-frame interpreting, counted separately from BSL.</w:t>
      </w:r>
    </w:p>
    <w:p>
      <w:pPr>
        <w:pStyle w:val="ListParagraph"/>
        <w:numPr>
          <w:ilvl w:val="0"/>
          <w:numId w:val="3"/>
        </w:numPr>
        <w:spacing w:after="50" w:line="260"/>
      </w:pPr>
      <w:r>
        <w:rPr>
          <w:rFonts w:ascii="Arial" w:cs="Arial" w:eastAsia="Arial" w:hAnsi="Arial"/>
          <w:sz w:val="20"/>
          <w:szCs w:val="20"/>
        </w:rPr>
        <w:t xml:space="preserve">Name of the current supplier(s), contract start date, whether spoken and non-spoken are on the same contract, and the contracted fulfilment target.</w:t>
      </w:r>
    </w:p>
    <w:p>
      <w:pPr>
        <w:pStyle w:val="ListParagraph"/>
        <w:numPr>
          <w:ilvl w:val="0"/>
          <w:numId w:val="3"/>
        </w:numPr>
        <w:spacing w:after="50" w:line="260"/>
      </w:pPr>
      <w:r>
        <w:rPr>
          <w:rFonts w:ascii="Arial" w:cs="Arial" w:eastAsia="Arial" w:hAnsi="Arial"/>
          <w:sz w:val="20"/>
          <w:szCs w:val="20"/>
        </w:rPr>
        <w:t xml:space="preserve">Total spend on BSL interpreting and, separately, on Deafblind interpreting, for 2024/25 and 2025/26 year to date.</w:t>
      </w:r>
    </w:p>
    <w:p>
      <w:pPr>
        <w:pStyle w:val="ListParagraph"/>
        <w:numPr>
          <w:ilvl w:val="0"/>
          <w:numId w:val="3"/>
        </w:numPr>
        <w:spacing w:after="80" w:line="260"/>
      </w:pPr>
      <w:r>
        <w:rPr>
          <w:rFonts w:ascii="Arial" w:cs="Arial" w:eastAsia="Arial" w:hAnsi="Arial"/>
          <w:sz w:val="20"/>
          <w:szCs w:val="20"/>
        </w:rPr>
        <w:t xml:space="preserve">If you do not hold the activity file, name the contractor who does and confirm whether the ICB can extract it under the contract. Please do not collapse BSL into “face-to-face” or “non-spoken”.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
        <w:gridCol w:w="10086"/>
      </w:tblGrid>
      <w:tr>
        <w:tc>
          <w:tcPr>
            <w:tcW w:type="dxa" w:w="120"/>
            <w:tcBorders>
              <w:top w:val="none" w:color="FFFFFF" w:sz="0"/>
              <w:left w:val="none" w:color="FFFFFF" w:sz="0"/>
              <w:bottom w:val="none" w:color="FFFFFF" w:sz="0"/>
              <w:right w:val="none" w:color="FFFFFF" w:sz="0"/>
            </w:tcBorders>
            <w:shd w:fill="1565C0" w:val="clear"/>
          </w:tcPr>
          <w:p/>
        </w:tc>
        <w:tc>
          <w:tcPr>
            <w:tcW w:type="dxa" w:w="10086"/>
            <w:tcBorders>
              <w:top w:val="none" w:color="FFFFFF" w:sz="0"/>
              <w:left w:val="none" w:color="FFFFFF" w:sz="0"/>
              <w:bottom w:val="none" w:color="FFFFFF" w:sz="0"/>
              <w:right w:val="none" w:color="FFFFFF" w:sz="0"/>
            </w:tcBorders>
            <w:shd w:fill="E6F1FB" w:val="clear"/>
            <w:tcMar>
              <w:top w:type="dxa" w:w="100"/>
              <w:left w:type="dxa" w:w="140"/>
              <w:bottom w:type="dxa" w:w="100"/>
              <w:right w:type="dxa" w:w="140"/>
            </w:tcMar>
          </w:tcPr>
          <w:p>
            <w:pPr>
              <w:spacing w:after="40" w:before="0" w:line="276"/>
            </w:pPr>
            <w:r>
              <w:rPr>
                <w:rFonts w:ascii="Arial" w:cs="Arial" w:eastAsia="Arial" w:hAnsi="Arial"/>
                <w:b/>
                <w:bCs/>
                <w:color w:val="1565C0"/>
                <w:sz w:val="20"/>
                <w:szCs w:val="20"/>
              </w:rPr>
              <w:t xml:space="preserve">If they refuse on cost (section 12)</w:t>
            </w:r>
          </w:p>
          <w:p>
            <w:pPr>
              <w:spacing w:after="0" w:before="0" w:line="276"/>
            </w:pPr>
            <w:r>
              <w:rPr>
                <w:rFonts w:ascii="Arial" w:cs="Arial" w:eastAsia="Arial" w:hAnsi="Arial"/>
                <w:color w:val="1A1814"/>
                <w:sz w:val="20"/>
                <w:szCs w:val="20"/>
              </w:rPr>
              <w:t xml:space="preserve">Narrow to one year and to BSL only. Drop spend. Ask for an annual total plus a borough split, not month-by-month. That is how SWL produced 878 numbers without a research team.</w:t>
            </w:r>
          </w:p>
        </w:tc>
      </w:tr>
    </w:tbl>
    <w:p>
      <w:pPr>
        <w:pStyle w:val="Heading1"/>
        <w:spacing w:after="120" w:before="280"/>
      </w:pPr>
      <w:r>
        <w:rPr>
          <w:rFonts w:ascii="Arial" w:cs="Arial" w:eastAsia="Arial" w:hAnsi="Arial"/>
          <w:b/>
          <w:bCs/>
          <w:color w:val="0B3D91"/>
          <w:sz w:val="28"/>
          <w:szCs w:val="28"/>
        </w:rPr>
        <w:t xml:space="preserve">5. Who the SWL team should ask next</w:t>
      </w:r>
    </w:p>
    <w:p>
      <w:pPr>
        <w:spacing w:after="80" w:before="0" w:line="276"/>
      </w:pPr>
      <w:r>
        <w:rPr>
          <w:rFonts w:ascii="Arial" w:cs="Arial" w:eastAsia="Arial" w:hAnsi="Arial"/>
          <w:color w:val="1A1814"/>
          <w:sz w:val="21"/>
          <w:szCs w:val="21"/>
        </w:rPr>
        <w:t xml:space="preserve">Priority is the six SWL councils (deaf / sensory registers and Deafblind assessments) plus the London ICBs that border the footprint. Trust FOIs fill hospital and mental-health gaps the 878 table cannot.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700"/>
        <w:gridCol w:w="2706"/>
      </w:tblGrid>
      <w:tr>
        <w:trPr>
          <w:tblHeader/>
        </w:trPr>
        <w:tc>
          <w:tcPr>
            <w:tcW w:type="dxa" w:w="2100"/>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Target</w:t>
            </w:r>
          </w:p>
        </w:tc>
        <w:tc>
          <w:tcPr>
            <w:tcW w:type="dxa" w:w="2700"/>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Ask for</w:t>
            </w:r>
          </w:p>
        </w:tc>
        <w:tc>
          <w:tcPr>
            <w:tcW w:type="dxa" w:w="2700"/>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Why</w:t>
            </w:r>
          </w:p>
        </w:tc>
        <w:tc>
          <w:tcPr>
            <w:tcW w:type="dxa" w:w="2706"/>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Status to log</w:t>
            </w:r>
          </w:p>
        </w:tc>
      </w:tr>
      <w:tr>
        <w:tc>
          <w:tcPr>
            <w:tcW w:type="dxa" w:w="2100"/>
            <w:tcBorders>
              <w:top w:val="single" w:color="D8D3C8" w:sz="4"/>
              <w:left w:val="single" w:color="D8D3C8" w:sz="4"/>
              <w:bottom w:val="single" w:color="D8D3C8" w:sz="4"/>
              <w:right w:val="single" w:color="D8D3C8" w:sz="4"/>
            </w:tcBorders>
            <w:shd w:fill="E6F1FB"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Wandsworth, Croydon, Sutton, Merton, Kingston, Richmond councils</w:t>
            </w:r>
          </w:p>
        </w:tc>
        <w:tc>
          <w:tcPr>
            <w:tcW w:type="dxa" w:w="2700"/>
            <w:tcBorders>
              <w:top w:val="single" w:color="D8D3C8" w:sz="4"/>
              <w:left w:val="single" w:color="D8D3C8" w:sz="4"/>
              <w:bottom w:val="single" w:color="D8D3C8" w:sz="4"/>
              <w:right w:val="single" w:color="D8D3C8" w:sz="4"/>
            </w:tcBorders>
            <w:shd w:fill="E6F1FB"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People on the voluntary deaf / hard-of-hearing register, by age band. Number of Deafblind assessments under Care Act / Deafblind guidance in the last 3 years. Number of MSI / dual-sensory children known to the sensory service.</w:t>
            </w:r>
          </w:p>
        </w:tc>
        <w:tc>
          <w:tcPr>
            <w:tcW w:type="dxa" w:w="2700"/>
            <w:tcBorders>
              <w:top w:val="single" w:color="D8D3C8" w:sz="4"/>
              <w:left w:val="single" w:color="D8D3C8" w:sz="4"/>
              <w:bottom w:val="single" w:color="D8D3C8" w:sz="4"/>
              <w:right w:val="single" w:color="D8D3C8" w:sz="4"/>
            </w:tcBorders>
            <w:shd w:fill="E6F1FB"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No measured Deafblind figure exists for SWL. The 8,000–11,000 range is Sense prevalence applied to population, not a register.</w:t>
            </w:r>
          </w:p>
        </w:tc>
        <w:tc>
          <w:tcPr>
            <w:tcW w:type="dxa" w:w="2706"/>
            <w:tcBorders>
              <w:top w:val="single" w:color="D8D3C8" w:sz="4"/>
              <w:left w:val="single" w:color="D8D3C8" w:sz="4"/>
              <w:bottom w:val="single" w:color="D8D3C8" w:sz="4"/>
              <w:right w:val="single" w:color="D8D3C8" w:sz="4"/>
            </w:tcBorders>
            <w:shd w:fill="FDF2D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Not yet asked — first wave.</w:t>
            </w:r>
          </w:p>
        </w:tc>
      </w:tr>
      <w:tr>
        <w:tc>
          <w:tcPr>
            <w:tcW w:type="dxa" w:w="21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NHS South West London ICB (follow-up)</w:t>
            </w:r>
          </w:p>
        </w:tc>
        <w:tc>
          <w:tcPr>
            <w:tcW w:type="dxa" w:w="2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Update the 878 series past June 2025. Add fulfilment / DNA / supplier-unable. Add hospital and mental-health if the ICB holds any.</w:t>
            </w:r>
          </w:p>
        </w:tc>
        <w:tc>
          <w:tcPr>
            <w:tcW w:type="dxa" w:w="2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You already have the request stock. Fulfilment is the missing half.</w:t>
            </w:r>
          </w:p>
        </w:tc>
        <w:tc>
          <w:tcPr>
            <w:tcW w:type="dxa" w:w="2706"/>
            <w:tcBorders>
              <w:top w:val="single" w:color="D8D3C8" w:sz="4"/>
              <w:left w:val="single" w:color="D8D3C8" w:sz="4"/>
              <w:bottom w:val="single" w:color="D8D3C8" w:sz="4"/>
              <w:right w:val="single" w:color="D8D3C8" w:sz="4"/>
            </w:tcBorders>
            <w:shd w:fill="FDF2D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Partial — requests only.</w:t>
            </w:r>
          </w:p>
        </w:tc>
      </w:tr>
      <w:tr>
        <w:tc>
          <w:tcPr>
            <w:tcW w:type="dxa" w:w="21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St George’s, Epsom &amp; St Helier, Kingston, Croydon Health, SWLSTG</w:t>
            </w:r>
          </w:p>
        </w:tc>
        <w:tc>
          <w:tcPr>
            <w:tcW w:type="dxa" w:w="2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Trust-level BSL and Deafblind request / fulfilled / unfulfilled, last 24 months. VRS contract yes/no.</w:t>
            </w:r>
          </w:p>
        </w:tc>
        <w:tc>
          <w:tcPr>
            <w:tcW w:type="dxa" w:w="2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The 878 is GP only. Springfield / Tolworth (SWLSTG) sit in Wandsworth and Kingston.</w:t>
            </w:r>
          </w:p>
        </w:tc>
        <w:tc>
          <w:tcPr>
            <w:tcW w:type="dxa" w:w="2706"/>
            <w:tcBorders>
              <w:top w:val="single" w:color="D8D3C8" w:sz="4"/>
              <w:left w:val="single" w:color="D8D3C8" w:sz="4"/>
              <w:bottom w:val="single" w:color="D8D3C8" w:sz="4"/>
              <w:right w:val="single" w:color="D8D3C8" w:sz="4"/>
            </w:tcBorders>
            <w:shd w:fill="FDF2D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Not yet asked — first wave.</w:t>
            </w:r>
          </w:p>
        </w:tc>
      </w:tr>
      <w:tr>
        <w:tc>
          <w:tcPr>
            <w:tcW w:type="dxa" w:w="21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NHS South East London ICB</w:t>
            </w:r>
          </w:p>
        </w:tc>
        <w:tc>
          <w:tcPr>
            <w:tcW w:type="dxa" w:w="2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Same FOI pack as section 4. Note Croydon is SWL, not SEL, despite outer-south geography.</w:t>
            </w:r>
          </w:p>
        </w:tc>
        <w:tc>
          <w:tcPr>
            <w:tcW w:type="dxa" w:w="2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Closest neighbour. SEL is commissioning a BSL Talking Therapies service from July 2026.</w:t>
            </w:r>
          </w:p>
        </w:tc>
        <w:tc>
          <w:tcPr>
            <w:tcW w:type="dxa" w:w="2706"/>
            <w:tcBorders>
              <w:top w:val="single" w:color="D8D3C8" w:sz="4"/>
              <w:left w:val="single" w:color="D8D3C8" w:sz="4"/>
              <w:bottom w:val="single" w:color="D8D3C8" w:sz="4"/>
              <w:right w:val="single" w:color="D8D3C8" w:sz="4"/>
            </w:tcBorders>
            <w:shd w:fill="FBE9E7"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No public request table.</w:t>
            </w:r>
          </w:p>
        </w:tc>
      </w:tr>
      <w:tr>
        <w:tc>
          <w:tcPr>
            <w:tcW w:type="dxa" w:w="21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NHS North West London ICB</w:t>
            </w:r>
          </w:p>
        </w:tc>
        <w:tc>
          <w:tcPr>
            <w:tcW w:type="dxa" w:w="2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Same FOI pack. Healthwatch SWL already logged a BSL user whose GP sits in the NWL footprint.</w:t>
            </w:r>
          </w:p>
        </w:tc>
        <w:tc>
          <w:tcPr>
            <w:tcW w:type="dxa" w:w="2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Patients cross ICB lines. NWL numbers stop the “SWL-only” illusion.</w:t>
            </w:r>
          </w:p>
        </w:tc>
        <w:tc>
          <w:tcPr>
            <w:tcW w:type="dxa" w:w="2706"/>
            <w:tcBorders>
              <w:top w:val="single" w:color="D8D3C8" w:sz="4"/>
              <w:left w:val="single" w:color="D8D3C8" w:sz="4"/>
              <w:bottom w:val="single" w:color="D8D3C8" w:sz="4"/>
              <w:right w:val="single" w:color="D8D3C8" w:sz="4"/>
            </w:tcBorders>
            <w:shd w:fill="FBE9E7"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No public request table.</w:t>
            </w:r>
          </w:p>
        </w:tc>
      </w:tr>
      <w:tr>
        <w:tc>
          <w:tcPr>
            <w:tcW w:type="dxa" w:w="21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NHS North Central / North East London ICBs</w:t>
            </w:r>
          </w:p>
        </w:tc>
        <w:tc>
          <w:tcPr>
            <w:tcW w:type="dxa" w:w="2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Same FOI pack if capacity allows. Lower priority than SEL and NWL.</w:t>
            </w:r>
          </w:p>
        </w:tc>
        <w:tc>
          <w:tcPr>
            <w:tcW w:type="dxa" w:w="2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Completes the five London ICBs. Oak Lodge draws students from 25 boroughs.</w:t>
            </w:r>
          </w:p>
        </w:tc>
        <w:tc>
          <w:tcPr>
            <w:tcW w:type="dxa" w:w="2706"/>
            <w:tcBorders>
              <w:top w:val="single" w:color="D8D3C8" w:sz="4"/>
              <w:left w:val="single" w:color="D8D3C8" w:sz="4"/>
              <w:bottom w:val="single" w:color="D8D3C8" w:sz="4"/>
              <w:right w:val="single" w:color="D8D3C8" w:sz="4"/>
            </w:tcBorders>
            <w:shd w:fill="FBE9E7"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No public request table.</w:t>
            </w:r>
          </w:p>
        </w:tc>
      </w:tr>
    </w:tbl>
    <w:p>
      <w:pPr>
        <w:pStyle w:val="Heading1"/>
        <w:spacing w:after="120" w:before="280"/>
      </w:pPr>
      <w:r>
        <w:rPr>
          <w:rFonts w:ascii="Arial" w:cs="Arial" w:eastAsia="Arial" w:hAnsi="Arial"/>
          <w:b/>
          <w:bCs/>
          <w:color w:val="0B3D91"/>
          <w:sz w:val="28"/>
          <w:szCs w:val="28"/>
        </w:rPr>
        <w:t xml:space="preserve">6. How to log an answer so the next volunteer can use it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8006"/>
      </w:tblGrid>
      <w:tr>
        <w:trPr>
          <w:tblHeader/>
        </w:trPr>
        <w:tc>
          <w:tcPr>
            <w:tcW w:type="dxa" w:w="2200"/>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Field</w:t>
            </w:r>
          </w:p>
        </w:tc>
        <w:tc>
          <w:tcPr>
            <w:tcW w:type="dxa" w:w="8006"/>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What to write</w:t>
            </w:r>
          </w:p>
        </w:tc>
      </w:tr>
      <w:tr>
        <w:tc>
          <w:tcPr>
            <w:tcW w:type="dxa" w:w="22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Body + date</w:t>
            </w:r>
          </w:p>
        </w:tc>
        <w:tc>
          <w:tcPr>
            <w:tcW w:type="dxa" w:w="80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ICB / trust / council name, FOI reference, date sent, date due (20 working days).</w:t>
            </w:r>
          </w:p>
        </w:tc>
      </w:tr>
      <w:tr>
        <w:tc>
          <w:tcPr>
            <w:tcW w:type="dxa" w:w="22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Definition</w:t>
            </w:r>
          </w:p>
        </w:tc>
        <w:tc>
          <w:tcPr>
            <w:tcW w:type="dxa" w:w="80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Requests or unique people? GP only or all settings? BSL separate from Deafblind? In-person vs video?</w:t>
            </w:r>
          </w:p>
        </w:tc>
      </w:tr>
      <w:tr>
        <w:tc>
          <w:tcPr>
            <w:tcW w:type="dxa" w:w="22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Geography</w:t>
            </w:r>
          </w:p>
        </w:tc>
        <w:tc>
          <w:tcPr>
            <w:tcW w:type="dxa" w:w="80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Borough / locality / trust-wide / “not held”. Never infer a borough number from a trust total.</w:t>
            </w:r>
          </w:p>
        </w:tc>
      </w:tr>
      <w:tr>
        <w:tc>
          <w:tcPr>
            <w:tcW w:type="dxa" w:w="22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Result</w:t>
            </w:r>
          </w:p>
        </w:tc>
        <w:tc>
          <w:tcPr>
            <w:tcW w:type="dxa" w:w="80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Number, or exact refusal wording (“not held centrally”, section 12 cost, section 40 small numbers).</w:t>
            </w:r>
          </w:p>
        </w:tc>
      </w:tr>
      <w:tr>
        <w:tc>
          <w:tcPr>
            <w:tcW w:type="dxa" w:w="22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Link</w:t>
            </w:r>
          </w:p>
        </w:tc>
        <w:tc>
          <w:tcPr>
            <w:tcW w:type="dxa" w:w="80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WhatDoTheyKnow URL or the PDF. If it is not public, say where the file lives.</w:t>
            </w:r>
          </w:p>
        </w:tc>
      </w:tr>
      <w:tr>
        <w:tc>
          <w:tcPr>
            <w:tcW w:type="dxa" w:w="2200"/>
            <w:tcBorders>
              <w:top w:val="single" w:color="D8D3C8" w:sz="4"/>
              <w:left w:val="single" w:color="D8D3C8" w:sz="4"/>
              <w:bottom w:val="single" w:color="D8D3C8" w:sz="4"/>
              <w:right w:val="single" w:color="D8D3C8" w:sz="4"/>
            </w:tcBorders>
            <w:shd w:fill="FBE9E7" w:val="clear"/>
            <w:tcMar>
              <w:top w:type="dxa" w:w="50"/>
              <w:left w:type="dxa" w:w="70"/>
              <w:bottom w:type="dxa" w:w="50"/>
              <w:right w:type="dxa" w:w="70"/>
            </w:tcMar>
            <w:vAlign w:val="center"/>
          </w:tcPr>
          <w:p>
            <w:pPr>
              <w:spacing w:after="0" w:line="240"/>
            </w:pPr>
            <w:r>
              <w:rPr>
                <w:rFonts w:ascii="Arial" w:cs="Arial" w:eastAsia="Arial" w:hAnsi="Arial"/>
                <w:b/>
                <w:bCs/>
                <w:color w:val="1A1814"/>
                <w:sz w:val="17"/>
                <w:szCs w:val="17"/>
              </w:rPr>
              <w:t xml:space="preserve">Do not</w:t>
            </w:r>
          </w:p>
        </w:tc>
        <w:tc>
          <w:tcPr>
            <w:tcW w:type="dxa" w:w="8006"/>
            <w:tcBorders>
              <w:top w:val="single" w:color="D8D3C8" w:sz="4"/>
              <w:left w:val="single" w:color="D8D3C8" w:sz="4"/>
              <w:bottom w:val="single" w:color="D8D3C8" w:sz="4"/>
              <w:right w:val="single" w:color="D8D3C8" w:sz="4"/>
            </w:tcBorders>
            <w:shd w:fill="FBE9E7"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Do not apply Sense’s national Deafblind rate to invent a borough count. Do not scale BDA’s 151,000 BSL users down to SWL and call it local data. Do not add GM averages to the SWL 878.</w:t>
            </w:r>
          </w:p>
        </w:tc>
      </w:tr>
    </w:tbl>
    <w:p>
      <w:pPr>
        <w:pStyle w:val="Heading1"/>
        <w:spacing w:after="120" w:before="280"/>
      </w:pPr>
      <w:r>
        <w:rPr>
          <w:rFonts w:ascii="Arial" w:cs="Arial" w:eastAsia="Arial" w:hAnsi="Arial"/>
          <w:b/>
          <w:bCs/>
          <w:color w:val="0B3D91"/>
          <w:sz w:val="28"/>
          <w:szCs w:val="28"/>
        </w:rPr>
        <w:t xml:space="preserve">7. National figures — context only, not a local substitute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3706"/>
      </w:tblGrid>
      <w:tr>
        <w:trPr>
          <w:tblHeader/>
        </w:trPr>
        <w:tc>
          <w:tcPr>
            <w:tcW w:type="dxa" w:w="2800"/>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Measure</w:t>
            </w:r>
          </w:p>
        </w:tc>
        <w:tc>
          <w:tcPr>
            <w:tcW w:type="dxa" w:w="3700"/>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Figure</w:t>
            </w:r>
          </w:p>
        </w:tc>
        <w:tc>
          <w:tcPr>
            <w:tcW w:type="dxa" w:w="3706"/>
            <w:tcBorders>
              <w:top w:val="single" w:color="D8D3C8" w:sz="4"/>
              <w:left w:val="single" w:color="D8D3C8" w:sz="4"/>
              <w:bottom w:val="single" w:color="D8D3C8" w:sz="4"/>
              <w:right w:val="single" w:color="D8D3C8" w:sz="4"/>
            </w:tcBorders>
            <w:shd w:fill="1A1814" w:val="clear"/>
            <w:tcMar>
              <w:top w:type="dxa" w:w="50"/>
              <w:left w:type="dxa" w:w="70"/>
              <w:bottom w:type="dxa" w:w="50"/>
              <w:right w:type="dxa" w:w="70"/>
            </w:tcMar>
            <w:vAlign w:val="center"/>
          </w:tcPr>
          <w:p>
            <w:pPr>
              <w:spacing w:after="0" w:line="240"/>
            </w:pPr>
            <w:r>
              <w:rPr>
                <w:rFonts w:ascii="Arial" w:cs="Arial" w:eastAsia="Arial" w:hAnsi="Arial"/>
                <w:b/>
                <w:bCs/>
                <w:color w:val="FFFFFF"/>
                <w:sz w:val="16"/>
                <w:szCs w:val="16"/>
              </w:rPr>
              <w:t xml:space="preserve">Treat as</w:t>
            </w:r>
          </w:p>
        </w:tc>
      </w:tr>
      <w:tr>
        <w:tc>
          <w:tcPr>
            <w:tcW w:type="dxa" w:w="28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Census 2021 BSL as main language</w:t>
            </w:r>
          </w:p>
        </w:tc>
        <w:tc>
          <w:tcPr>
            <w:tcW w:type="dxa" w:w="3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22,000 in England &amp; Wales (England just over 21,000; Wales just over 900).</w:t>
            </w:r>
          </w:p>
        </w:tc>
        <w:tc>
          <w:tcPr>
            <w:tcW w:type="dxa" w:w="37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Official undercount of Deaf BSL users who also write English.</w:t>
            </w:r>
          </w:p>
        </w:tc>
      </w:tr>
      <w:tr>
        <w:tc>
          <w:tcPr>
            <w:tcW w:type="dxa" w:w="28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BDA planning figure, used by GOV.UK</w:t>
            </w:r>
          </w:p>
        </w:tc>
        <w:tc>
          <w:tcPr>
            <w:tcW w:type="dxa" w:w="3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151,000 BSL users; 87,000 Deaf.</w:t>
            </w:r>
          </w:p>
        </w:tc>
        <w:tc>
          <w:tcPr>
            <w:tcW w:type="dxa" w:w="37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Advocacy estimate, not a census. Do not allocate to boroughs.</w:t>
            </w:r>
          </w:p>
        </w:tc>
      </w:tr>
      <w:tr>
        <w:tc>
          <w:tcPr>
            <w:tcW w:type="dxa" w:w="28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Scotland Census 2022 “can use BSL”</w:t>
            </w:r>
          </w:p>
        </w:tc>
        <w:tc>
          <w:tcPr>
            <w:tcW w:type="dxa" w:w="3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117,300 (2.2% aged 3+). Different question from “main language”.</w:t>
            </w:r>
          </w:p>
        </w:tc>
        <w:tc>
          <w:tcPr>
            <w:tcW w:type="dxa" w:w="37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Not comparable with the E&amp;W main-language count.</w:t>
            </w:r>
          </w:p>
        </w:tc>
      </w:tr>
      <w:tr>
        <w:tc>
          <w:tcPr>
            <w:tcW w:type="dxa" w:w="28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Sense Deafblind model</w:t>
            </w:r>
          </w:p>
        </w:tc>
        <w:tc>
          <w:tcPr>
            <w:tcW w:type="dxa" w:w="3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451,211 UK in 2022; 610,000 by 2035. Wales 8.6 / NI 5.3 per 1,000 (2015 rates).</w:t>
            </w:r>
          </w:p>
        </w:tc>
        <w:tc>
          <w:tcPr>
            <w:tcW w:type="dxa" w:w="37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Modelled prevalence. This is the source of the SWL 8,000–11,000 band.</w:t>
            </w:r>
          </w:p>
        </w:tc>
      </w:tr>
      <w:tr>
        <w:tc>
          <w:tcPr>
            <w:tcW w:type="dxa" w:w="28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NRCPD register</w:t>
            </w:r>
          </w:p>
        </w:tc>
        <w:tc>
          <w:tcPr>
            <w:tcW w:type="dxa" w:w="3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1,624 sign language interpreters; 19 Deafblind interpreters; 2,096 professionals in total.</w:t>
            </w:r>
          </w:p>
        </w:tc>
        <w:tc>
          <w:tcPr>
            <w:tcW w:type="dxa" w:w="37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Workforce stock, not demand. Dual registrations inflate the headline.</w:t>
            </w:r>
          </w:p>
        </w:tc>
      </w:tr>
      <w:tr>
        <w:tc>
          <w:tcPr>
            <w:tcW w:type="dxa" w:w="28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RNID / SignHealth Still Ignored, 2025</w:t>
            </w:r>
          </w:p>
        </w:tc>
        <w:tc>
          <w:tcPr>
            <w:tcW w:type="dxa" w:w="3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Of people in England who need a communication professional: 7% always get one, 63% rarely or never. 70% never asked about communication needs.</w:t>
            </w:r>
          </w:p>
        </w:tc>
        <w:tc>
          <w:tcPr>
            <w:tcW w:type="dxa" w:w="37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Survey (n=1,114), not admin data. Use for access quality, not headcount.</w:t>
            </w:r>
          </w:p>
        </w:tc>
      </w:tr>
      <w:tr>
        <w:tc>
          <w:tcPr>
            <w:tcW w:type="dxa" w:w="28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Locked Out, Nov 2025</w:t>
            </w:r>
          </w:p>
        </w:tc>
        <w:tc>
          <w:tcPr>
            <w:tcW w:type="dxa" w:w="3700"/>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Avoidable cost £80–100m a year. 20.6% of interpreters take healthcare work; 7.65% take mental health. UK has 2 specialist BSL care homes.</w:t>
            </w:r>
          </w:p>
        </w:tc>
        <w:tc>
          <w:tcPr>
            <w:tcW w:type="dxa" w:w="3706"/>
            <w:tcBorders>
              <w:top w:val="single" w:color="D8D3C8" w:sz="4"/>
              <w:left w:val="single" w:color="D8D3C8" w:sz="4"/>
              <w:bottom w:val="single" w:color="D8D3C8" w:sz="4"/>
              <w:right w:val="single" w:color="D8D3C8" w:sz="4"/>
            </w:tcBorders>
            <w:shd w:fill="FFFFFF" w:val="clear"/>
            <w:tcMar>
              <w:top w:type="dxa" w:w="50"/>
              <w:left w:type="dxa" w:w="70"/>
              <w:bottom w:type="dxa" w:w="50"/>
              <w:right w:type="dxa" w:w="70"/>
            </w:tcMar>
            <w:vAlign w:val="center"/>
          </w:tcPr>
          <w:p>
            <w:pPr>
              <w:spacing w:after="0" w:line="240"/>
            </w:pPr>
            <w:r>
              <w:rPr>
                <w:rFonts w:ascii="Arial" w:cs="Arial" w:eastAsia="Arial" w:hAnsi="Arial"/>
                <w:color w:val="1A1814"/>
                <w:sz w:val="17"/>
                <w:szCs w:val="17"/>
              </w:rPr>
              <w:t xml:space="preserve">Policy evidence. The two care homes are the Wandsworth pair already on the SWL map.</w:t>
            </w:r>
          </w:p>
        </w:tc>
      </w:tr>
    </w:tbl>
    <w:p>
      <w:pPr>
        <w:pStyle w:val="Heading1"/>
        <w:spacing w:after="120" w:before="280"/>
      </w:pPr>
      <w:r>
        <w:rPr>
          <w:rFonts w:ascii="Arial" w:cs="Arial" w:eastAsia="Arial" w:hAnsi="Arial"/>
          <w:b/>
          <w:bCs/>
          <w:color w:val="0B3D91"/>
          <w:sz w:val="28"/>
          <w:szCs w:val="28"/>
        </w:rPr>
        <w:t xml:space="preserve">8. Sources</w:t>
      </w:r>
    </w:p>
    <w:p>
      <w:pPr>
        <w:spacing w:after="40" w:before="0" w:line="276"/>
      </w:pPr>
      <w:r>
        <w:rPr>
          <w:rFonts w:ascii="Arial" w:cs="Arial" w:eastAsia="Arial" w:hAnsi="Arial"/>
          <w:color w:val="1A1814"/>
          <w:sz w:val="18"/>
          <w:szCs w:val="18"/>
        </w:rPr>
        <w:t xml:space="preserve">Healthwatch Croydon, Kingston, Merton, Richmond, Sutton and Wandsworth, Recommendations for commissioning BSL interpretation services in South West London GP practices, March 2026.</w:t>
      </w:r>
    </w:p>
    <w:p>
      <w:pPr>
        <w:spacing w:after="40" w:before="0" w:line="276"/>
      </w:pPr>
      <w:r>
        <w:rPr>
          <w:rFonts w:ascii="Arial" w:cs="Arial" w:eastAsia="Arial" w:hAnsi="Arial"/>
          <w:color w:val="1A1814"/>
          <w:sz w:val="18"/>
          <w:szCs w:val="18"/>
        </w:rPr>
        <w:t xml:space="preserve">NHS Greater Manchester Integrated Care, FOI 2025/1383, BSL requests / response times / failure rates by locality.</w:t>
      </w:r>
    </w:p>
    <w:p>
      <w:pPr>
        <w:spacing w:after="40" w:before="0" w:line="276"/>
      </w:pPr>
      <w:r>
        <w:rPr>
          <w:rFonts w:ascii="Arial" w:cs="Arial" w:eastAsia="Arial" w:hAnsi="Arial"/>
          <w:color w:val="1A1814"/>
          <w:sz w:val="18"/>
          <w:szCs w:val="18"/>
        </w:rPr>
        <w:t xml:space="preserve">NHS Hampshire and Isle of Wight ICB, FOI 49790, Language service provisions, 26 February 2025.</w:t>
      </w:r>
    </w:p>
    <w:p>
      <w:pPr>
        <w:spacing w:after="40" w:before="0" w:line="276"/>
      </w:pPr>
      <w:r>
        <w:rPr>
          <w:rFonts w:ascii="Arial" w:cs="Arial" w:eastAsia="Arial" w:hAnsi="Arial"/>
          <w:color w:val="1A1814"/>
          <w:sz w:val="18"/>
          <w:szCs w:val="18"/>
        </w:rPr>
        <w:t xml:space="preserve">Frimley ICB translation and interpretation FOI, 2023/24 activity.</w:t>
      </w:r>
    </w:p>
    <w:p>
      <w:pPr>
        <w:spacing w:after="40" w:before="0" w:line="276"/>
      </w:pPr>
      <w:r>
        <w:rPr>
          <w:rFonts w:ascii="Arial" w:cs="Arial" w:eastAsia="Arial" w:hAnsi="Arial"/>
          <w:color w:val="1A1814"/>
          <w:sz w:val="18"/>
          <w:szCs w:val="18"/>
        </w:rPr>
        <w:t xml:space="preserve">University Hospitals of North Midlands, FOI 191-2425, BSL and Deafblind request tables.</w:t>
      </w:r>
    </w:p>
    <w:p>
      <w:pPr>
        <w:spacing w:after="40" w:before="0" w:line="276"/>
      </w:pPr>
      <w:r>
        <w:rPr>
          <w:rFonts w:ascii="Arial" w:cs="Arial" w:eastAsia="Arial" w:hAnsi="Arial"/>
          <w:color w:val="1A1814"/>
          <w:sz w:val="18"/>
          <w:szCs w:val="18"/>
        </w:rPr>
        <w:t xml:space="preserve">Doncaster and Bassetlaw Teaching Hospitals, FOI 391-2024.</w:t>
      </w:r>
    </w:p>
    <w:p>
      <w:pPr>
        <w:spacing w:after="40" w:before="0" w:line="276"/>
      </w:pPr>
      <w:r>
        <w:rPr>
          <w:rFonts w:ascii="Arial" w:cs="Arial" w:eastAsia="Arial" w:hAnsi="Arial"/>
          <w:color w:val="1A1814"/>
          <w:sz w:val="18"/>
          <w:szCs w:val="18"/>
        </w:rPr>
        <w:t xml:space="preserve">BSL Advisory Board, Locked Out: exclusion of deaf and deafblind BSL users from health and social care in the UK, 27 November 2025.</w:t>
      </w:r>
    </w:p>
    <w:p>
      <w:pPr>
        <w:spacing w:after="40" w:before="0" w:line="276"/>
      </w:pPr>
      <w:r>
        <w:rPr>
          <w:rFonts w:ascii="Arial" w:cs="Arial" w:eastAsia="Arial" w:hAnsi="Arial"/>
          <w:color w:val="1A1814"/>
          <w:sz w:val="18"/>
          <w:szCs w:val="18"/>
        </w:rPr>
        <w:t xml:space="preserve">RNID and SignHealth, Still Ignored: the fight for accessible healthcare, 2025.</w:t>
      </w:r>
    </w:p>
    <w:p>
      <w:pPr>
        <w:spacing w:after="120" w:before="0" w:line="276"/>
      </w:pPr>
      <w:r>
        <w:rPr>
          <w:rFonts w:ascii="Arial" w:cs="Arial" w:eastAsia="Arial" w:hAnsi="Arial"/>
          <w:color w:val="1A1814"/>
          <w:sz w:val="18"/>
          <w:szCs w:val="18"/>
        </w:rPr>
        <w:t xml:space="preserve">ONS Census 2021 language bulletin; National Records of Scotland Census 2022 BSL user indicator; Sense deafblindness statistics; NRCPD registration figures; NHS England ICB map updated April 2026 (36 ICBs).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
        <w:gridCol w:w="10086"/>
      </w:tblGrid>
      <w:tr>
        <w:tc>
          <w:tcPr>
            <w:tcW w:type="dxa" w:w="120"/>
            <w:tcBorders>
              <w:top w:val="none" w:color="FFFFFF" w:sz="0"/>
              <w:left w:val="none" w:color="FFFFFF" w:sz="0"/>
              <w:bottom w:val="none" w:color="FFFFFF" w:sz="0"/>
              <w:right w:val="none" w:color="FFFFFF" w:sz="0"/>
            </w:tcBorders>
            <w:shd w:fill="1A472A" w:val="clear"/>
          </w:tcPr>
          <w:p/>
        </w:tc>
        <w:tc>
          <w:tcPr>
            <w:tcW w:type="dxa" w:w="10086"/>
            <w:tcBorders>
              <w:top w:val="none" w:color="FFFFFF" w:sz="0"/>
              <w:left w:val="none" w:color="FFFFFF" w:sz="0"/>
              <w:bottom w:val="none" w:color="FFFFFF" w:sz="0"/>
              <w:right w:val="none" w:color="FFFFFF" w:sz="0"/>
            </w:tcBorders>
            <w:shd w:fill="E9F3EC" w:val="clear"/>
            <w:tcMar>
              <w:top w:type="dxa" w:w="100"/>
              <w:left w:type="dxa" w:w="140"/>
              <w:bottom w:type="dxa" w:w="100"/>
              <w:right w:type="dxa" w:w="140"/>
            </w:tcMar>
          </w:tcPr>
          <w:p>
            <w:pPr>
              <w:spacing w:after="40" w:before="0" w:line="276"/>
            </w:pPr>
            <w:r>
              <w:rPr>
                <w:rFonts w:ascii="Arial" w:cs="Arial" w:eastAsia="Arial" w:hAnsi="Arial"/>
                <w:b/>
                <w:bCs/>
                <w:color w:val="1A472A"/>
                <w:sz w:val="20"/>
                <w:szCs w:val="20"/>
              </w:rPr>
              <w:t xml:space="preserve">Working rule for this project</w:t>
            </w:r>
          </w:p>
          <w:p>
            <w:pPr>
              <w:spacing w:after="0" w:before="0" w:line="276"/>
            </w:pPr>
            <w:r>
              <w:rPr>
                <w:rFonts w:ascii="Arial" w:cs="Arial" w:eastAsia="Arial" w:hAnsi="Arial"/>
                <w:color w:val="1A1814"/>
                <w:sz w:val="20"/>
                <w:szCs w:val="20"/>
              </w:rPr>
              <w:t xml:space="preserve">If a figure is not measured locally, say so. A gap written down is more useful to the next volunteer than a modelled number that looks precise.</w:t>
            </w:r>
          </w:p>
        </w:tc>
      </w:tr>
    </w:tbl>
    <w:sectPr>
      <w:headerReference w:type="default" r:id="rId7"/>
      <w:footerReference w:type="default" r:id="rId8"/>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pPr>
    <w:r>
      <w:rPr>
        <w:rFonts w:ascii="Arial" w:cs="Arial" w:eastAsia="Arial" w:hAnsi="Arial"/>
        <w:color w:val="6B6459"/>
        <w:sz w:val="16"/>
        <w:szCs w:val="16"/>
      </w:rPr>
      <w:t xml:space="preserve">For volunteer use  ·  Verified 31 August 2026  ·  Page </w:t>
    </w:r>
    <w:r>
      <w:rPr>
        <w:rFonts w:ascii="Arial" w:cs="Arial" w:eastAsia="Arial" w:hAnsi="Arial"/>
        <w:color w:val="6B6459"/>
        <w:sz w:val="16"/>
        <w:szCs w:val="16"/>
      </w:rPr>
      <w:fldChar w:fldCharType="begin"/>
      <w:instrText xml:space="preserve">PAGE</w:instrText>
      <w:fldChar w:fldCharType="separate"/>
      <w:fldChar w:fldCharType="end"/>
    </w:r>
    <w:r>
      <w:rPr>
        <w:rFonts w:ascii="Arial" w:cs="Arial" w:eastAsia="Arial" w:hAnsi="Arial"/>
        <w:color w:val="6B6459"/>
        <w:sz w:val="16"/>
        <w:szCs w:val="16"/>
      </w:rPr>
      <w:t xml:space="preserve"> of </w:t>
    </w:r>
    <w:r>
      <w:rPr>
        <w:rFonts w:ascii="Arial" w:cs="Arial" w:eastAsia="Arial" w:hAnsi="Arial"/>
        <w:color w:val="6B64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pPr>
    <w:r>
      <w:rPr>
        <w:rFonts w:ascii="Arial" w:cs="Arial" w:eastAsia="Arial" w:hAnsi="Arial"/>
        <w:color w:val="6B6459"/>
        <w:sz w:val="16"/>
        <w:szCs w:val="16"/>
      </w:rPr>
      <w:t xml:space="preserve">Gap tracker  ·  BSL interpreter request data outside South West London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bullet"/>
      <w:lvlText w:val="•"/>
      <w:lvlJc w:val="left"/>
      <w:pPr>
        <w:ind w:left="360" w:hanging="240"/>
      </w:pPr>
    </w:lvl>
  </w:abstractNum>
  <w:abstractNum w:abstractNumId="4"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B3D91"/>
      <w:sz w:val="28"/>
      <w:szCs w:val="28"/>
    </w:rPr>
  </w:style>
  <w:style w:type="paragraph" w:styleId="Heading2">
    <w:name w:val="Heading 2"/>
    <w:basedOn w:val="Normal"/>
    <w:next w:val="Normal"/>
    <w:qFormat/>
    <w:pPr>
      <w:spacing w:after="80" w:before="220"/>
      <w:outlineLvl w:val="1"/>
    </w:pPr>
    <w:rPr>
      <w:rFonts w:ascii="Arial" w:cs="Arial" w:eastAsia="Arial" w:hAnsi="Arial"/>
      <w:b/>
      <w:bCs/>
      <w:color w:val="1A18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2026-08-31T22:38:30.957Z</dcterms:created>
  <dcterms:modified xsi:type="dcterms:W3CDTF">2026-08-31T22:38:30.958Z</dcterms:modified>
</cp:coreProperties>
</file>

<file path=docProps/custom.xml><?xml version="1.0" encoding="utf-8"?>
<Properties xmlns="http://schemas.openxmlformats.org/officeDocument/2006/custom-properties" xmlns:vt="http://schemas.openxmlformats.org/officeDocument/2006/docPropsVTypes"/>
</file>