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4CBA" w:rsidRDefault="00494CBA" w:rsidP="00494CBA">
      <w:pPr>
        <w:rPr>
          <w:rFonts w:ascii="Arial" w:hAnsi="Arial" w:cs="Arial"/>
          <w:sz w:val="27"/>
          <w:szCs w:val="27"/>
        </w:rPr>
      </w:pPr>
      <w:r>
        <w:rPr>
          <w:rFonts w:ascii="Arial" w:hAnsi="Arial" w:cs="Arial"/>
          <w:sz w:val="27"/>
          <w:szCs w:val="27"/>
        </w:rPr>
        <w:t>Việc lập hồ sơ mời thầu là tác nghiệp cụ thể của Tổ chuyên gia (Điều 80), không phải là nội d</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p>
    <w:p w:rsidR="001815C2" w:rsidRDefault="00494CBA" w:rsidP="00494CBA">
      <w:pPr>
        <w:rPr>
          <w:rFonts w:ascii="Arial" w:hAnsi="Arial" w:cs="Arial"/>
          <w:sz w:val="27"/>
          <w:szCs w:val="27"/>
        </w:rPr>
      </w:pPr>
      <w:r>
        <w:rPr>
          <w:rFonts w:ascii="Arial" w:hAnsi="Arial" w:cs="Arial"/>
          <w:sz w:val="27"/>
          <w:szCs w:val="27"/>
        </w:rPr>
        <w:t xml:space="preserve">Căn cứ pháp lý: Khoản 2 Điều 86 Luật Đấu thầu và Điều 126 Nghị định số 214/2025/NĐ-CP. Pháp luật quy định kiểm tra hoạt động đấu thầu được thực hiện theo kế </w:t>
      </w:r>
      <w:r w:rsidRPr="00494CBA">
        <w:rPr>
          <w:rFonts w:ascii="Arial" w:hAnsi="Arial" w:cs="Arial"/>
          <w:sz w:val="27"/>
          <w:szCs w:val="27"/>
          <w:highlight w:val="yellow"/>
        </w:rPr>
        <w:t>hoạch định kỳ hoặc đột xuất</w:t>
      </w:r>
      <w:r>
        <w:rPr>
          <w:rFonts w:ascii="Arial" w:hAnsi="Arial" w:cs="Arial"/>
          <w:sz w:val="27"/>
          <w:szCs w:val="27"/>
        </w:rPr>
        <w:t xml:space="preserve"> theo quyết định của người đứng đầu cơ quan có thẩm quyền kiểm traung quản lý nhà nước.</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3 Điều 133 Nghị định số 214/2025/NĐ-CP. Nghị định quy định rõ thời hiệu áp dụng biện pháp cấm tham gia hoạt động đấu thầu là </w:t>
      </w:r>
      <w:r w:rsidRPr="00494CBA">
        <w:rPr>
          <w:rFonts w:ascii="Arial" w:hAnsi="Arial" w:cs="Arial"/>
          <w:sz w:val="27"/>
          <w:szCs w:val="27"/>
          <w:highlight w:val="yellow"/>
        </w:rPr>
        <w:t>10 năm tính từ ngày xảy ra hành vi vi phạm</w:t>
      </w:r>
      <w:r>
        <w:rPr>
          <w:rFonts w:ascii="Arial" w:hAnsi="Arial" w:cs="Arial"/>
          <w:sz w:val="27"/>
          <w:szCs w:val="27"/>
        </w:rPr>
        <w:t>.</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3 Điều 87 Luật Đấu thầu. Thẩm quyền quyết định cấm tham gia hoạt động đấu thầu thuộc về: Người có thẩm quyền; Bộ trưởng, Thủ trưởng cơ quan ngang Bộ/cơ quan thuộc Chính phủ/cơ quan khác ở Trung ương; Chủ tịch UBND cấp tỉnh. </w:t>
      </w:r>
      <w:r w:rsidRPr="00494CBA">
        <w:rPr>
          <w:rFonts w:ascii="Arial" w:hAnsi="Arial" w:cs="Arial"/>
          <w:sz w:val="27"/>
          <w:szCs w:val="27"/>
          <w:highlight w:val="yellow"/>
        </w:rPr>
        <w:t>Chủ đầu tư không có thẩm quyền ban hành quyết định cấm.</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2 Điều 133 Nghị định số 214/2025/NĐ-CP. Trường hợp có từ </w:t>
      </w:r>
      <w:r w:rsidRPr="00494CBA">
        <w:rPr>
          <w:rFonts w:ascii="Arial" w:hAnsi="Arial" w:cs="Arial"/>
          <w:sz w:val="27"/>
          <w:szCs w:val="27"/>
          <w:highlight w:val="yellow"/>
        </w:rPr>
        <w:t>02 hành vi vi phạm trở lên, thời gian cấm được xác định bằng tổng thời gian cấm của các hành vi vi phạm nhưng tối đa không quá 05 năm.</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1 Điều 133 Nghị định số 214/2025/NĐ-CP. </w:t>
      </w:r>
      <w:r w:rsidRPr="00494CBA">
        <w:rPr>
          <w:rFonts w:ascii="Arial" w:hAnsi="Arial" w:cs="Arial"/>
          <w:sz w:val="27"/>
          <w:szCs w:val="27"/>
          <w:highlight w:val="yellow"/>
        </w:rPr>
        <w:t>Hành vi gian lận</w:t>
      </w:r>
      <w:r>
        <w:rPr>
          <w:rFonts w:ascii="Arial" w:hAnsi="Arial" w:cs="Arial"/>
          <w:sz w:val="27"/>
          <w:szCs w:val="27"/>
        </w:rPr>
        <w:t xml:space="preserve"> (quy định tại khoản 4 Điều 16 Luật Đấu thầu) </w:t>
      </w:r>
      <w:r w:rsidRPr="00494CBA">
        <w:rPr>
          <w:rFonts w:ascii="Arial" w:hAnsi="Arial" w:cs="Arial"/>
          <w:sz w:val="27"/>
          <w:szCs w:val="27"/>
          <w:highlight w:val="yellow"/>
        </w:rPr>
        <w:t>thuộc nhóm hành vi bị cấm tham gia hoạt động đấu thầu từ 03 năm đến 05 năm</w:t>
      </w:r>
      <w:r>
        <w:rPr>
          <w:rFonts w:ascii="Arial" w:hAnsi="Arial" w:cs="Arial"/>
          <w:sz w:val="27"/>
          <w:szCs w:val="27"/>
        </w:rPr>
        <w:t>.</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1 Điều 133 Nghị định số 214/2025/NĐ-CP. </w:t>
      </w:r>
      <w:r w:rsidRPr="00494CBA">
        <w:rPr>
          <w:rFonts w:ascii="Arial" w:hAnsi="Arial" w:cs="Arial"/>
          <w:sz w:val="27"/>
          <w:szCs w:val="27"/>
          <w:highlight w:val="yellow"/>
        </w:rPr>
        <w:t>Hành vi cản trở</w:t>
      </w:r>
      <w:r>
        <w:rPr>
          <w:rFonts w:ascii="Arial" w:hAnsi="Arial" w:cs="Arial"/>
          <w:sz w:val="27"/>
          <w:szCs w:val="27"/>
        </w:rPr>
        <w:t xml:space="preserve"> (quy định tại khoản 5 Điều 16 Luật Đấu thầu) thuộc nhóm hành vi bị </w:t>
      </w:r>
      <w:r w:rsidRPr="00494CBA">
        <w:rPr>
          <w:rFonts w:ascii="Arial" w:hAnsi="Arial" w:cs="Arial"/>
          <w:sz w:val="27"/>
          <w:szCs w:val="27"/>
          <w:highlight w:val="yellow"/>
        </w:rPr>
        <w:t>cấm tham gia hoạt động đấu thầu từ 01 năm đến 03 năm.</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t xml:space="preserve">Căn cứ pháp lý: Khoản 1 Điều 18 Luật Đấu thầu. Luật quy định </w:t>
      </w:r>
      <w:r w:rsidRPr="005D31F5">
        <w:rPr>
          <w:rFonts w:ascii="Arial" w:hAnsi="Arial" w:cs="Arial"/>
          <w:sz w:val="27"/>
          <w:szCs w:val="27"/>
          <w:highlight w:val="yellow"/>
        </w:rPr>
        <w:t>đình chỉ</w:t>
      </w:r>
      <w:r>
        <w:rPr>
          <w:rFonts w:ascii="Arial" w:hAnsi="Arial" w:cs="Arial"/>
          <w:sz w:val="27"/>
          <w:szCs w:val="27"/>
        </w:rPr>
        <w:t xml:space="preserve"> cuộc thầu được thực hiện trong quá trình </w:t>
      </w:r>
      <w:r w:rsidRPr="005D31F5">
        <w:rPr>
          <w:rFonts w:ascii="Arial" w:hAnsi="Arial" w:cs="Arial"/>
          <w:sz w:val="27"/>
          <w:szCs w:val="27"/>
          <w:highlight w:val="yellow"/>
        </w:rPr>
        <w:t>tổ chức lựa chọn nhà thầu cho đến trước khi phê duyệt kết quả lựa chọn nhà thầu</w:t>
      </w:r>
      <w:r>
        <w:rPr>
          <w:rFonts w:ascii="Arial" w:hAnsi="Arial" w:cs="Arial"/>
          <w:sz w:val="27"/>
          <w:szCs w:val="27"/>
        </w:rPr>
        <w:t>.</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t xml:space="preserve">Căn cứ pháp lý: Khoản 1 Điều 18 Luật Đấu thầu. Trong quá trình thực hiện hợp đồng, nếu có bằng chứng về vi phạm, người có thẩm quyền có thể áp dụng biện pháp </w:t>
      </w:r>
      <w:r w:rsidRPr="005D31F5">
        <w:rPr>
          <w:rFonts w:ascii="Arial" w:hAnsi="Arial" w:cs="Arial"/>
          <w:sz w:val="27"/>
          <w:szCs w:val="27"/>
          <w:highlight w:val="yellow"/>
        </w:rPr>
        <w:t>không công nhận</w:t>
      </w:r>
      <w:r>
        <w:rPr>
          <w:rFonts w:ascii="Arial" w:hAnsi="Arial" w:cs="Arial"/>
          <w:sz w:val="27"/>
          <w:szCs w:val="27"/>
        </w:rPr>
        <w:t xml:space="preserve"> kết quả lựa chọn nhà thầu. (Hủy thầu và Đình chỉ cuộc thầu chỉ áp dụng trong quá trình lựa chọn nhà thầu, trước khi ký hợp đồng hoặc trước khi phê duyệt kết quả).</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lastRenderedPageBreak/>
        <w:t xml:space="preserve">Căn cứ pháp lý: Điểm g Khoản 6 Điều 16 Luật Đấu thầu và Khoản 1 Điều 133 Nghị định số 214/2025/NĐ-CP. </w:t>
      </w:r>
      <w:r w:rsidRPr="005D31F5">
        <w:rPr>
          <w:rFonts w:ascii="Arial" w:hAnsi="Arial" w:cs="Arial"/>
          <w:sz w:val="27"/>
          <w:szCs w:val="27"/>
          <w:highlight w:val="yellow"/>
        </w:rPr>
        <w:t>Hành vi nhà thầu tư vấn giám sát đồng thời thực hiện tư vấn kiểm định</w:t>
      </w:r>
      <w:r>
        <w:rPr>
          <w:rFonts w:ascii="Arial" w:hAnsi="Arial" w:cs="Arial"/>
          <w:sz w:val="27"/>
          <w:szCs w:val="27"/>
        </w:rPr>
        <w:t xml:space="preserve"> là hành vi không bảo đảm công bằng, minh bạch (bị cấm). Mức phạt cho nhóm hành vi vi phạm tại khoản 6 Điều 16 là </w:t>
      </w:r>
      <w:r w:rsidRPr="005D31F5">
        <w:rPr>
          <w:rFonts w:ascii="Arial" w:hAnsi="Arial" w:cs="Arial"/>
          <w:sz w:val="27"/>
          <w:szCs w:val="27"/>
          <w:highlight w:val="yellow"/>
        </w:rPr>
        <w:t>cấm từ 01 năm đến 03 năm (đối với điểm g).</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t xml:space="preserve">Căn cứ pháp lý: Điểm b Khoản 6 Điều 16 Luật Đấu thầu và Khoản 1 Điều 133 Nghị định số 214/2025/NĐ-CP. </w:t>
      </w:r>
      <w:r w:rsidRPr="005D31F5">
        <w:rPr>
          <w:rFonts w:ascii="Arial" w:hAnsi="Arial" w:cs="Arial"/>
          <w:sz w:val="27"/>
          <w:szCs w:val="27"/>
          <w:highlight w:val="yellow"/>
        </w:rPr>
        <w:t>Hành vi tham gia lập đồng thời tham gia thẩm định hồ sơ mời thầu</w:t>
      </w:r>
      <w:r>
        <w:rPr>
          <w:rFonts w:ascii="Arial" w:hAnsi="Arial" w:cs="Arial"/>
          <w:sz w:val="27"/>
          <w:szCs w:val="27"/>
        </w:rPr>
        <w:t xml:space="preserve"> là hành vi không bảo đảm công bằng, minh bạch. Mức phạt cho hành vi tại điểm b khoản 6 Điều 16 là cấm từ </w:t>
      </w:r>
      <w:r w:rsidRPr="005D31F5">
        <w:rPr>
          <w:rFonts w:ascii="Arial" w:hAnsi="Arial" w:cs="Arial"/>
          <w:sz w:val="27"/>
          <w:szCs w:val="27"/>
          <w:highlight w:val="yellow"/>
        </w:rPr>
        <w:t>06 tháng đến 01 năm.</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t xml:space="preserve">Căn cứ pháp lý: Khoản 1 Điều 133 Nghị định số 214/2025/NĐ-CP. </w:t>
      </w:r>
      <w:r w:rsidRPr="005D31F5">
        <w:rPr>
          <w:rFonts w:ascii="Arial" w:hAnsi="Arial" w:cs="Arial"/>
          <w:sz w:val="27"/>
          <w:szCs w:val="27"/>
          <w:highlight w:val="yellow"/>
        </w:rPr>
        <w:t>Hành vi dàn xếp, thỏa thuận rút hồ sơ để một bên trúng thầu là hành vi thông thầu</w:t>
      </w:r>
      <w:r>
        <w:rPr>
          <w:rFonts w:ascii="Arial" w:hAnsi="Arial" w:cs="Arial"/>
          <w:sz w:val="27"/>
          <w:szCs w:val="27"/>
        </w:rPr>
        <w:t xml:space="preserve"> (khoản 3 Điều 16 Luật). Nghị định quy định đối với hành vi thông thầu (điểm a khoản 3 Điều 16), việc cấm áp dụng với </w:t>
      </w:r>
      <w:r w:rsidRPr="005D31F5">
        <w:rPr>
          <w:rFonts w:ascii="Arial" w:hAnsi="Arial" w:cs="Arial"/>
          <w:sz w:val="27"/>
          <w:szCs w:val="27"/>
          <w:highlight w:val="yellow"/>
        </w:rPr>
        <w:t>tất cả thành viên</w:t>
      </w:r>
      <w:r>
        <w:rPr>
          <w:rFonts w:ascii="Arial" w:hAnsi="Arial" w:cs="Arial"/>
          <w:sz w:val="27"/>
          <w:szCs w:val="27"/>
        </w:rPr>
        <w:t xml:space="preserve"> liên danh. </w:t>
      </w:r>
      <w:r w:rsidRPr="005D31F5">
        <w:rPr>
          <w:rFonts w:ascii="Arial" w:hAnsi="Arial" w:cs="Arial"/>
          <w:sz w:val="27"/>
          <w:szCs w:val="27"/>
          <w:highlight w:val="yellow"/>
        </w:rPr>
        <w:t>Thời gian cấm cho hành vi thông thầu là 03 năm đến 05 năm.</w:t>
      </w:r>
    </w:p>
    <w:p w:rsidR="005D31F5" w:rsidRDefault="005D31F5" w:rsidP="00494CBA">
      <w:pPr>
        <w:rPr>
          <w:rFonts w:ascii="Arial" w:hAnsi="Arial" w:cs="Arial"/>
          <w:sz w:val="27"/>
          <w:szCs w:val="27"/>
        </w:rPr>
      </w:pPr>
    </w:p>
    <w:p w:rsidR="005D31F5" w:rsidRPr="005D31F5" w:rsidRDefault="005D31F5" w:rsidP="005D31F5">
      <w:pPr>
        <w:pStyle w:val="Heading3"/>
        <w:pBdr>
          <w:top w:val="single" w:sz="2" w:space="0" w:color="auto"/>
          <w:left w:val="single" w:sz="2" w:space="0" w:color="auto"/>
          <w:bottom w:val="single" w:sz="2" w:space="0" w:color="auto"/>
          <w:right w:val="single" w:sz="2" w:space="0" w:color="auto"/>
        </w:pBdr>
        <w:spacing w:before="0" w:beforeAutospacing="0" w:after="0" w:afterAutospacing="0"/>
      </w:pPr>
      <w:r>
        <w:br/>
      </w:r>
      <w:r w:rsidRPr="005D31F5">
        <w:t>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p w:rsidR="005D31F5" w:rsidRPr="005D31F5" w:rsidRDefault="005D31F5" w:rsidP="005D31F5">
      <w:pPr>
        <w:rPr>
          <w:rFonts w:ascii="Arial" w:eastAsia="Times New Roman" w:hAnsi="Arial" w:cs="Arial"/>
          <w:kern w:val="0"/>
          <w14:ligatures w14:val="none"/>
        </w:rPr>
      </w:pPr>
      <w:r w:rsidRPr="005D31F5">
        <w:rPr>
          <w:rFonts w:ascii="Arial" w:eastAsia="Times New Roman" w:hAnsi="Arial" w:cs="Arial"/>
          <w:kern w:val="0"/>
          <w:bdr w:val="single" w:sz="2" w:space="0" w:color="auto" w:frame="1"/>
          <w14:ligatures w14:val="none"/>
        </w:rPr>
        <w:t>A</w:t>
      </w:r>
    </w:p>
    <w:p w:rsidR="005D31F5" w:rsidRPr="005D31F5" w:rsidRDefault="005D31F5" w:rsidP="005D31F5">
      <w:pPr>
        <w:rPr>
          <w:rFonts w:ascii="Times New Roman" w:eastAsia="Times New Roman" w:hAnsi="Times New Roman" w:cs="Times New Roman"/>
          <w:kern w:val="0"/>
          <w14:ligatures w14:val="none"/>
        </w:rPr>
      </w:pPr>
    </w:p>
    <w:p w:rsidR="005D31F5" w:rsidRDefault="005D31F5" w:rsidP="00494CBA">
      <w:pPr>
        <w:rPr>
          <w:rFonts w:ascii="Arial" w:hAnsi="Arial" w:cs="Arial"/>
          <w:sz w:val="30"/>
          <w:szCs w:val="30"/>
        </w:rPr>
      </w:pPr>
      <w:r w:rsidRPr="005D31F5">
        <w:rPr>
          <w:rFonts w:ascii="Arial" w:hAnsi="Arial" w:cs="Arial"/>
          <w:sz w:val="30"/>
          <w:szCs w:val="30"/>
          <w:highlight w:val="yellow"/>
        </w:rPr>
        <w:t>Đối với gói thầu tư vấn, thông tin uy tín này sẽ được sử dụng để đánh giá về kỹ thuật</w:t>
      </w:r>
    </w:p>
    <w:p w:rsidR="005D31F5" w:rsidRDefault="005D31F5" w:rsidP="00494CBA">
      <w:pPr>
        <w:rPr>
          <w:rFonts w:ascii="Arial" w:hAnsi="Arial" w:cs="Arial"/>
          <w:sz w:val="30"/>
          <w:szCs w:val="30"/>
        </w:rPr>
      </w:pPr>
    </w:p>
    <w:p w:rsidR="005D31F5" w:rsidRDefault="005D31F5" w:rsidP="00494CBA">
      <w:pPr>
        <w:rPr>
          <w:rFonts w:ascii="Arial" w:hAnsi="Arial" w:cs="Arial"/>
          <w:sz w:val="27"/>
          <w:szCs w:val="27"/>
        </w:rPr>
      </w:pPr>
      <w:bookmarkStart w:id="0" w:name="_Hlk241067853"/>
      <w:r>
        <w:rPr>
          <w:rFonts w:ascii="Arial" w:hAnsi="Arial" w:cs="Arial"/>
          <w:sz w:val="27"/>
          <w:szCs w:val="27"/>
        </w:rPr>
        <w:t xml:space="preserve">Căn cứ pháp lý: Khoản 2 Điều 20 Nghị định số 214/2025/NĐ-CP. Quy định nêu rõ: 'Đối với gói thầu dịch vụ tư vấn, </w:t>
      </w:r>
      <w:r w:rsidRPr="005D31F5">
        <w:rPr>
          <w:rFonts w:ascii="Arial" w:hAnsi="Arial" w:cs="Arial"/>
          <w:sz w:val="27"/>
          <w:szCs w:val="27"/>
          <w:highlight w:val="yellow"/>
        </w:rPr>
        <w:t>thông tin về uy tín trong việc tham dự thầu được sử dụng để đánh giá về kỹ thuật</w:t>
      </w:r>
      <w:r>
        <w:rPr>
          <w:rFonts w:ascii="Arial" w:hAnsi="Arial" w:cs="Arial"/>
          <w:sz w:val="27"/>
          <w:szCs w:val="27"/>
        </w:rPr>
        <w:t xml:space="preserve"> (nếu có)'.</w:t>
      </w:r>
      <w:bookmarkEnd w:id="0"/>
    </w:p>
    <w:p w:rsidR="00137B78" w:rsidRDefault="00137B78" w:rsidP="00494CBA">
      <w:pPr>
        <w:rPr>
          <w:rFonts w:ascii="Arial" w:hAnsi="Arial" w:cs="Arial"/>
          <w:sz w:val="27"/>
          <w:szCs w:val="27"/>
        </w:rPr>
      </w:pPr>
    </w:p>
    <w:p w:rsidR="00137B78" w:rsidRDefault="00137B78" w:rsidP="00137B78">
      <w:pPr>
        <w:rPr>
          <w:rFonts w:ascii="Arial" w:hAnsi="Arial" w:cs="Arial"/>
          <w:sz w:val="27"/>
          <w:szCs w:val="27"/>
        </w:rPr>
      </w:pPr>
      <w:r w:rsidRPr="00137B78">
        <w:rPr>
          <w:rFonts w:ascii="Arial" w:hAnsi="Arial" w:cs="Arial"/>
          <w:sz w:val="27"/>
          <w:szCs w:val="27"/>
        </w:rPr>
        <w:t>Đối với việc giải quyết kiến nghị về các vấn đề trước khi có thông báo kết quả lựa chọn nhà thầu,</w:t>
      </w:r>
      <w:r>
        <w:rPr>
          <w:rFonts w:ascii="Arial" w:hAnsi="Arial" w:cs="Arial"/>
          <w:sz w:val="27"/>
          <w:szCs w:val="27"/>
        </w:rPr>
        <w:t xml:space="preserve"> </w:t>
      </w:r>
      <w:r w:rsidRPr="00137B78">
        <w:rPr>
          <w:rFonts w:ascii="Arial" w:hAnsi="Arial" w:cs="Arial"/>
          <w:sz w:val="27"/>
          <w:szCs w:val="27"/>
          <w:highlight w:val="yellow"/>
        </w:rPr>
        <w:t>Chủ đầu tư, người có thẩm quyền</w:t>
      </w:r>
    </w:p>
    <w:p w:rsidR="00137B78" w:rsidRDefault="00137B78" w:rsidP="00494CBA">
      <w:pPr>
        <w:rPr>
          <w:rFonts w:ascii="Arial" w:hAnsi="Arial" w:cs="Arial"/>
          <w:sz w:val="27"/>
          <w:szCs w:val="27"/>
        </w:rPr>
      </w:pPr>
    </w:p>
    <w:p w:rsidR="00137B78" w:rsidRDefault="00137B78" w:rsidP="00494CBA">
      <w:pPr>
        <w:rPr>
          <w:rFonts w:ascii="Arial" w:hAnsi="Arial" w:cs="Arial"/>
          <w:sz w:val="30"/>
          <w:szCs w:val="30"/>
        </w:rPr>
      </w:pPr>
      <w:r w:rsidRPr="00137B78">
        <w:t>Đối với việc giải quyết kiến nghị về kết quả lựa chọn nhà thầu</w:t>
      </w:r>
      <w:r>
        <w:t xml:space="preserve"> </w:t>
      </w:r>
      <w:r w:rsidRPr="00137B78">
        <w:rPr>
          <w:rFonts w:ascii="Arial" w:hAnsi="Arial" w:cs="Arial"/>
          <w:sz w:val="30"/>
          <w:szCs w:val="30"/>
          <w:highlight w:val="yellow"/>
        </w:rPr>
        <w:t>Chủ đầu tư, Hội đồng giải quyết kiến nghị</w:t>
      </w:r>
    </w:p>
    <w:p w:rsidR="00137B78" w:rsidRDefault="00137B78" w:rsidP="00494CBA">
      <w:pPr>
        <w:rPr>
          <w:rFonts w:ascii="Arial" w:hAnsi="Arial" w:cs="Arial"/>
          <w:sz w:val="30"/>
          <w:szCs w:val="30"/>
        </w:rPr>
      </w:pPr>
    </w:p>
    <w:p w:rsidR="00137B78" w:rsidRDefault="00137B78" w:rsidP="00494CBA">
      <w:pPr>
        <w:rPr>
          <w:rFonts w:ascii="Arial" w:hAnsi="Arial" w:cs="Arial"/>
          <w:sz w:val="27"/>
          <w:szCs w:val="27"/>
        </w:rPr>
      </w:pPr>
      <w:r>
        <w:rPr>
          <w:rFonts w:ascii="Arial" w:hAnsi="Arial" w:cs="Arial"/>
          <w:sz w:val="27"/>
          <w:szCs w:val="27"/>
        </w:rPr>
        <w:t xml:space="preserve">Căn cứ pháp lý: Khoản 2 Điều 89 Luật Đấu thầu. Luật quy định trường hợp đang </w:t>
      </w:r>
      <w:r w:rsidRPr="00137B78">
        <w:rPr>
          <w:rFonts w:ascii="Arial" w:hAnsi="Arial" w:cs="Arial"/>
          <w:sz w:val="27"/>
          <w:szCs w:val="27"/>
          <w:highlight w:val="yellow"/>
        </w:rPr>
        <w:t>trong quá trình giải quyết kiến nghị mà nhà thầu khởi kiện, khiếu nại, tố cáo thì việc giải quyết kiến nghị được chấm dứt ngay</w:t>
      </w:r>
      <w:r>
        <w:rPr>
          <w:rFonts w:ascii="Arial" w:hAnsi="Arial" w:cs="Arial"/>
          <w:sz w:val="27"/>
          <w:szCs w:val="27"/>
        </w:rPr>
        <w:t>.</w:t>
      </w:r>
    </w:p>
    <w:p w:rsidR="00137B78" w:rsidRDefault="00137B78" w:rsidP="00494CBA">
      <w:pPr>
        <w:rPr>
          <w:rFonts w:ascii="Arial" w:hAnsi="Arial" w:cs="Arial"/>
          <w:sz w:val="27"/>
          <w:szCs w:val="27"/>
        </w:rPr>
      </w:pPr>
    </w:p>
    <w:p w:rsidR="00137B78" w:rsidRDefault="00137B78" w:rsidP="00494CBA">
      <w:pPr>
        <w:rPr>
          <w:rFonts w:ascii="Arial" w:hAnsi="Arial" w:cs="Arial"/>
          <w:sz w:val="27"/>
          <w:szCs w:val="27"/>
        </w:rPr>
      </w:pPr>
      <w:r>
        <w:rPr>
          <w:rFonts w:ascii="Arial" w:hAnsi="Arial" w:cs="Arial"/>
          <w:sz w:val="27"/>
          <w:szCs w:val="27"/>
        </w:rPr>
        <w:lastRenderedPageBreak/>
        <w:t>Căn cứ pháp lý: Điểm đ Khoản 2 Điều 137 Nghị định số 214/2025/NĐ-CP. Chi phí giải quyết kiến nghị (đối với kiến nghị về kết quả lựa chọn nhà thầu gửi đến Hội đồng) được nộp cho bộ phận thường trực giúp việc cho Chủ tịch Hội đồng giải quyết kiến ngh</w:t>
      </w:r>
    </w:p>
    <w:p w:rsidR="00137B78" w:rsidRPr="00494CBA" w:rsidRDefault="00137B78" w:rsidP="00494CBA"/>
    <w:sectPr w:rsidR="00137B78" w:rsidRPr="00494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E78"/>
    <w:rsid w:val="000E24BA"/>
    <w:rsid w:val="00137B78"/>
    <w:rsid w:val="001546DA"/>
    <w:rsid w:val="001815C2"/>
    <w:rsid w:val="00222E52"/>
    <w:rsid w:val="002A7FD0"/>
    <w:rsid w:val="00494CBA"/>
    <w:rsid w:val="005D31F5"/>
    <w:rsid w:val="007079CB"/>
    <w:rsid w:val="007B2F62"/>
    <w:rsid w:val="008D2E78"/>
    <w:rsid w:val="00A243D6"/>
    <w:rsid w:val="00AD3027"/>
    <w:rsid w:val="00C94A2B"/>
    <w:rsid w:val="00CE3835"/>
    <w:rsid w:val="00DD133A"/>
    <w:rsid w:val="00FB1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DDA180"/>
  <w15:chartTrackingRefBased/>
  <w15:docId w15:val="{80B066DE-0AEA-4A4B-9166-009040F4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D31F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kern w:val="0"/>
      <w:sz w:val="26"/>
      <w:szCs w:val="18"/>
      <w14:ligatures w14:val="none"/>
    </w:rPr>
  </w:style>
  <w:style w:type="character" w:customStyle="1" w:styleId="answernumber">
    <w:name w:val="answernumber"/>
    <w:basedOn w:val="DefaultParagraphFont"/>
    <w:rsid w:val="008D2E78"/>
  </w:style>
  <w:style w:type="character" w:customStyle="1" w:styleId="Heading3Char">
    <w:name w:val="Heading 3 Char"/>
    <w:basedOn w:val="DefaultParagraphFont"/>
    <w:link w:val="Heading3"/>
    <w:uiPriority w:val="9"/>
    <w:rsid w:val="005D31F5"/>
    <w:rPr>
      <w:rFonts w:ascii="Times New Roman" w:eastAsia="Times New Roman" w:hAnsi="Times New Roman" w:cs="Times New Roman"/>
      <w:b/>
      <w:bCs/>
      <w:kern w:val="0"/>
      <w:sz w:val="27"/>
      <w:szCs w:val="27"/>
      <w14:ligatures w14:val="none"/>
    </w:rPr>
  </w:style>
  <w:style w:type="character" w:customStyle="1" w:styleId="w-8">
    <w:name w:val="w-8"/>
    <w:basedOn w:val="DefaultParagraphFont"/>
    <w:rsid w:val="005D3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989774">
      <w:bodyDiv w:val="1"/>
      <w:marLeft w:val="0"/>
      <w:marRight w:val="0"/>
      <w:marTop w:val="0"/>
      <w:marBottom w:val="0"/>
      <w:divBdr>
        <w:top w:val="none" w:sz="0" w:space="0" w:color="auto"/>
        <w:left w:val="none" w:sz="0" w:space="0" w:color="auto"/>
        <w:bottom w:val="none" w:sz="0" w:space="0" w:color="auto"/>
        <w:right w:val="none" w:sz="0" w:space="0" w:color="auto"/>
      </w:divBdr>
      <w:divsChild>
        <w:div w:id="1467235534">
          <w:marLeft w:val="0"/>
          <w:marRight w:val="0"/>
          <w:marTop w:val="0"/>
          <w:marBottom w:val="360"/>
          <w:divBdr>
            <w:top w:val="none" w:sz="0" w:space="0" w:color="auto"/>
            <w:left w:val="none" w:sz="0" w:space="0" w:color="auto"/>
            <w:bottom w:val="none" w:sz="0" w:space="0" w:color="auto"/>
            <w:right w:val="none" w:sz="0" w:space="0" w:color="auto"/>
          </w:divBdr>
          <w:divsChild>
            <w:div w:id="2061199136">
              <w:marLeft w:val="0"/>
              <w:marRight w:val="0"/>
              <w:marTop w:val="0"/>
              <w:marBottom w:val="0"/>
              <w:divBdr>
                <w:top w:val="none" w:sz="0" w:space="0" w:color="auto"/>
                <w:left w:val="none" w:sz="0" w:space="0" w:color="auto"/>
                <w:bottom w:val="none" w:sz="0" w:space="0" w:color="auto"/>
                <w:right w:val="none" w:sz="0" w:space="0" w:color="auto"/>
              </w:divBdr>
            </w:div>
          </w:divsChild>
        </w:div>
        <w:div w:id="1083071058">
          <w:marLeft w:val="0"/>
          <w:marRight w:val="0"/>
          <w:marTop w:val="0"/>
          <w:marBottom w:val="0"/>
          <w:divBdr>
            <w:top w:val="none" w:sz="0" w:space="0" w:color="auto"/>
            <w:left w:val="none" w:sz="0" w:space="0" w:color="auto"/>
            <w:bottom w:val="none" w:sz="0" w:space="0" w:color="auto"/>
            <w:right w:val="none" w:sz="0" w:space="0" w:color="auto"/>
          </w:divBdr>
          <w:divsChild>
            <w:div w:id="790634373">
              <w:marLeft w:val="0"/>
              <w:marRight w:val="0"/>
              <w:marTop w:val="0"/>
              <w:marBottom w:val="0"/>
              <w:divBdr>
                <w:top w:val="none" w:sz="0" w:space="0" w:color="auto"/>
                <w:left w:val="none" w:sz="0" w:space="0" w:color="auto"/>
                <w:bottom w:val="none" w:sz="0" w:space="0" w:color="auto"/>
                <w:right w:val="none" w:sz="0" w:space="0" w:color="auto"/>
              </w:divBdr>
              <w:divsChild>
                <w:div w:id="11522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77676">
      <w:bodyDiv w:val="1"/>
      <w:marLeft w:val="0"/>
      <w:marRight w:val="0"/>
      <w:marTop w:val="0"/>
      <w:marBottom w:val="0"/>
      <w:divBdr>
        <w:top w:val="none" w:sz="0" w:space="0" w:color="auto"/>
        <w:left w:val="none" w:sz="0" w:space="0" w:color="auto"/>
        <w:bottom w:val="none" w:sz="0" w:space="0" w:color="auto"/>
        <w:right w:val="none" w:sz="0" w:space="0" w:color="auto"/>
      </w:divBdr>
      <w:divsChild>
        <w:div w:id="1216507119">
          <w:marLeft w:val="0"/>
          <w:marRight w:val="0"/>
          <w:marTop w:val="0"/>
          <w:marBottom w:val="0"/>
          <w:divBdr>
            <w:top w:val="none" w:sz="0" w:space="0" w:color="auto"/>
            <w:left w:val="none" w:sz="0" w:space="0" w:color="auto"/>
            <w:bottom w:val="none" w:sz="0" w:space="0" w:color="auto"/>
            <w:right w:val="none" w:sz="0" w:space="0" w:color="auto"/>
          </w:divBdr>
        </w:div>
      </w:divsChild>
    </w:div>
    <w:div w:id="830870516">
      <w:bodyDiv w:val="1"/>
      <w:marLeft w:val="0"/>
      <w:marRight w:val="0"/>
      <w:marTop w:val="0"/>
      <w:marBottom w:val="0"/>
      <w:divBdr>
        <w:top w:val="none" w:sz="0" w:space="0" w:color="auto"/>
        <w:left w:val="none" w:sz="0" w:space="0" w:color="auto"/>
        <w:bottom w:val="none" w:sz="0" w:space="0" w:color="auto"/>
        <w:right w:val="none" w:sz="0" w:space="0" w:color="auto"/>
      </w:divBdr>
      <w:divsChild>
        <w:div w:id="1720939085">
          <w:marLeft w:val="0"/>
          <w:marRight w:val="0"/>
          <w:marTop w:val="0"/>
          <w:marBottom w:val="0"/>
          <w:divBdr>
            <w:top w:val="single" w:sz="2" w:space="0" w:color="auto"/>
            <w:left w:val="single" w:sz="2" w:space="0" w:color="auto"/>
            <w:bottom w:val="single" w:sz="2" w:space="0" w:color="auto"/>
            <w:right w:val="single" w:sz="2" w:space="0" w:color="auto"/>
          </w:divBdr>
        </w:div>
        <w:div w:id="1940674964">
          <w:marLeft w:val="0"/>
          <w:marRight w:val="0"/>
          <w:marTop w:val="0"/>
          <w:marBottom w:val="0"/>
          <w:divBdr>
            <w:top w:val="single" w:sz="2" w:space="0" w:color="auto"/>
            <w:left w:val="single" w:sz="2" w:space="0" w:color="auto"/>
            <w:bottom w:val="single" w:sz="2" w:space="0" w:color="auto"/>
            <w:right w:val="single" w:sz="2" w:space="0" w:color="auto"/>
          </w:divBdr>
          <w:divsChild>
            <w:div w:id="212549396">
              <w:marLeft w:val="0"/>
              <w:marRight w:val="0"/>
              <w:marTop w:val="0"/>
              <w:marBottom w:val="0"/>
              <w:divBdr>
                <w:top w:val="none" w:sz="0" w:space="0" w:color="auto"/>
                <w:left w:val="none" w:sz="0" w:space="0" w:color="auto"/>
                <w:bottom w:val="none" w:sz="0" w:space="0" w:color="auto"/>
                <w:right w:val="none" w:sz="0" w:space="0" w:color="auto"/>
              </w:divBdr>
              <w:divsChild>
                <w:div w:id="601189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1875844">
      <w:bodyDiv w:val="1"/>
      <w:marLeft w:val="0"/>
      <w:marRight w:val="0"/>
      <w:marTop w:val="0"/>
      <w:marBottom w:val="0"/>
      <w:divBdr>
        <w:top w:val="none" w:sz="0" w:space="0" w:color="auto"/>
        <w:left w:val="none" w:sz="0" w:space="0" w:color="auto"/>
        <w:bottom w:val="none" w:sz="0" w:space="0" w:color="auto"/>
        <w:right w:val="none" w:sz="0" w:space="0" w:color="auto"/>
      </w:divBdr>
      <w:divsChild>
        <w:div w:id="1155072248">
          <w:marLeft w:val="0"/>
          <w:marRight w:val="0"/>
          <w:marTop w:val="0"/>
          <w:marBottom w:val="0"/>
          <w:divBdr>
            <w:top w:val="none" w:sz="0" w:space="0" w:color="auto"/>
            <w:left w:val="none" w:sz="0" w:space="0" w:color="auto"/>
            <w:bottom w:val="none" w:sz="0" w:space="0" w:color="auto"/>
            <w:right w:val="none" w:sz="0" w:space="0" w:color="auto"/>
          </w:divBdr>
        </w:div>
      </w:divsChild>
    </w:div>
    <w:div w:id="1508211175">
      <w:bodyDiv w:val="1"/>
      <w:marLeft w:val="0"/>
      <w:marRight w:val="0"/>
      <w:marTop w:val="0"/>
      <w:marBottom w:val="0"/>
      <w:divBdr>
        <w:top w:val="none" w:sz="0" w:space="0" w:color="auto"/>
        <w:left w:val="none" w:sz="0" w:space="0" w:color="auto"/>
        <w:bottom w:val="none" w:sz="0" w:space="0" w:color="auto"/>
        <w:right w:val="none" w:sz="0" w:space="0" w:color="auto"/>
      </w:divBdr>
    </w:div>
    <w:div w:id="189230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3</cp:revision>
  <dcterms:created xsi:type="dcterms:W3CDTF">2026-09-23T07:36:00Z</dcterms:created>
  <dcterms:modified xsi:type="dcterms:W3CDTF">2026-09-23T08:06:00Z</dcterms:modified>
</cp:coreProperties>
</file>