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4CBA" w:rsidRDefault="00494CBA" w:rsidP="00494CBA">
      <w:pPr>
        <w:rPr>
          <w:rFonts w:ascii="Arial" w:hAnsi="Arial" w:cs="Arial"/>
          <w:sz w:val="27"/>
          <w:szCs w:val="27"/>
        </w:rPr>
      </w:pPr>
      <w:r>
        <w:rPr>
          <w:rFonts w:ascii="Arial" w:hAnsi="Arial" w:cs="Arial"/>
          <w:sz w:val="27"/>
          <w:szCs w:val="27"/>
        </w:rPr>
        <w:t>Việc lập hồ sơ mời thầu là tác nghiệp cụ thể của Tổ chuyên gia (Điều 80), không phải là nội d</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p>
    <w:p w:rsidR="001815C2" w:rsidRDefault="00494CBA" w:rsidP="00494CBA">
      <w:pPr>
        <w:rPr>
          <w:rFonts w:ascii="Arial" w:hAnsi="Arial" w:cs="Arial"/>
          <w:sz w:val="27"/>
          <w:szCs w:val="27"/>
        </w:rPr>
      </w:pPr>
      <w:r>
        <w:rPr>
          <w:rFonts w:ascii="Arial" w:hAnsi="Arial" w:cs="Arial"/>
          <w:sz w:val="27"/>
          <w:szCs w:val="27"/>
        </w:rPr>
        <w:t xml:space="preserve">Căn cứ pháp lý: Khoản 2 Điều 86 Luật Đấu thầu và Điều 126 Nghị định số 214/2025/NĐ-CP. Pháp luật quy định kiểm tra hoạt động đấu thầu được thực hiện theo kế </w:t>
      </w:r>
      <w:r w:rsidRPr="00494CBA">
        <w:rPr>
          <w:rFonts w:ascii="Arial" w:hAnsi="Arial" w:cs="Arial"/>
          <w:sz w:val="27"/>
          <w:szCs w:val="27"/>
          <w:highlight w:val="yellow"/>
        </w:rPr>
        <w:t>hoạch định kỳ hoặc đột xuất</w:t>
      </w:r>
      <w:r>
        <w:rPr>
          <w:rFonts w:ascii="Arial" w:hAnsi="Arial" w:cs="Arial"/>
          <w:sz w:val="27"/>
          <w:szCs w:val="27"/>
        </w:rPr>
        <w:t xml:space="preserve"> theo quyết định của người đứng đầu cơ quan có thẩm quyền kiểm traung quản lý nhà nước.</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r>
        <w:rPr>
          <w:rFonts w:ascii="Arial" w:hAnsi="Arial" w:cs="Arial"/>
          <w:sz w:val="27"/>
          <w:szCs w:val="27"/>
        </w:rPr>
        <w:t xml:space="preserve">Căn cứ pháp lý: Khoản 3 Điều 133 Nghị định số 214/2025/NĐ-CP. Nghị định quy định rõ thời hiệu áp dụng biện pháp cấm tham gia hoạt động đấu thầu là </w:t>
      </w:r>
      <w:r w:rsidRPr="00494CBA">
        <w:rPr>
          <w:rFonts w:ascii="Arial" w:hAnsi="Arial" w:cs="Arial"/>
          <w:sz w:val="27"/>
          <w:szCs w:val="27"/>
          <w:highlight w:val="yellow"/>
        </w:rPr>
        <w:t>10 năm tính từ ngày xảy ra hành vi vi phạm</w:t>
      </w:r>
      <w:r>
        <w:rPr>
          <w:rFonts w:ascii="Arial" w:hAnsi="Arial" w:cs="Arial"/>
          <w:sz w:val="27"/>
          <w:szCs w:val="27"/>
        </w:rPr>
        <w:t>.</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r>
        <w:rPr>
          <w:rFonts w:ascii="Arial" w:hAnsi="Arial" w:cs="Arial"/>
          <w:sz w:val="27"/>
          <w:szCs w:val="27"/>
        </w:rPr>
        <w:t xml:space="preserve">Căn cứ pháp lý: Khoản 3 Điều 87 Luật Đấu thầu. Thẩm quyền quyết định cấm tham gia hoạt động đấu thầu thuộc về: Người có thẩm quyền; Bộ trưởng, Thủ trưởng cơ quan ngang Bộ/cơ quan thuộc Chính phủ/cơ quan khác ở Trung ương; Chủ tịch UBND cấp tỉnh. </w:t>
      </w:r>
      <w:r w:rsidRPr="00494CBA">
        <w:rPr>
          <w:rFonts w:ascii="Arial" w:hAnsi="Arial" w:cs="Arial"/>
          <w:sz w:val="27"/>
          <w:szCs w:val="27"/>
          <w:highlight w:val="yellow"/>
        </w:rPr>
        <w:t>Chủ đầu tư không có thẩm quyền ban hành quyết định cấm.</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r>
        <w:rPr>
          <w:rFonts w:ascii="Arial" w:hAnsi="Arial" w:cs="Arial"/>
          <w:sz w:val="27"/>
          <w:szCs w:val="27"/>
        </w:rPr>
        <w:t xml:space="preserve">Căn cứ pháp lý: Khoản 2 Điều 133 Nghị định số 214/2025/NĐ-CP. Trường hợp có từ </w:t>
      </w:r>
      <w:r w:rsidRPr="00494CBA">
        <w:rPr>
          <w:rFonts w:ascii="Arial" w:hAnsi="Arial" w:cs="Arial"/>
          <w:sz w:val="27"/>
          <w:szCs w:val="27"/>
          <w:highlight w:val="yellow"/>
        </w:rPr>
        <w:t>02 hành vi vi phạm trở lên, thời gian cấm được xác định bằng tổng thời gian cấm của các hành vi vi phạm nhưng tối đa không quá 05 năm.</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r>
        <w:rPr>
          <w:rFonts w:ascii="Arial" w:hAnsi="Arial" w:cs="Arial"/>
          <w:sz w:val="27"/>
          <w:szCs w:val="27"/>
        </w:rPr>
        <w:t xml:space="preserve">Căn cứ pháp lý: Khoản 1 Điều 133 Nghị định số 214/2025/NĐ-CP. </w:t>
      </w:r>
      <w:r w:rsidRPr="00494CBA">
        <w:rPr>
          <w:rFonts w:ascii="Arial" w:hAnsi="Arial" w:cs="Arial"/>
          <w:sz w:val="27"/>
          <w:szCs w:val="27"/>
          <w:highlight w:val="yellow"/>
        </w:rPr>
        <w:t>Hành vi gian lận</w:t>
      </w:r>
      <w:r>
        <w:rPr>
          <w:rFonts w:ascii="Arial" w:hAnsi="Arial" w:cs="Arial"/>
          <w:sz w:val="27"/>
          <w:szCs w:val="27"/>
        </w:rPr>
        <w:t xml:space="preserve"> (quy định tại khoản 4 Điều 16 Luật Đấu thầu) </w:t>
      </w:r>
      <w:r w:rsidRPr="00494CBA">
        <w:rPr>
          <w:rFonts w:ascii="Arial" w:hAnsi="Arial" w:cs="Arial"/>
          <w:sz w:val="27"/>
          <w:szCs w:val="27"/>
          <w:highlight w:val="yellow"/>
        </w:rPr>
        <w:t>thuộc nhóm hành vi bị cấm tham gia hoạt động đấu thầu từ 03 năm đến 05 năm</w:t>
      </w:r>
      <w:r>
        <w:rPr>
          <w:rFonts w:ascii="Arial" w:hAnsi="Arial" w:cs="Arial"/>
          <w:sz w:val="27"/>
          <w:szCs w:val="27"/>
        </w:rPr>
        <w:t>.</w:t>
      </w:r>
    </w:p>
    <w:p w:rsidR="00494CBA" w:rsidRDefault="00494CBA" w:rsidP="00494CBA">
      <w:pPr>
        <w:rPr>
          <w:rFonts w:ascii="Arial" w:hAnsi="Arial" w:cs="Arial"/>
          <w:sz w:val="27"/>
          <w:szCs w:val="27"/>
        </w:rPr>
      </w:pPr>
    </w:p>
    <w:p w:rsidR="00494CBA" w:rsidRDefault="00494CBA" w:rsidP="00494CBA">
      <w:pPr>
        <w:rPr>
          <w:rFonts w:ascii="Arial" w:hAnsi="Arial" w:cs="Arial"/>
          <w:sz w:val="27"/>
          <w:szCs w:val="27"/>
        </w:rPr>
      </w:pPr>
      <w:r>
        <w:rPr>
          <w:rFonts w:ascii="Arial" w:hAnsi="Arial" w:cs="Arial"/>
          <w:sz w:val="27"/>
          <w:szCs w:val="27"/>
        </w:rPr>
        <w:t xml:space="preserve">Căn cứ pháp lý: Khoản 1 Điều 133 Nghị định số 214/2025/NĐ-CP. </w:t>
      </w:r>
      <w:r w:rsidRPr="00494CBA">
        <w:rPr>
          <w:rFonts w:ascii="Arial" w:hAnsi="Arial" w:cs="Arial"/>
          <w:sz w:val="27"/>
          <w:szCs w:val="27"/>
          <w:highlight w:val="yellow"/>
        </w:rPr>
        <w:t>Hành vi cản trở</w:t>
      </w:r>
      <w:r>
        <w:rPr>
          <w:rFonts w:ascii="Arial" w:hAnsi="Arial" w:cs="Arial"/>
          <w:sz w:val="27"/>
          <w:szCs w:val="27"/>
        </w:rPr>
        <w:t xml:space="preserve"> (quy định tại khoản 5 Điều 16 Luật Đấu thầu) thuộc nhóm hành vi bị </w:t>
      </w:r>
      <w:r w:rsidRPr="00494CBA">
        <w:rPr>
          <w:rFonts w:ascii="Arial" w:hAnsi="Arial" w:cs="Arial"/>
          <w:sz w:val="27"/>
          <w:szCs w:val="27"/>
          <w:highlight w:val="yellow"/>
        </w:rPr>
        <w:t>cấm tham gia hoạt động đấu thầu từ 01 năm đến 03 năm.</w:t>
      </w:r>
    </w:p>
    <w:p w:rsidR="005D31F5" w:rsidRDefault="005D31F5" w:rsidP="00494CBA">
      <w:pPr>
        <w:rPr>
          <w:rFonts w:ascii="Arial" w:hAnsi="Arial" w:cs="Arial"/>
          <w:sz w:val="27"/>
          <w:szCs w:val="27"/>
        </w:rPr>
      </w:pPr>
    </w:p>
    <w:p w:rsidR="005D31F5" w:rsidRDefault="005D31F5" w:rsidP="00494CBA">
      <w:pPr>
        <w:rPr>
          <w:rFonts w:ascii="Arial" w:hAnsi="Arial" w:cs="Arial"/>
          <w:sz w:val="27"/>
          <w:szCs w:val="27"/>
        </w:rPr>
      </w:pPr>
      <w:r>
        <w:rPr>
          <w:rFonts w:ascii="Arial" w:hAnsi="Arial" w:cs="Arial"/>
          <w:sz w:val="27"/>
          <w:szCs w:val="27"/>
        </w:rPr>
        <w:t xml:space="preserve">Căn cứ pháp lý: Khoản 1 Điều 18 Luật Đấu thầu. Luật quy định </w:t>
      </w:r>
      <w:r w:rsidRPr="005D31F5">
        <w:rPr>
          <w:rFonts w:ascii="Arial" w:hAnsi="Arial" w:cs="Arial"/>
          <w:sz w:val="27"/>
          <w:szCs w:val="27"/>
          <w:highlight w:val="yellow"/>
        </w:rPr>
        <w:t>đình chỉ</w:t>
      </w:r>
      <w:r>
        <w:rPr>
          <w:rFonts w:ascii="Arial" w:hAnsi="Arial" w:cs="Arial"/>
          <w:sz w:val="27"/>
          <w:szCs w:val="27"/>
        </w:rPr>
        <w:t xml:space="preserve"> cuộc thầu được thực hiện trong quá trình </w:t>
      </w:r>
      <w:r w:rsidRPr="005D31F5">
        <w:rPr>
          <w:rFonts w:ascii="Arial" w:hAnsi="Arial" w:cs="Arial"/>
          <w:sz w:val="27"/>
          <w:szCs w:val="27"/>
          <w:highlight w:val="yellow"/>
        </w:rPr>
        <w:t>tổ chức lựa chọn nhà thầu cho đến trước khi phê duyệt kết quả lựa chọn nhà thầu</w:t>
      </w:r>
      <w:r>
        <w:rPr>
          <w:rFonts w:ascii="Arial" w:hAnsi="Arial" w:cs="Arial"/>
          <w:sz w:val="27"/>
          <w:szCs w:val="27"/>
        </w:rPr>
        <w:t>.</w:t>
      </w:r>
    </w:p>
    <w:p w:rsidR="005D31F5" w:rsidRDefault="005D31F5" w:rsidP="00494CBA">
      <w:pPr>
        <w:rPr>
          <w:rFonts w:ascii="Arial" w:hAnsi="Arial" w:cs="Arial"/>
          <w:sz w:val="27"/>
          <w:szCs w:val="27"/>
        </w:rPr>
      </w:pPr>
    </w:p>
    <w:p w:rsidR="005D31F5" w:rsidRDefault="005D31F5" w:rsidP="00494CBA">
      <w:pPr>
        <w:rPr>
          <w:rFonts w:ascii="Arial" w:hAnsi="Arial" w:cs="Arial"/>
          <w:sz w:val="27"/>
          <w:szCs w:val="27"/>
        </w:rPr>
      </w:pPr>
      <w:r>
        <w:rPr>
          <w:rFonts w:ascii="Arial" w:hAnsi="Arial" w:cs="Arial"/>
          <w:sz w:val="27"/>
          <w:szCs w:val="27"/>
        </w:rPr>
        <w:t xml:space="preserve">Căn cứ pháp lý: Khoản 1 Điều 18 Luật Đấu thầu. Trong quá trình thực hiện hợp đồng, nếu có bằng chứng về vi phạm, người có thẩm quyền có thể áp dụng biện pháp </w:t>
      </w:r>
      <w:r w:rsidRPr="005D31F5">
        <w:rPr>
          <w:rFonts w:ascii="Arial" w:hAnsi="Arial" w:cs="Arial"/>
          <w:sz w:val="27"/>
          <w:szCs w:val="27"/>
          <w:highlight w:val="yellow"/>
        </w:rPr>
        <w:t>không công nhận</w:t>
      </w:r>
      <w:r>
        <w:rPr>
          <w:rFonts w:ascii="Arial" w:hAnsi="Arial" w:cs="Arial"/>
          <w:sz w:val="27"/>
          <w:szCs w:val="27"/>
        </w:rPr>
        <w:t xml:space="preserve"> kết quả lựa chọn nhà thầu. (Hủy thầu và Đình chỉ cuộc thầu chỉ áp dụng trong quá trình lựa chọn nhà thầu, trước khi ký hợp đồng hoặc trước khi phê duyệt kết quả).</w:t>
      </w:r>
    </w:p>
    <w:p w:rsidR="005D31F5" w:rsidRDefault="005D31F5" w:rsidP="00494CBA">
      <w:pPr>
        <w:rPr>
          <w:rFonts w:ascii="Arial" w:hAnsi="Arial" w:cs="Arial"/>
          <w:sz w:val="27"/>
          <w:szCs w:val="27"/>
        </w:rPr>
      </w:pPr>
    </w:p>
    <w:p w:rsidR="005D31F5" w:rsidRDefault="005D31F5" w:rsidP="00494CBA">
      <w:pPr>
        <w:rPr>
          <w:rFonts w:ascii="Arial" w:hAnsi="Arial" w:cs="Arial"/>
          <w:sz w:val="27"/>
          <w:szCs w:val="27"/>
        </w:rPr>
      </w:pPr>
      <w:r>
        <w:rPr>
          <w:rFonts w:ascii="Arial" w:hAnsi="Arial" w:cs="Arial"/>
          <w:sz w:val="27"/>
          <w:szCs w:val="27"/>
        </w:rPr>
        <w:lastRenderedPageBreak/>
        <w:t xml:space="preserve">Căn cứ pháp lý: Điểm g Khoản 6 Điều 16 Luật Đấu thầu và Khoản 1 Điều 133 Nghị định số 214/2025/NĐ-CP. </w:t>
      </w:r>
      <w:r w:rsidRPr="005D31F5">
        <w:rPr>
          <w:rFonts w:ascii="Arial" w:hAnsi="Arial" w:cs="Arial"/>
          <w:sz w:val="27"/>
          <w:szCs w:val="27"/>
          <w:highlight w:val="yellow"/>
        </w:rPr>
        <w:t>Hành vi nhà thầu tư vấn giám sát đồng thời thực hiện tư vấn kiểm định</w:t>
      </w:r>
      <w:r>
        <w:rPr>
          <w:rFonts w:ascii="Arial" w:hAnsi="Arial" w:cs="Arial"/>
          <w:sz w:val="27"/>
          <w:szCs w:val="27"/>
        </w:rPr>
        <w:t xml:space="preserve"> là hành vi không bảo đảm công bằng, minh bạch (bị cấm). Mức phạt cho nhóm hành vi vi phạm tại khoản 6 Điều 16 là </w:t>
      </w:r>
      <w:r w:rsidRPr="005D31F5">
        <w:rPr>
          <w:rFonts w:ascii="Arial" w:hAnsi="Arial" w:cs="Arial"/>
          <w:sz w:val="27"/>
          <w:szCs w:val="27"/>
          <w:highlight w:val="yellow"/>
        </w:rPr>
        <w:t>cấm từ 01 năm đến 03 năm (đối với điểm g).</w:t>
      </w:r>
    </w:p>
    <w:p w:rsidR="005D31F5" w:rsidRDefault="005D31F5" w:rsidP="00494CBA">
      <w:pPr>
        <w:rPr>
          <w:rFonts w:ascii="Arial" w:hAnsi="Arial" w:cs="Arial"/>
          <w:sz w:val="27"/>
          <w:szCs w:val="27"/>
        </w:rPr>
      </w:pPr>
    </w:p>
    <w:p w:rsidR="005D31F5" w:rsidRDefault="005D31F5" w:rsidP="00494CBA">
      <w:pPr>
        <w:rPr>
          <w:rFonts w:ascii="Arial" w:hAnsi="Arial" w:cs="Arial"/>
          <w:sz w:val="27"/>
          <w:szCs w:val="27"/>
        </w:rPr>
      </w:pPr>
      <w:r>
        <w:rPr>
          <w:rFonts w:ascii="Arial" w:hAnsi="Arial" w:cs="Arial"/>
          <w:sz w:val="27"/>
          <w:szCs w:val="27"/>
        </w:rPr>
        <w:t xml:space="preserve">Căn cứ pháp lý: Điểm b Khoản 6 Điều 16 Luật Đấu thầu và Khoản 1 Điều 133 Nghị định số 214/2025/NĐ-CP. </w:t>
      </w:r>
      <w:r w:rsidRPr="005D31F5">
        <w:rPr>
          <w:rFonts w:ascii="Arial" w:hAnsi="Arial" w:cs="Arial"/>
          <w:sz w:val="27"/>
          <w:szCs w:val="27"/>
          <w:highlight w:val="yellow"/>
        </w:rPr>
        <w:t>Hành vi tham gia lập đồng thời tham gia thẩm định hồ sơ mời thầu</w:t>
      </w:r>
      <w:r>
        <w:rPr>
          <w:rFonts w:ascii="Arial" w:hAnsi="Arial" w:cs="Arial"/>
          <w:sz w:val="27"/>
          <w:szCs w:val="27"/>
        </w:rPr>
        <w:t xml:space="preserve"> là hành vi không bảo đảm công bằng, minh bạch. Mức phạt cho hành vi tại điểm b khoản 6 Điều 16 là cấm từ </w:t>
      </w:r>
      <w:r w:rsidRPr="005D31F5">
        <w:rPr>
          <w:rFonts w:ascii="Arial" w:hAnsi="Arial" w:cs="Arial"/>
          <w:sz w:val="27"/>
          <w:szCs w:val="27"/>
          <w:highlight w:val="yellow"/>
        </w:rPr>
        <w:t>06 tháng đến 01 năm.</w:t>
      </w:r>
    </w:p>
    <w:p w:rsidR="005D31F5" w:rsidRDefault="005D31F5" w:rsidP="00494CBA">
      <w:pPr>
        <w:rPr>
          <w:rFonts w:ascii="Arial" w:hAnsi="Arial" w:cs="Arial"/>
          <w:sz w:val="27"/>
          <w:szCs w:val="27"/>
        </w:rPr>
      </w:pPr>
    </w:p>
    <w:p w:rsidR="005D31F5" w:rsidRDefault="005D31F5" w:rsidP="00494CBA">
      <w:pPr>
        <w:rPr>
          <w:rFonts w:ascii="Arial" w:hAnsi="Arial" w:cs="Arial"/>
          <w:sz w:val="27"/>
          <w:szCs w:val="27"/>
        </w:rPr>
      </w:pPr>
      <w:r>
        <w:rPr>
          <w:rFonts w:ascii="Arial" w:hAnsi="Arial" w:cs="Arial"/>
          <w:sz w:val="27"/>
          <w:szCs w:val="27"/>
        </w:rPr>
        <w:t xml:space="preserve">Căn cứ pháp lý: Khoản 1 Điều 133 Nghị định số 214/2025/NĐ-CP. </w:t>
      </w:r>
      <w:r w:rsidRPr="005D31F5">
        <w:rPr>
          <w:rFonts w:ascii="Arial" w:hAnsi="Arial" w:cs="Arial"/>
          <w:sz w:val="27"/>
          <w:szCs w:val="27"/>
          <w:highlight w:val="yellow"/>
        </w:rPr>
        <w:t>Hành vi dàn xếp, thỏa thuận rút hồ sơ để một bên trúng thầu là hành vi thông thầu</w:t>
      </w:r>
      <w:r>
        <w:rPr>
          <w:rFonts w:ascii="Arial" w:hAnsi="Arial" w:cs="Arial"/>
          <w:sz w:val="27"/>
          <w:szCs w:val="27"/>
        </w:rPr>
        <w:t xml:space="preserve"> (khoản 3 Điều 16 Luật). Nghị định quy định đối với hành vi thông thầu (điểm a khoản 3 Điều 16), việc cấm áp dụng với </w:t>
      </w:r>
      <w:r w:rsidRPr="005D31F5">
        <w:rPr>
          <w:rFonts w:ascii="Arial" w:hAnsi="Arial" w:cs="Arial"/>
          <w:sz w:val="27"/>
          <w:szCs w:val="27"/>
          <w:highlight w:val="yellow"/>
        </w:rPr>
        <w:t>tất cả thành viên</w:t>
      </w:r>
      <w:r>
        <w:rPr>
          <w:rFonts w:ascii="Arial" w:hAnsi="Arial" w:cs="Arial"/>
          <w:sz w:val="27"/>
          <w:szCs w:val="27"/>
        </w:rPr>
        <w:t xml:space="preserve"> liên danh. </w:t>
      </w:r>
      <w:r w:rsidRPr="005D31F5">
        <w:rPr>
          <w:rFonts w:ascii="Arial" w:hAnsi="Arial" w:cs="Arial"/>
          <w:sz w:val="27"/>
          <w:szCs w:val="27"/>
          <w:highlight w:val="yellow"/>
        </w:rPr>
        <w:t>Thời gian cấm cho hành vi thông thầu là 03 năm đến 05 năm.</w:t>
      </w:r>
    </w:p>
    <w:p w:rsidR="005D31F5" w:rsidRDefault="005D31F5" w:rsidP="00494CBA">
      <w:pPr>
        <w:rPr>
          <w:rFonts w:ascii="Arial" w:hAnsi="Arial" w:cs="Arial"/>
          <w:sz w:val="27"/>
          <w:szCs w:val="27"/>
        </w:rPr>
      </w:pPr>
    </w:p>
    <w:p w:rsidR="005D31F5" w:rsidRPr="005D31F5" w:rsidRDefault="005D31F5" w:rsidP="005D31F5">
      <w:pPr>
        <w:pStyle w:val="Heading3"/>
        <w:pBdr>
          <w:top w:val="single" w:sz="2" w:space="0" w:color="auto"/>
          <w:left w:val="single" w:sz="2" w:space="0" w:color="auto"/>
          <w:bottom w:val="single" w:sz="2" w:space="0" w:color="auto"/>
          <w:right w:val="single" w:sz="2" w:space="0" w:color="auto"/>
        </w:pBdr>
        <w:spacing w:before="0" w:beforeAutospacing="0" w:after="0" w:afterAutospacing="0"/>
      </w:pPr>
      <w:r>
        <w:br/>
      </w:r>
      <w:r w:rsidRPr="005D31F5">
        <w:t>Trường hợp nhà thầu bị đánh giá về uy tín khi thực hiện hành vi: được lựa chọn trúng thầu nhưng không tiến hành hoặc từ chối tiến hành hoàn thiện hợp đồng hoặc không ký kết hợp đồng thì khi tham gia gói thầu khác, nhà thầu sẽ bị bất lợi như thế nào?</w:t>
      </w:r>
    </w:p>
    <w:p w:rsidR="005D31F5" w:rsidRPr="005D31F5" w:rsidRDefault="005D31F5" w:rsidP="005D31F5">
      <w:pPr>
        <w:rPr>
          <w:rFonts w:ascii="Arial" w:eastAsia="Times New Roman" w:hAnsi="Arial" w:cs="Arial"/>
          <w:kern w:val="0"/>
          <w14:ligatures w14:val="none"/>
        </w:rPr>
      </w:pPr>
      <w:r w:rsidRPr="005D31F5">
        <w:rPr>
          <w:rFonts w:ascii="Arial" w:eastAsia="Times New Roman" w:hAnsi="Arial" w:cs="Arial"/>
          <w:kern w:val="0"/>
          <w:bdr w:val="single" w:sz="2" w:space="0" w:color="auto" w:frame="1"/>
          <w14:ligatures w14:val="none"/>
        </w:rPr>
        <w:t>A</w:t>
      </w:r>
    </w:p>
    <w:p w:rsidR="005D31F5" w:rsidRPr="005D31F5" w:rsidRDefault="005D31F5" w:rsidP="005D31F5">
      <w:pPr>
        <w:rPr>
          <w:rFonts w:ascii="Times New Roman" w:eastAsia="Times New Roman" w:hAnsi="Times New Roman" w:cs="Times New Roman"/>
          <w:kern w:val="0"/>
          <w14:ligatures w14:val="none"/>
        </w:rPr>
      </w:pPr>
    </w:p>
    <w:p w:rsidR="005D31F5" w:rsidRDefault="005D31F5" w:rsidP="00494CBA">
      <w:pPr>
        <w:rPr>
          <w:rFonts w:ascii="Arial" w:hAnsi="Arial" w:cs="Arial"/>
          <w:sz w:val="30"/>
          <w:szCs w:val="30"/>
        </w:rPr>
      </w:pPr>
      <w:r w:rsidRPr="005D31F5">
        <w:rPr>
          <w:rFonts w:ascii="Arial" w:hAnsi="Arial" w:cs="Arial"/>
          <w:sz w:val="30"/>
          <w:szCs w:val="30"/>
          <w:highlight w:val="yellow"/>
        </w:rPr>
        <w:t>Đối với gói thầu tư vấn, thông tin uy tín này sẽ được sử dụng để đánh giá về kỹ thuật</w:t>
      </w:r>
    </w:p>
    <w:p w:rsidR="005D31F5" w:rsidRDefault="005D31F5" w:rsidP="00494CBA">
      <w:pPr>
        <w:rPr>
          <w:rFonts w:ascii="Arial" w:hAnsi="Arial" w:cs="Arial"/>
          <w:sz w:val="30"/>
          <w:szCs w:val="30"/>
        </w:rPr>
      </w:pPr>
    </w:p>
    <w:p w:rsidR="005D31F5" w:rsidRDefault="005D31F5" w:rsidP="00494CBA">
      <w:pPr>
        <w:rPr>
          <w:rFonts w:ascii="Arial" w:hAnsi="Arial" w:cs="Arial"/>
          <w:sz w:val="27"/>
          <w:szCs w:val="27"/>
        </w:rPr>
      </w:pPr>
      <w:bookmarkStart w:id="0" w:name="_Hlk241067853"/>
      <w:r>
        <w:rPr>
          <w:rFonts w:ascii="Arial" w:hAnsi="Arial" w:cs="Arial"/>
          <w:sz w:val="27"/>
          <w:szCs w:val="27"/>
        </w:rPr>
        <w:t xml:space="preserve">Căn cứ pháp lý: Khoản 2 Điều 20 Nghị định số 214/2025/NĐ-CP. Quy định nêu rõ: 'Đối với gói thầu dịch vụ tư vấn, </w:t>
      </w:r>
      <w:r w:rsidRPr="005D31F5">
        <w:rPr>
          <w:rFonts w:ascii="Arial" w:hAnsi="Arial" w:cs="Arial"/>
          <w:sz w:val="27"/>
          <w:szCs w:val="27"/>
          <w:highlight w:val="yellow"/>
        </w:rPr>
        <w:t>thông tin về uy tín trong việc tham dự thầu được sử dụng để đánh giá về kỹ thuật</w:t>
      </w:r>
      <w:r>
        <w:rPr>
          <w:rFonts w:ascii="Arial" w:hAnsi="Arial" w:cs="Arial"/>
          <w:sz w:val="27"/>
          <w:szCs w:val="27"/>
        </w:rPr>
        <w:t xml:space="preserve"> (nếu có)'.</w:t>
      </w:r>
      <w:bookmarkEnd w:id="0"/>
    </w:p>
    <w:p w:rsidR="00137B78" w:rsidRDefault="00137B78" w:rsidP="00494CBA">
      <w:pPr>
        <w:rPr>
          <w:rFonts w:ascii="Arial" w:hAnsi="Arial" w:cs="Arial"/>
          <w:sz w:val="27"/>
          <w:szCs w:val="27"/>
        </w:rPr>
      </w:pPr>
    </w:p>
    <w:p w:rsidR="00137B78" w:rsidRDefault="00137B78" w:rsidP="00137B78">
      <w:pPr>
        <w:rPr>
          <w:rFonts w:ascii="Arial" w:hAnsi="Arial" w:cs="Arial"/>
          <w:sz w:val="27"/>
          <w:szCs w:val="27"/>
        </w:rPr>
      </w:pPr>
      <w:r w:rsidRPr="00137B78">
        <w:rPr>
          <w:rFonts w:ascii="Arial" w:hAnsi="Arial" w:cs="Arial"/>
          <w:sz w:val="27"/>
          <w:szCs w:val="27"/>
        </w:rPr>
        <w:t>Đối với việc giải quyết kiến nghị về các vấn đề trước khi có thông báo kết quả lựa chọn nhà thầu,</w:t>
      </w:r>
      <w:r>
        <w:rPr>
          <w:rFonts w:ascii="Arial" w:hAnsi="Arial" w:cs="Arial"/>
          <w:sz w:val="27"/>
          <w:szCs w:val="27"/>
        </w:rPr>
        <w:t xml:space="preserve"> </w:t>
      </w:r>
      <w:r w:rsidRPr="00137B78">
        <w:rPr>
          <w:rFonts w:ascii="Arial" w:hAnsi="Arial" w:cs="Arial"/>
          <w:sz w:val="27"/>
          <w:szCs w:val="27"/>
          <w:highlight w:val="yellow"/>
        </w:rPr>
        <w:t>Chủ đầu tư, người có thẩm quyền</w:t>
      </w:r>
    </w:p>
    <w:p w:rsidR="00137B78" w:rsidRDefault="00137B78" w:rsidP="00494CBA">
      <w:pPr>
        <w:rPr>
          <w:rFonts w:ascii="Arial" w:hAnsi="Arial" w:cs="Arial"/>
          <w:sz w:val="27"/>
          <w:szCs w:val="27"/>
        </w:rPr>
      </w:pPr>
    </w:p>
    <w:p w:rsidR="00137B78" w:rsidRDefault="00137B78" w:rsidP="00494CBA">
      <w:pPr>
        <w:rPr>
          <w:rFonts w:ascii="Arial" w:hAnsi="Arial" w:cs="Arial"/>
          <w:sz w:val="30"/>
          <w:szCs w:val="30"/>
        </w:rPr>
      </w:pPr>
      <w:r w:rsidRPr="00137B78">
        <w:t>Đối với việc giải quyết kiến nghị về kết quả lựa chọn nhà thầu</w:t>
      </w:r>
      <w:r>
        <w:t xml:space="preserve"> </w:t>
      </w:r>
      <w:r w:rsidRPr="00137B78">
        <w:rPr>
          <w:rFonts w:ascii="Arial" w:hAnsi="Arial" w:cs="Arial"/>
          <w:sz w:val="30"/>
          <w:szCs w:val="30"/>
          <w:highlight w:val="yellow"/>
        </w:rPr>
        <w:t>Chủ đầu tư, Hội đồng giải quyết kiến nghị</w:t>
      </w:r>
    </w:p>
    <w:p w:rsidR="00137B78" w:rsidRDefault="00137B78" w:rsidP="00494CBA">
      <w:pPr>
        <w:rPr>
          <w:rFonts w:ascii="Arial" w:hAnsi="Arial" w:cs="Arial"/>
          <w:sz w:val="30"/>
          <w:szCs w:val="30"/>
        </w:rPr>
      </w:pPr>
    </w:p>
    <w:p w:rsidR="00137B78" w:rsidRDefault="00137B78" w:rsidP="00494CBA">
      <w:pPr>
        <w:rPr>
          <w:rFonts w:ascii="Arial" w:hAnsi="Arial" w:cs="Arial"/>
          <w:sz w:val="27"/>
          <w:szCs w:val="27"/>
        </w:rPr>
      </w:pPr>
      <w:r>
        <w:rPr>
          <w:rFonts w:ascii="Arial" w:hAnsi="Arial" w:cs="Arial"/>
          <w:sz w:val="27"/>
          <w:szCs w:val="27"/>
        </w:rPr>
        <w:t xml:space="preserve">Căn cứ pháp lý: Khoản 2 Điều 89 Luật Đấu thầu. Luật quy định trường hợp đang </w:t>
      </w:r>
      <w:r w:rsidRPr="00137B78">
        <w:rPr>
          <w:rFonts w:ascii="Arial" w:hAnsi="Arial" w:cs="Arial"/>
          <w:sz w:val="27"/>
          <w:szCs w:val="27"/>
          <w:highlight w:val="yellow"/>
        </w:rPr>
        <w:t>trong quá trình giải quyết kiến nghị mà nhà thầu khởi kiện, khiếu nại, tố cáo thì việc giải quyết kiến nghị được chấm dứt ngay</w:t>
      </w:r>
      <w:r>
        <w:rPr>
          <w:rFonts w:ascii="Arial" w:hAnsi="Arial" w:cs="Arial"/>
          <w:sz w:val="27"/>
          <w:szCs w:val="27"/>
        </w:rPr>
        <w:t>.</w:t>
      </w:r>
    </w:p>
    <w:p w:rsidR="00137B78" w:rsidRDefault="00137B78" w:rsidP="00494CBA">
      <w:pPr>
        <w:rPr>
          <w:rFonts w:ascii="Arial" w:hAnsi="Arial" w:cs="Arial"/>
          <w:sz w:val="27"/>
          <w:szCs w:val="27"/>
        </w:rPr>
      </w:pPr>
    </w:p>
    <w:p w:rsidR="00137B78" w:rsidRDefault="00137B78" w:rsidP="00494CBA">
      <w:pPr>
        <w:rPr>
          <w:rFonts w:ascii="Arial" w:hAnsi="Arial" w:cs="Arial"/>
          <w:sz w:val="27"/>
          <w:szCs w:val="27"/>
        </w:rPr>
      </w:pPr>
      <w:r>
        <w:rPr>
          <w:rFonts w:ascii="Arial" w:hAnsi="Arial" w:cs="Arial"/>
          <w:sz w:val="27"/>
          <w:szCs w:val="27"/>
        </w:rPr>
        <w:lastRenderedPageBreak/>
        <w:t xml:space="preserve">Căn cứ pháp lý: Điểm đ Khoản 2 Điều 137 Nghị định số 214/2025/NĐ-CP. </w:t>
      </w:r>
      <w:r w:rsidRPr="000B726C">
        <w:rPr>
          <w:rFonts w:ascii="Arial" w:hAnsi="Arial" w:cs="Arial"/>
          <w:sz w:val="27"/>
          <w:szCs w:val="27"/>
          <w:highlight w:val="yellow"/>
        </w:rPr>
        <w:t>Chi phí giải quyết kiến nghị</w:t>
      </w:r>
      <w:r>
        <w:rPr>
          <w:rFonts w:ascii="Arial" w:hAnsi="Arial" w:cs="Arial"/>
          <w:sz w:val="27"/>
          <w:szCs w:val="27"/>
        </w:rPr>
        <w:t xml:space="preserve"> (đối với kiến nghị về kết quả lựa chọn nhà thầu gửi đến Hội đồng) </w:t>
      </w:r>
      <w:r w:rsidRPr="000B726C">
        <w:rPr>
          <w:rFonts w:ascii="Arial" w:hAnsi="Arial" w:cs="Arial"/>
          <w:sz w:val="27"/>
          <w:szCs w:val="27"/>
          <w:highlight w:val="yellow"/>
        </w:rPr>
        <w:t>được nộp cho bộ phận thường trực giúp việc cho Chủ tịch Hội đồng giải quyết kiến ngh</w:t>
      </w:r>
      <w:r w:rsidR="000B726C">
        <w:rPr>
          <w:rFonts w:ascii="Arial" w:hAnsi="Arial" w:cs="Arial"/>
          <w:sz w:val="27"/>
          <w:szCs w:val="27"/>
        </w:rPr>
        <w:t>ị</w:t>
      </w:r>
    </w:p>
    <w:p w:rsidR="00D52CC6" w:rsidRDefault="00D52CC6" w:rsidP="00494CBA">
      <w:pPr>
        <w:rPr>
          <w:rFonts w:ascii="Arial" w:hAnsi="Arial" w:cs="Arial"/>
          <w:sz w:val="27"/>
          <w:szCs w:val="27"/>
        </w:rPr>
      </w:pPr>
    </w:p>
    <w:p w:rsidR="00D52CC6" w:rsidRDefault="00D52CC6" w:rsidP="00494CBA">
      <w:pPr>
        <w:rPr>
          <w:rFonts w:ascii="Arial" w:hAnsi="Arial" w:cs="Arial"/>
          <w:sz w:val="27"/>
          <w:szCs w:val="27"/>
        </w:rPr>
      </w:pPr>
    </w:p>
    <w:p w:rsidR="000B726C" w:rsidRDefault="000B726C" w:rsidP="00494CBA">
      <w:pPr>
        <w:rPr>
          <w:rFonts w:ascii="Arial" w:hAnsi="Arial" w:cs="Arial"/>
          <w:sz w:val="27"/>
          <w:szCs w:val="27"/>
        </w:rPr>
      </w:pPr>
    </w:p>
    <w:p w:rsidR="000B726C" w:rsidRDefault="000B726C" w:rsidP="00494CBA">
      <w:pPr>
        <w:rPr>
          <w:rFonts w:ascii="Arial" w:hAnsi="Arial" w:cs="Arial"/>
          <w:sz w:val="27"/>
          <w:szCs w:val="27"/>
        </w:rPr>
      </w:pPr>
      <w:r w:rsidRPr="000B726C">
        <w:rPr>
          <w:rFonts w:ascii="Arial" w:hAnsi="Arial" w:cs="Arial"/>
          <w:sz w:val="27"/>
          <w:szCs w:val="27"/>
        </w:rPr>
        <w:t>Căn cứ pháp lý: Khoản 3 Điều 15 Nghị định số 214/2025/NĐ-CP</w:t>
      </w:r>
      <w:r w:rsidRPr="000B726C">
        <w:rPr>
          <w:rFonts w:ascii="Arial" w:hAnsi="Arial" w:cs="Arial"/>
          <w:sz w:val="27"/>
          <w:szCs w:val="27"/>
          <w:highlight w:val="yellow"/>
        </w:rPr>
        <w:t>. Nhà thầu không được hoàn trả chi phí nếu:</w:t>
      </w:r>
      <w:r w:rsidRPr="000B726C">
        <w:rPr>
          <w:rFonts w:ascii="Arial" w:hAnsi="Arial" w:cs="Arial"/>
          <w:sz w:val="27"/>
          <w:szCs w:val="27"/>
        </w:rPr>
        <w:t xml:space="preserve"> (1) </w:t>
      </w:r>
      <w:r w:rsidRPr="000B726C">
        <w:rPr>
          <w:rFonts w:ascii="Arial" w:hAnsi="Arial" w:cs="Arial"/>
          <w:sz w:val="27"/>
          <w:szCs w:val="27"/>
          <w:highlight w:val="yellow"/>
        </w:rPr>
        <w:t>Kiến nghị được kết luận là không đúng; hoặc (2) Nhà thầu rút đơn kiến nghị trong quá trình giải quyết.</w:t>
      </w:r>
    </w:p>
    <w:p w:rsidR="00D52CC6" w:rsidRDefault="00D52CC6" w:rsidP="00494CBA">
      <w:pPr>
        <w:rPr>
          <w:rFonts w:ascii="Arial" w:hAnsi="Arial" w:cs="Arial"/>
          <w:sz w:val="27"/>
          <w:szCs w:val="27"/>
        </w:rPr>
      </w:pPr>
    </w:p>
    <w:p w:rsidR="00D52CC6" w:rsidRDefault="00D52CC6" w:rsidP="00494CBA">
      <w:pPr>
        <w:rPr>
          <w:rFonts w:ascii="Arial" w:hAnsi="Arial" w:cs="Arial"/>
          <w:sz w:val="27"/>
          <w:szCs w:val="27"/>
        </w:rPr>
      </w:pPr>
      <w:r>
        <w:rPr>
          <w:rFonts w:ascii="Arial" w:hAnsi="Arial" w:cs="Arial"/>
          <w:sz w:val="27"/>
          <w:szCs w:val="27"/>
        </w:rPr>
        <w:t xml:space="preserve">Căn cứ pháp lý: Điểm b Khoản 2 Điều 138 Nghị định số 214/2025/NĐ-CP. Hội đồng </w:t>
      </w:r>
      <w:r w:rsidRPr="00D52CC6">
        <w:rPr>
          <w:rFonts w:ascii="Arial" w:hAnsi="Arial" w:cs="Arial"/>
          <w:sz w:val="27"/>
          <w:szCs w:val="27"/>
          <w:highlight w:val="yellow"/>
        </w:rPr>
        <w:t>giải quyết kiến nghị</w:t>
      </w:r>
      <w:r>
        <w:rPr>
          <w:rFonts w:ascii="Arial" w:hAnsi="Arial" w:cs="Arial"/>
          <w:sz w:val="27"/>
          <w:szCs w:val="27"/>
        </w:rPr>
        <w:t xml:space="preserve"> phải có văn bản giải quyết kiến nghị gửi đến nhà thầu </w:t>
      </w:r>
      <w:r w:rsidRPr="00D52CC6">
        <w:rPr>
          <w:rFonts w:ascii="Arial" w:hAnsi="Arial" w:cs="Arial"/>
          <w:sz w:val="27"/>
          <w:szCs w:val="27"/>
          <w:highlight w:val="yellow"/>
        </w:rPr>
        <w:t>trong thời hạn 30 ngày kể từ ngày Hội đồng được thành lập</w:t>
      </w:r>
      <w:r>
        <w:rPr>
          <w:rFonts w:ascii="Arial" w:hAnsi="Arial" w:cs="Arial"/>
          <w:sz w:val="27"/>
          <w:szCs w:val="27"/>
        </w:rPr>
        <w:t>.</w:t>
      </w:r>
    </w:p>
    <w:p w:rsidR="00D52CC6" w:rsidRDefault="00D52CC6" w:rsidP="00494CBA">
      <w:pPr>
        <w:rPr>
          <w:rFonts w:ascii="Arial" w:hAnsi="Arial" w:cs="Arial"/>
          <w:sz w:val="27"/>
          <w:szCs w:val="27"/>
        </w:rPr>
      </w:pPr>
    </w:p>
    <w:p w:rsidR="00D52CC6" w:rsidRDefault="00D52CC6" w:rsidP="00494CBA">
      <w:pPr>
        <w:rPr>
          <w:rFonts w:ascii="Arial" w:hAnsi="Arial" w:cs="Arial"/>
          <w:sz w:val="27"/>
          <w:szCs w:val="27"/>
        </w:rPr>
      </w:pPr>
    </w:p>
    <w:p w:rsidR="00137B78" w:rsidRDefault="00D52CC6" w:rsidP="00494CBA">
      <w:r w:rsidRPr="00D52CC6">
        <w:t>không phải vốn nhà nước</w:t>
      </w:r>
      <w:r>
        <w:t xml:space="preserve"> </w:t>
      </w:r>
      <w:r w:rsidRPr="00D52CC6">
        <w:rPr>
          <w:highlight w:val="yellow"/>
        </w:rPr>
        <w:t>Thực hiện theo quy trình về giải quyết kiến nghị do người đứng đầu Doanh nghiệp nhà nước A ban hành trong đơn vị mình.</w:t>
      </w:r>
    </w:p>
    <w:p w:rsidR="00D52CC6" w:rsidRDefault="00D52CC6" w:rsidP="00494CBA"/>
    <w:p w:rsidR="00D52CC6" w:rsidRDefault="00D52CC6" w:rsidP="00494CBA">
      <w:pPr>
        <w:rPr>
          <w:rFonts w:ascii="Arial" w:hAnsi="Arial" w:cs="Arial"/>
          <w:sz w:val="27"/>
          <w:szCs w:val="27"/>
        </w:rPr>
      </w:pPr>
      <w:r>
        <w:rPr>
          <w:rFonts w:ascii="Arial" w:hAnsi="Arial" w:cs="Arial"/>
          <w:sz w:val="27"/>
          <w:szCs w:val="27"/>
        </w:rPr>
        <w:t xml:space="preserve">Trường hợp nhà thầu </w:t>
      </w:r>
      <w:r w:rsidRPr="00D52CC6">
        <w:rPr>
          <w:rFonts w:ascii="Arial" w:hAnsi="Arial" w:cs="Arial"/>
          <w:sz w:val="27"/>
          <w:szCs w:val="27"/>
          <w:highlight w:val="yellow"/>
        </w:rPr>
        <w:t>gửi đơn kiến nghị đồng thời đến người có thẩm quyền và chủ đầu tư</w:t>
      </w:r>
      <w:r>
        <w:rPr>
          <w:rFonts w:ascii="Arial" w:hAnsi="Arial" w:cs="Arial"/>
          <w:sz w:val="27"/>
          <w:szCs w:val="27"/>
        </w:rPr>
        <w:t xml:space="preserve"> thì </w:t>
      </w:r>
      <w:r w:rsidRPr="00D52CC6">
        <w:rPr>
          <w:rFonts w:ascii="Arial" w:hAnsi="Arial" w:cs="Arial"/>
          <w:sz w:val="27"/>
          <w:szCs w:val="27"/>
          <w:highlight w:val="yellow"/>
        </w:rPr>
        <w:t>trách nhiệm giải quyết kiến nghị thuộc về Chủ đầu tư.</w:t>
      </w:r>
    </w:p>
    <w:p w:rsidR="00D52CC6" w:rsidRDefault="00D52CC6" w:rsidP="00494CBA">
      <w:pPr>
        <w:rPr>
          <w:rFonts w:ascii="Arial" w:hAnsi="Arial" w:cs="Arial"/>
          <w:sz w:val="27"/>
          <w:szCs w:val="27"/>
        </w:rPr>
      </w:pPr>
    </w:p>
    <w:p w:rsidR="00D52CC6" w:rsidRDefault="00D52CC6" w:rsidP="00494CBA">
      <w:pPr>
        <w:rPr>
          <w:rFonts w:ascii="Arial" w:hAnsi="Arial" w:cs="Arial"/>
          <w:sz w:val="27"/>
          <w:szCs w:val="27"/>
        </w:rPr>
      </w:pPr>
    </w:p>
    <w:p w:rsidR="00D52CC6" w:rsidRDefault="00D52CC6" w:rsidP="00494CBA">
      <w:pPr>
        <w:rPr>
          <w:rFonts w:ascii="Arial" w:hAnsi="Arial" w:cs="Arial"/>
          <w:sz w:val="27"/>
          <w:szCs w:val="27"/>
        </w:rPr>
      </w:pPr>
      <w:r>
        <w:rPr>
          <w:rStyle w:val="apple-converted-space"/>
          <w:rFonts w:ascii="Arial" w:hAnsi="Arial" w:cs="Arial"/>
          <w:sz w:val="27"/>
          <w:szCs w:val="27"/>
        </w:rPr>
        <w:t> </w:t>
      </w:r>
      <w:r>
        <w:rPr>
          <w:rFonts w:ascii="Arial" w:hAnsi="Arial" w:cs="Arial"/>
          <w:sz w:val="27"/>
          <w:szCs w:val="27"/>
        </w:rPr>
        <w:t xml:space="preserve">Trường hợp nhà </w:t>
      </w:r>
      <w:r w:rsidRPr="00D52CC6">
        <w:rPr>
          <w:rFonts w:ascii="Arial" w:hAnsi="Arial" w:cs="Arial"/>
          <w:sz w:val="27"/>
          <w:szCs w:val="27"/>
          <w:highlight w:val="yellow"/>
        </w:rPr>
        <w:t>thầu gửi đơn kiến nghị đồng thời đến bộ phận thường trực và chủ đầu tư</w:t>
      </w:r>
      <w:r>
        <w:rPr>
          <w:rFonts w:ascii="Arial" w:hAnsi="Arial" w:cs="Arial"/>
          <w:sz w:val="27"/>
          <w:szCs w:val="27"/>
        </w:rPr>
        <w:t xml:space="preserve"> thì trách nhiệm giải quyết kiến nghị thuộc </w:t>
      </w:r>
      <w:r w:rsidRPr="00D52CC6">
        <w:rPr>
          <w:rFonts w:ascii="Arial" w:hAnsi="Arial" w:cs="Arial"/>
          <w:sz w:val="27"/>
          <w:szCs w:val="27"/>
          <w:highlight w:val="yellow"/>
        </w:rPr>
        <w:t>Hội đồng giải quyết kiến nghị.</w:t>
      </w:r>
    </w:p>
    <w:p w:rsidR="00D52CC6" w:rsidRDefault="00D52CC6" w:rsidP="00494CBA">
      <w:pPr>
        <w:rPr>
          <w:rFonts w:ascii="Arial" w:hAnsi="Arial" w:cs="Arial"/>
          <w:sz w:val="27"/>
          <w:szCs w:val="27"/>
        </w:rPr>
      </w:pPr>
    </w:p>
    <w:p w:rsidR="00D52CC6" w:rsidRDefault="00D52CC6" w:rsidP="00D52CC6">
      <w:r>
        <w:t>Đơn vị sự nghiệp công lập (tự chủ chi thường xuyên và chi đầu tư) thuộc tỉnh B tổ chức đấu thầu cho dự án sử dụng vốn ngân sách nhà nước thì Giám đốc Sở Tài chính Tỉnh B có trách nhiệm thành lập Hội đồng giải quyết kiến nghị cho gói thầu có kiến nghị tại Dự án này hay không?</w:t>
      </w:r>
    </w:p>
    <w:p w:rsidR="00D52CC6" w:rsidRDefault="00D52CC6" w:rsidP="00D52CC6">
      <w:r>
        <w:t>A</w:t>
      </w:r>
    </w:p>
    <w:p w:rsidR="00D52CC6" w:rsidRDefault="00D52CC6" w:rsidP="00D52CC6">
      <w:r>
        <w:t>Có trách nhiệm thành lập</w:t>
      </w:r>
    </w:p>
    <w:p w:rsidR="005247A1" w:rsidRDefault="005247A1" w:rsidP="00D52CC6"/>
    <w:p w:rsidR="005247A1" w:rsidRDefault="005247A1" w:rsidP="00D52CC6">
      <w:pPr>
        <w:rPr>
          <w:rFonts w:ascii="Arial" w:hAnsi="Arial" w:cs="Arial"/>
          <w:sz w:val="27"/>
          <w:szCs w:val="27"/>
        </w:rPr>
      </w:pPr>
      <w:r>
        <w:rPr>
          <w:rFonts w:ascii="Arial" w:hAnsi="Arial" w:cs="Arial"/>
          <w:sz w:val="27"/>
          <w:szCs w:val="27"/>
        </w:rPr>
        <w:t>Hội đồng có quyền yêu cầu các bên cung cấp thông tin, tài liệu. Hội đồng không có quyền hủy thầu (quyền của người có thẩm quyền) hay yêu cầu dừng ký hợp đồng trực tiếp (</w:t>
      </w:r>
      <w:r w:rsidRPr="005247A1">
        <w:rPr>
          <w:rFonts w:ascii="Arial" w:hAnsi="Arial" w:cs="Arial"/>
          <w:sz w:val="27"/>
          <w:szCs w:val="27"/>
          <w:highlight w:val="yellow"/>
        </w:rPr>
        <w:t>chỉ có quyền kiến nghị người có thẩm quyền xem xét tạm dừng).</w:t>
      </w:r>
    </w:p>
    <w:p w:rsidR="005247A1" w:rsidRDefault="005247A1" w:rsidP="00D52CC6"/>
    <w:p w:rsidR="005247A1" w:rsidRDefault="005247A1" w:rsidP="00D52CC6">
      <w:pPr>
        <w:rPr>
          <w:rFonts w:ascii="Arial" w:hAnsi="Arial" w:cs="Arial"/>
          <w:sz w:val="27"/>
          <w:szCs w:val="27"/>
        </w:rPr>
      </w:pPr>
      <w:r>
        <w:rPr>
          <w:rFonts w:ascii="Arial" w:hAnsi="Arial" w:cs="Arial"/>
          <w:sz w:val="27"/>
          <w:szCs w:val="27"/>
        </w:rPr>
        <w:t xml:space="preserve">Căn cứ pháp lý: Điểm đ Khoản 2 Điều 137 Nghị định số 214/2025/NĐ-CP. Nhà thầu có trách nhiệm </w:t>
      </w:r>
      <w:r w:rsidRPr="005247A1">
        <w:rPr>
          <w:rFonts w:ascii="Arial" w:hAnsi="Arial" w:cs="Arial"/>
          <w:sz w:val="27"/>
          <w:szCs w:val="27"/>
          <w:highlight w:val="yellow"/>
        </w:rPr>
        <w:t xml:space="preserve">nộp chi phí giải quyết kiến nghị trong thời hạn 02 </w:t>
      </w:r>
      <w:r w:rsidRPr="005247A1">
        <w:rPr>
          <w:rFonts w:ascii="Arial" w:hAnsi="Arial" w:cs="Arial"/>
          <w:sz w:val="27"/>
          <w:szCs w:val="27"/>
          <w:highlight w:val="yellow"/>
        </w:rPr>
        <w:lastRenderedPageBreak/>
        <w:t>ngày làm việc</w:t>
      </w:r>
      <w:r>
        <w:rPr>
          <w:rFonts w:ascii="Arial" w:hAnsi="Arial" w:cs="Arial"/>
          <w:sz w:val="27"/>
          <w:szCs w:val="27"/>
        </w:rPr>
        <w:t xml:space="preserve"> kể từ ngày nhận được thông báo của bộ phận thường trực.</w:t>
      </w:r>
      <w:r>
        <w:rPr>
          <w:rFonts w:ascii="Arial" w:hAnsi="Arial" w:cs="Arial"/>
          <w:sz w:val="27"/>
          <w:szCs w:val="27"/>
        </w:rPr>
        <w:t xml:space="preserve"> </w:t>
      </w:r>
      <w:r w:rsidRPr="005247A1">
        <w:rPr>
          <w:rFonts w:ascii="Arial" w:hAnsi="Arial" w:cs="Arial"/>
          <w:sz w:val="27"/>
          <w:szCs w:val="27"/>
          <w:highlight w:val="yellow"/>
        </w:rPr>
        <w:t>(giải quyết là 1 tháng)</w:t>
      </w:r>
    </w:p>
    <w:p w:rsidR="000160B6" w:rsidRDefault="000160B6" w:rsidP="00D52CC6">
      <w:pPr>
        <w:rPr>
          <w:rFonts w:ascii="Arial" w:hAnsi="Arial" w:cs="Arial"/>
          <w:sz w:val="27"/>
          <w:szCs w:val="27"/>
        </w:rPr>
      </w:pPr>
    </w:p>
    <w:p w:rsidR="000160B6" w:rsidRDefault="000160B6" w:rsidP="00D52CC6">
      <w:pPr>
        <w:rPr>
          <w:rFonts w:ascii="Arial" w:hAnsi="Arial" w:cs="Arial"/>
          <w:sz w:val="27"/>
          <w:szCs w:val="27"/>
        </w:rPr>
      </w:pPr>
      <w:r>
        <w:rPr>
          <w:rFonts w:ascii="Arial" w:hAnsi="Arial" w:cs="Arial"/>
          <w:sz w:val="27"/>
          <w:szCs w:val="27"/>
        </w:rPr>
        <w:t>Trung tâm X là đơn vị sự nghiệp tự chủ chi thường xuyên, gói thầu dùng nguồn thu hợp pháp (</w:t>
      </w:r>
      <w:r w:rsidRPr="000160B6">
        <w:rPr>
          <w:rFonts w:ascii="Arial" w:hAnsi="Arial" w:cs="Arial"/>
          <w:sz w:val="27"/>
          <w:szCs w:val="27"/>
          <w:highlight w:val="yellow"/>
        </w:rPr>
        <w:t>không phải vốn ngân sách</w:t>
      </w:r>
      <w:r>
        <w:rPr>
          <w:rFonts w:ascii="Arial" w:hAnsi="Arial" w:cs="Arial"/>
          <w:sz w:val="27"/>
          <w:szCs w:val="27"/>
        </w:rPr>
        <w:t xml:space="preserve">). Theo Điểm d Khoản 7 Điều 3 Luật Đấu thầu, trường hợp này được tự quyết định việc mua sắm. Do đó, quy trình giải quyết kiến nghị thực hiện theo </w:t>
      </w:r>
      <w:r w:rsidRPr="000160B6">
        <w:rPr>
          <w:rFonts w:ascii="Arial" w:hAnsi="Arial" w:cs="Arial"/>
          <w:sz w:val="27"/>
          <w:szCs w:val="27"/>
          <w:highlight w:val="yellow"/>
        </w:rPr>
        <w:t>quy định do người đứng đầu đơn vị tự ban hành.</w:t>
      </w:r>
    </w:p>
    <w:p w:rsidR="000160B6" w:rsidRDefault="000160B6" w:rsidP="00D52CC6">
      <w:pPr>
        <w:rPr>
          <w:rFonts w:ascii="Arial" w:hAnsi="Arial" w:cs="Arial"/>
          <w:sz w:val="27"/>
          <w:szCs w:val="27"/>
        </w:rPr>
      </w:pPr>
    </w:p>
    <w:p w:rsidR="005247A1" w:rsidRDefault="000160B6" w:rsidP="00D52CC6">
      <w:pPr>
        <w:rPr>
          <w:rFonts w:ascii="Arial" w:hAnsi="Arial" w:cs="Arial"/>
          <w:sz w:val="27"/>
          <w:szCs w:val="27"/>
        </w:rPr>
      </w:pPr>
      <w:r>
        <w:rPr>
          <w:rFonts w:ascii="Arial" w:hAnsi="Arial" w:cs="Arial"/>
          <w:sz w:val="27"/>
          <w:szCs w:val="27"/>
        </w:rPr>
        <w:t xml:space="preserve">Thành viên Hội đồng giải quyết kiến nghị </w:t>
      </w:r>
      <w:r w:rsidRPr="000160B6">
        <w:rPr>
          <w:rFonts w:ascii="Arial" w:hAnsi="Arial" w:cs="Arial"/>
          <w:sz w:val="27"/>
          <w:szCs w:val="27"/>
          <w:highlight w:val="yellow"/>
        </w:rPr>
        <w:t>không được là người có quan hệ gia đình (con đẻ) với người ký đơn kiến nghị.</w:t>
      </w:r>
    </w:p>
    <w:p w:rsidR="005247A1" w:rsidRDefault="005247A1" w:rsidP="00D52CC6"/>
    <w:p w:rsidR="000160B6" w:rsidRDefault="000160B6" w:rsidP="00D52CC6">
      <w:r w:rsidRPr="000160B6">
        <w:t xml:space="preserve">Gói thầu mua thuốc áp dụng phương thức một giai đoạn hai túi hồ sơ có giá gói thầu 100 tỷ đồng. Trong quá trình tham dự thầu, nhà thầu X không đạt về kỹ thuật có kiến nghị về kết quả lựa chọn nhà thầu của gói thầu gửi Hội đồng giải quyết kiến nghị (trong đơn kiến nghị nhà thầu nêu giá dự thầu của mình là 90 tỷ đồng). </w:t>
      </w:r>
      <w:r w:rsidRPr="000160B6">
        <w:rPr>
          <w:highlight w:val="yellow"/>
        </w:rPr>
        <w:t xml:space="preserve">Chi phí giải quyết kiến nghị nhà thầu X phải nộp là?Từ 100 tỷ đến dưới 200 tỷ </w:t>
      </w:r>
      <w:r w:rsidRPr="000160B6">
        <w:rPr>
          <w:rFonts w:hint="eastAsia"/>
          <w:highlight w:val="yellow"/>
        </w:rPr>
        <w:t>→</w:t>
      </w:r>
      <w:r w:rsidRPr="000160B6">
        <w:rPr>
          <w:highlight w:val="yellow"/>
        </w:rPr>
        <w:t xml:space="preserve"> 0,02%, nhưng tối thiểu 25 triệu đồng.</w:t>
      </w:r>
    </w:p>
    <w:p w:rsidR="000160B6" w:rsidRDefault="000160B6" w:rsidP="00D52CC6"/>
    <w:p w:rsidR="000160B6" w:rsidRDefault="00D4311D" w:rsidP="00D52CC6">
      <w:pPr>
        <w:rPr>
          <w:rFonts w:ascii="Arial" w:hAnsi="Arial" w:cs="Arial"/>
          <w:sz w:val="27"/>
          <w:szCs w:val="27"/>
        </w:rPr>
      </w:pPr>
      <w:r w:rsidRPr="00D4311D">
        <w:rPr>
          <w:rFonts w:ascii="Arial" w:hAnsi="Arial" w:cs="Arial"/>
          <w:sz w:val="27"/>
          <w:szCs w:val="27"/>
          <w:highlight w:val="yellow"/>
        </w:rPr>
        <w:t>Khi hồ sơ mời thầu cho phép đề xuất biện pháp thi công khác</w:t>
      </w:r>
      <w:r>
        <w:rPr>
          <w:rFonts w:ascii="Arial" w:hAnsi="Arial" w:cs="Arial"/>
          <w:sz w:val="27"/>
          <w:szCs w:val="27"/>
        </w:rPr>
        <w:t xml:space="preserve">, phần sai khác về khối lượng </w:t>
      </w:r>
      <w:r w:rsidRPr="00D4311D">
        <w:rPr>
          <w:rFonts w:ascii="Arial" w:hAnsi="Arial" w:cs="Arial"/>
          <w:sz w:val="27"/>
          <w:szCs w:val="27"/>
          <w:highlight w:val="yellow"/>
        </w:rPr>
        <w:t>do thay đổi biện pháp thi công sẽ không bị hiệu chỉnh sai lệch</w:t>
      </w:r>
      <w:r>
        <w:rPr>
          <w:rFonts w:ascii="Arial" w:hAnsi="Arial" w:cs="Arial"/>
          <w:sz w:val="27"/>
          <w:szCs w:val="27"/>
        </w:rPr>
        <w:t xml:space="preserve"> và không bị tính là sai lệch thiếu.</w:t>
      </w:r>
    </w:p>
    <w:p w:rsidR="00D4311D" w:rsidRDefault="00D4311D" w:rsidP="00D52CC6">
      <w:pPr>
        <w:rPr>
          <w:rFonts w:ascii="Arial" w:hAnsi="Arial" w:cs="Arial"/>
          <w:sz w:val="27"/>
          <w:szCs w:val="27"/>
        </w:rPr>
      </w:pPr>
    </w:p>
    <w:p w:rsidR="00D4311D" w:rsidRDefault="00D4311D" w:rsidP="00D52CC6">
      <w:r w:rsidRPr="00D4311D">
        <w:t xml:space="preserve">Trong trường hợp giá dự thầu thấp khác thường, để đề phòng rủi ro, chủ đầu tư có thể quy định giá trị bảo đảm thực hiện hợp đồng </w:t>
      </w:r>
      <w:r w:rsidRPr="00D4311D">
        <w:rPr>
          <w:highlight w:val="yellow"/>
        </w:rPr>
        <w:t>lớn hơn 10% nhưng không quá 30% giá hợp đồng</w:t>
      </w:r>
      <w:r w:rsidRPr="00D4311D">
        <w:t>.</w:t>
      </w:r>
    </w:p>
    <w:p w:rsidR="00D4311D" w:rsidRDefault="00D4311D" w:rsidP="00D52CC6"/>
    <w:p w:rsidR="00D4311D" w:rsidRDefault="00D4311D" w:rsidP="00D52CC6">
      <w:pPr>
        <w:rPr>
          <w:rFonts w:ascii="Arial" w:hAnsi="Arial" w:cs="Arial"/>
          <w:sz w:val="27"/>
          <w:szCs w:val="27"/>
        </w:rPr>
      </w:pPr>
      <w:r>
        <w:rPr>
          <w:rFonts w:ascii="Arial" w:hAnsi="Arial" w:cs="Arial"/>
          <w:sz w:val="27"/>
          <w:szCs w:val="27"/>
        </w:rPr>
        <w:t xml:space="preserve">Đối với gói thầu chia phần, trong trường hợp cần thiết, chủ đầu tư có thể phê duyệt kết quả cho từng phần với </w:t>
      </w:r>
      <w:r w:rsidRPr="00D4311D">
        <w:rPr>
          <w:rFonts w:ascii="Arial" w:hAnsi="Arial" w:cs="Arial"/>
          <w:sz w:val="27"/>
          <w:szCs w:val="27"/>
          <w:highlight w:val="yellow"/>
        </w:rPr>
        <w:t>điều kiện giá đề nghị trúng thầu không vượt giá của phần đó trong giá gói thầu.</w:t>
      </w:r>
    </w:p>
    <w:p w:rsidR="00D4311D" w:rsidRDefault="00D4311D" w:rsidP="00D52CC6">
      <w:pPr>
        <w:rPr>
          <w:rFonts w:ascii="Arial" w:hAnsi="Arial" w:cs="Arial"/>
          <w:sz w:val="27"/>
          <w:szCs w:val="27"/>
        </w:rPr>
      </w:pPr>
    </w:p>
    <w:p w:rsidR="00D4311D" w:rsidRPr="00494CBA" w:rsidRDefault="00D4311D" w:rsidP="00D52CC6">
      <w:r>
        <w:rPr>
          <w:rFonts w:ascii="Arial" w:hAnsi="Arial" w:cs="Arial"/>
          <w:sz w:val="27"/>
          <w:szCs w:val="27"/>
        </w:rPr>
        <w:t xml:space="preserve">Đối với tình huống </w:t>
      </w:r>
      <w:r w:rsidRPr="00D4311D">
        <w:rPr>
          <w:rFonts w:ascii="Arial" w:hAnsi="Arial" w:cs="Arial"/>
          <w:sz w:val="27"/>
          <w:szCs w:val="27"/>
          <w:highlight w:val="yellow"/>
        </w:rPr>
        <w:t>phức tạp</w:t>
      </w:r>
      <w:r>
        <w:rPr>
          <w:rFonts w:ascii="Arial" w:hAnsi="Arial" w:cs="Arial"/>
          <w:sz w:val="27"/>
          <w:szCs w:val="27"/>
        </w:rPr>
        <w:t xml:space="preserve"> trong lựa chọn nhà thầu, </w:t>
      </w:r>
      <w:r w:rsidRPr="00D4311D">
        <w:rPr>
          <w:rFonts w:ascii="Arial" w:hAnsi="Arial" w:cs="Arial"/>
          <w:sz w:val="27"/>
          <w:szCs w:val="27"/>
          <w:highlight w:val="yellow"/>
        </w:rPr>
        <w:t>Chủ đầu tư quyết định xử lý tình huống sau khi có ý kiến của Người có thẩm quyền</w:t>
      </w:r>
      <w:r>
        <w:rPr>
          <w:rFonts w:ascii="Arial" w:hAnsi="Arial" w:cs="Arial"/>
          <w:sz w:val="27"/>
          <w:szCs w:val="27"/>
        </w:rPr>
        <w:t>.</w:t>
      </w:r>
    </w:p>
    <w:sectPr w:rsidR="00D4311D" w:rsidRPr="00494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E78"/>
    <w:rsid w:val="000160B6"/>
    <w:rsid w:val="000B726C"/>
    <w:rsid w:val="000E24BA"/>
    <w:rsid w:val="00137B78"/>
    <w:rsid w:val="001546DA"/>
    <w:rsid w:val="001815C2"/>
    <w:rsid w:val="00222E52"/>
    <w:rsid w:val="002A7FD0"/>
    <w:rsid w:val="00494CBA"/>
    <w:rsid w:val="005247A1"/>
    <w:rsid w:val="005D31F5"/>
    <w:rsid w:val="007079CB"/>
    <w:rsid w:val="007B2F62"/>
    <w:rsid w:val="008D2E78"/>
    <w:rsid w:val="00900FE4"/>
    <w:rsid w:val="00A243D6"/>
    <w:rsid w:val="00AD3027"/>
    <w:rsid w:val="00C94A2B"/>
    <w:rsid w:val="00CE3835"/>
    <w:rsid w:val="00D4311D"/>
    <w:rsid w:val="00D52CC6"/>
    <w:rsid w:val="00DD133A"/>
    <w:rsid w:val="00FB1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DDA180"/>
  <w15:chartTrackingRefBased/>
  <w15:docId w15:val="{80B066DE-0AEA-4A4B-9166-009040F46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D31F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7079CB"/>
    <w:pPr>
      <w:spacing w:after="120"/>
      <w:ind w:firstLine="547"/>
      <w:jc w:val="center"/>
    </w:pPr>
    <w:rPr>
      <w:rFonts w:ascii="Times New Roman" w:eastAsia="Times New Roman" w:hAnsi="Times New Roman" w:cs="Times New Roman"/>
      <w:iCs/>
      <w:kern w:val="0"/>
      <w:sz w:val="26"/>
      <w:szCs w:val="18"/>
      <w14:ligatures w14:val="none"/>
    </w:rPr>
  </w:style>
  <w:style w:type="character" w:customStyle="1" w:styleId="answernumber">
    <w:name w:val="answernumber"/>
    <w:basedOn w:val="DefaultParagraphFont"/>
    <w:rsid w:val="008D2E78"/>
  </w:style>
  <w:style w:type="character" w:customStyle="1" w:styleId="Heading3Char">
    <w:name w:val="Heading 3 Char"/>
    <w:basedOn w:val="DefaultParagraphFont"/>
    <w:link w:val="Heading3"/>
    <w:uiPriority w:val="9"/>
    <w:rsid w:val="005D31F5"/>
    <w:rPr>
      <w:rFonts w:ascii="Times New Roman" w:eastAsia="Times New Roman" w:hAnsi="Times New Roman" w:cs="Times New Roman"/>
      <w:b/>
      <w:bCs/>
      <w:kern w:val="0"/>
      <w:sz w:val="27"/>
      <w:szCs w:val="27"/>
      <w14:ligatures w14:val="none"/>
    </w:rPr>
  </w:style>
  <w:style w:type="character" w:customStyle="1" w:styleId="w-8">
    <w:name w:val="w-8"/>
    <w:basedOn w:val="DefaultParagraphFont"/>
    <w:rsid w:val="005D31F5"/>
  </w:style>
  <w:style w:type="character" w:customStyle="1" w:styleId="apple-converted-space">
    <w:name w:val="apple-converted-space"/>
    <w:basedOn w:val="DefaultParagraphFont"/>
    <w:rsid w:val="00D52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81003">
      <w:bodyDiv w:val="1"/>
      <w:marLeft w:val="0"/>
      <w:marRight w:val="0"/>
      <w:marTop w:val="0"/>
      <w:marBottom w:val="0"/>
      <w:divBdr>
        <w:top w:val="none" w:sz="0" w:space="0" w:color="auto"/>
        <w:left w:val="none" w:sz="0" w:space="0" w:color="auto"/>
        <w:bottom w:val="none" w:sz="0" w:space="0" w:color="auto"/>
        <w:right w:val="none" w:sz="0" w:space="0" w:color="auto"/>
      </w:divBdr>
    </w:div>
    <w:div w:id="313989774">
      <w:bodyDiv w:val="1"/>
      <w:marLeft w:val="0"/>
      <w:marRight w:val="0"/>
      <w:marTop w:val="0"/>
      <w:marBottom w:val="0"/>
      <w:divBdr>
        <w:top w:val="none" w:sz="0" w:space="0" w:color="auto"/>
        <w:left w:val="none" w:sz="0" w:space="0" w:color="auto"/>
        <w:bottom w:val="none" w:sz="0" w:space="0" w:color="auto"/>
        <w:right w:val="none" w:sz="0" w:space="0" w:color="auto"/>
      </w:divBdr>
      <w:divsChild>
        <w:div w:id="1467235534">
          <w:marLeft w:val="0"/>
          <w:marRight w:val="0"/>
          <w:marTop w:val="0"/>
          <w:marBottom w:val="360"/>
          <w:divBdr>
            <w:top w:val="none" w:sz="0" w:space="0" w:color="auto"/>
            <w:left w:val="none" w:sz="0" w:space="0" w:color="auto"/>
            <w:bottom w:val="none" w:sz="0" w:space="0" w:color="auto"/>
            <w:right w:val="none" w:sz="0" w:space="0" w:color="auto"/>
          </w:divBdr>
          <w:divsChild>
            <w:div w:id="2061199136">
              <w:marLeft w:val="0"/>
              <w:marRight w:val="0"/>
              <w:marTop w:val="0"/>
              <w:marBottom w:val="0"/>
              <w:divBdr>
                <w:top w:val="none" w:sz="0" w:space="0" w:color="auto"/>
                <w:left w:val="none" w:sz="0" w:space="0" w:color="auto"/>
                <w:bottom w:val="none" w:sz="0" w:space="0" w:color="auto"/>
                <w:right w:val="none" w:sz="0" w:space="0" w:color="auto"/>
              </w:divBdr>
            </w:div>
          </w:divsChild>
        </w:div>
        <w:div w:id="1083071058">
          <w:marLeft w:val="0"/>
          <w:marRight w:val="0"/>
          <w:marTop w:val="0"/>
          <w:marBottom w:val="0"/>
          <w:divBdr>
            <w:top w:val="none" w:sz="0" w:space="0" w:color="auto"/>
            <w:left w:val="none" w:sz="0" w:space="0" w:color="auto"/>
            <w:bottom w:val="none" w:sz="0" w:space="0" w:color="auto"/>
            <w:right w:val="none" w:sz="0" w:space="0" w:color="auto"/>
          </w:divBdr>
          <w:divsChild>
            <w:div w:id="790634373">
              <w:marLeft w:val="0"/>
              <w:marRight w:val="0"/>
              <w:marTop w:val="0"/>
              <w:marBottom w:val="0"/>
              <w:divBdr>
                <w:top w:val="none" w:sz="0" w:space="0" w:color="auto"/>
                <w:left w:val="none" w:sz="0" w:space="0" w:color="auto"/>
                <w:bottom w:val="none" w:sz="0" w:space="0" w:color="auto"/>
                <w:right w:val="none" w:sz="0" w:space="0" w:color="auto"/>
              </w:divBdr>
              <w:divsChild>
                <w:div w:id="11522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488468">
      <w:bodyDiv w:val="1"/>
      <w:marLeft w:val="0"/>
      <w:marRight w:val="0"/>
      <w:marTop w:val="0"/>
      <w:marBottom w:val="0"/>
      <w:divBdr>
        <w:top w:val="none" w:sz="0" w:space="0" w:color="auto"/>
        <w:left w:val="none" w:sz="0" w:space="0" w:color="auto"/>
        <w:bottom w:val="none" w:sz="0" w:space="0" w:color="auto"/>
        <w:right w:val="none" w:sz="0" w:space="0" w:color="auto"/>
      </w:divBdr>
      <w:divsChild>
        <w:div w:id="1027410598">
          <w:marLeft w:val="0"/>
          <w:marRight w:val="0"/>
          <w:marTop w:val="0"/>
          <w:marBottom w:val="0"/>
          <w:divBdr>
            <w:top w:val="single" w:sz="2" w:space="0" w:color="auto"/>
            <w:left w:val="single" w:sz="2" w:space="0" w:color="auto"/>
            <w:bottom w:val="single" w:sz="2" w:space="0" w:color="auto"/>
            <w:right w:val="single" w:sz="2" w:space="0" w:color="auto"/>
          </w:divBdr>
        </w:div>
        <w:div w:id="1557738844">
          <w:marLeft w:val="0"/>
          <w:marRight w:val="0"/>
          <w:marTop w:val="0"/>
          <w:marBottom w:val="0"/>
          <w:divBdr>
            <w:top w:val="single" w:sz="2" w:space="0" w:color="auto"/>
            <w:left w:val="single" w:sz="2" w:space="0" w:color="auto"/>
            <w:bottom w:val="single" w:sz="2" w:space="0" w:color="auto"/>
            <w:right w:val="single" w:sz="2" w:space="0" w:color="auto"/>
          </w:divBdr>
          <w:divsChild>
            <w:div w:id="1971590268">
              <w:marLeft w:val="0"/>
              <w:marRight w:val="0"/>
              <w:marTop w:val="0"/>
              <w:marBottom w:val="0"/>
              <w:divBdr>
                <w:top w:val="none" w:sz="0" w:space="0" w:color="auto"/>
                <w:left w:val="none" w:sz="0" w:space="0" w:color="auto"/>
                <w:bottom w:val="none" w:sz="0" w:space="0" w:color="auto"/>
                <w:right w:val="none" w:sz="0" w:space="0" w:color="auto"/>
              </w:divBdr>
              <w:divsChild>
                <w:div w:id="539972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0877676">
      <w:bodyDiv w:val="1"/>
      <w:marLeft w:val="0"/>
      <w:marRight w:val="0"/>
      <w:marTop w:val="0"/>
      <w:marBottom w:val="0"/>
      <w:divBdr>
        <w:top w:val="none" w:sz="0" w:space="0" w:color="auto"/>
        <w:left w:val="none" w:sz="0" w:space="0" w:color="auto"/>
        <w:bottom w:val="none" w:sz="0" w:space="0" w:color="auto"/>
        <w:right w:val="none" w:sz="0" w:space="0" w:color="auto"/>
      </w:divBdr>
      <w:divsChild>
        <w:div w:id="1216507119">
          <w:marLeft w:val="0"/>
          <w:marRight w:val="0"/>
          <w:marTop w:val="0"/>
          <w:marBottom w:val="0"/>
          <w:divBdr>
            <w:top w:val="none" w:sz="0" w:space="0" w:color="auto"/>
            <w:left w:val="none" w:sz="0" w:space="0" w:color="auto"/>
            <w:bottom w:val="none" w:sz="0" w:space="0" w:color="auto"/>
            <w:right w:val="none" w:sz="0" w:space="0" w:color="auto"/>
          </w:divBdr>
        </w:div>
      </w:divsChild>
    </w:div>
    <w:div w:id="830870516">
      <w:bodyDiv w:val="1"/>
      <w:marLeft w:val="0"/>
      <w:marRight w:val="0"/>
      <w:marTop w:val="0"/>
      <w:marBottom w:val="0"/>
      <w:divBdr>
        <w:top w:val="none" w:sz="0" w:space="0" w:color="auto"/>
        <w:left w:val="none" w:sz="0" w:space="0" w:color="auto"/>
        <w:bottom w:val="none" w:sz="0" w:space="0" w:color="auto"/>
        <w:right w:val="none" w:sz="0" w:space="0" w:color="auto"/>
      </w:divBdr>
      <w:divsChild>
        <w:div w:id="1720939085">
          <w:marLeft w:val="0"/>
          <w:marRight w:val="0"/>
          <w:marTop w:val="0"/>
          <w:marBottom w:val="0"/>
          <w:divBdr>
            <w:top w:val="single" w:sz="2" w:space="0" w:color="auto"/>
            <w:left w:val="single" w:sz="2" w:space="0" w:color="auto"/>
            <w:bottom w:val="single" w:sz="2" w:space="0" w:color="auto"/>
            <w:right w:val="single" w:sz="2" w:space="0" w:color="auto"/>
          </w:divBdr>
        </w:div>
        <w:div w:id="1940674964">
          <w:marLeft w:val="0"/>
          <w:marRight w:val="0"/>
          <w:marTop w:val="0"/>
          <w:marBottom w:val="0"/>
          <w:divBdr>
            <w:top w:val="single" w:sz="2" w:space="0" w:color="auto"/>
            <w:left w:val="single" w:sz="2" w:space="0" w:color="auto"/>
            <w:bottom w:val="single" w:sz="2" w:space="0" w:color="auto"/>
            <w:right w:val="single" w:sz="2" w:space="0" w:color="auto"/>
          </w:divBdr>
          <w:divsChild>
            <w:div w:id="212549396">
              <w:marLeft w:val="0"/>
              <w:marRight w:val="0"/>
              <w:marTop w:val="0"/>
              <w:marBottom w:val="0"/>
              <w:divBdr>
                <w:top w:val="none" w:sz="0" w:space="0" w:color="auto"/>
                <w:left w:val="none" w:sz="0" w:space="0" w:color="auto"/>
                <w:bottom w:val="none" w:sz="0" w:space="0" w:color="auto"/>
                <w:right w:val="none" w:sz="0" w:space="0" w:color="auto"/>
              </w:divBdr>
              <w:divsChild>
                <w:div w:id="601189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1875844">
      <w:bodyDiv w:val="1"/>
      <w:marLeft w:val="0"/>
      <w:marRight w:val="0"/>
      <w:marTop w:val="0"/>
      <w:marBottom w:val="0"/>
      <w:divBdr>
        <w:top w:val="none" w:sz="0" w:space="0" w:color="auto"/>
        <w:left w:val="none" w:sz="0" w:space="0" w:color="auto"/>
        <w:bottom w:val="none" w:sz="0" w:space="0" w:color="auto"/>
        <w:right w:val="none" w:sz="0" w:space="0" w:color="auto"/>
      </w:divBdr>
      <w:divsChild>
        <w:div w:id="1155072248">
          <w:marLeft w:val="0"/>
          <w:marRight w:val="0"/>
          <w:marTop w:val="0"/>
          <w:marBottom w:val="0"/>
          <w:divBdr>
            <w:top w:val="none" w:sz="0" w:space="0" w:color="auto"/>
            <w:left w:val="none" w:sz="0" w:space="0" w:color="auto"/>
            <w:bottom w:val="none" w:sz="0" w:space="0" w:color="auto"/>
            <w:right w:val="none" w:sz="0" w:space="0" w:color="auto"/>
          </w:divBdr>
        </w:div>
      </w:divsChild>
    </w:div>
    <w:div w:id="1508211175">
      <w:bodyDiv w:val="1"/>
      <w:marLeft w:val="0"/>
      <w:marRight w:val="0"/>
      <w:marTop w:val="0"/>
      <w:marBottom w:val="0"/>
      <w:divBdr>
        <w:top w:val="none" w:sz="0" w:space="0" w:color="auto"/>
        <w:left w:val="none" w:sz="0" w:space="0" w:color="auto"/>
        <w:bottom w:val="none" w:sz="0" w:space="0" w:color="auto"/>
        <w:right w:val="none" w:sz="0" w:space="0" w:color="auto"/>
      </w:divBdr>
    </w:div>
    <w:div w:id="189230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2</cp:revision>
  <dcterms:created xsi:type="dcterms:W3CDTF">2026-09-23T08:56:00Z</dcterms:created>
  <dcterms:modified xsi:type="dcterms:W3CDTF">2026-09-23T08:56:00Z</dcterms:modified>
</cp:coreProperties>
</file>