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rial" w:hAnsi="Arial"/>
          <w:b/>
          <w:color w:val="1B365D"/>
          <w:sz w:val="48"/>
        </w:rPr>
        <w:t>AI Gateway Landscape &amp; Comparison Report</w:t>
      </w:r>
    </w:p>
    <w:p>
      <w:pPr>
        <w:spacing w:before="0" w:after="400"/>
      </w:pPr>
      <w:r>
        <w:rPr>
          <w:rFonts w:ascii="Arial" w:hAnsi="Arial"/>
          <w:i/>
          <w:color w:val="4A5568"/>
          <w:sz w:val="26"/>
        </w:rPr>
        <w:t>An In-Depth Evaluation of Azure AI Gateway, Claude Apps Gateway, LiteLLM, Bifrost, and Solo.io AgentGateway</w:t>
      </w:r>
    </w:p>
    <w:p>
      <w:pPr>
        <w:spacing w:after="400"/>
        <w:pBdr>
          <w:bottom w:val="single" w:sz="12" w:space="1" w:color="1B365D"/>
        </w:pBdr>
      </w:pPr>
    </w:p>
    <w:p>
      <w:pPr>
        <w:pStyle w:val="Heading1"/>
        <w:spacing w:before="320" w:after="160"/>
      </w:pPr>
      <w:r>
        <w:rPr>
          <w:rFonts w:ascii="Arial" w:hAnsi="Arial"/>
          <w:b/>
          <w:color w:val="1B365D"/>
          <w:sz w:val="32"/>
        </w:rPr>
        <w:t>1. Executive Summary</w:t>
      </w:r>
    </w:p>
    <w:p>
      <w:pPr>
        <w:spacing w:after="240" w:line="276" w:lineRule="auto"/>
      </w:pPr>
      <w:r>
        <w:rPr>
          <w:rFonts w:ascii="Arial" w:hAnsi="Arial"/>
          <w:color w:val="2D3748"/>
          <w:sz w:val="21"/>
        </w:rPr>
        <w:t>As enterprise AI adoption transitions from single-model experimentation to complex, multi-agent systems and workforce-wide deployment, the AI Gateway has emerged as a critical architectural component. Modern AI Gateways serve as specialized proxies providing rate-limiting, token-based cost governance, protocol translation, dynamic routing, and security guardrails. Today's landscape has split into four distinct sub-categories based on enterprise needs: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1"/>
        </w:rPr>
        <w:t xml:space="preserve">Enterprise Cloud-Native Platforms (Azure AI Gateway): </w:t>
      </w:r>
      <w:r>
        <w:rPr>
          <w:rFonts w:ascii="Arial" w:hAnsi="Arial"/>
          <w:color w:val="2D3748"/>
          <w:sz w:val="21"/>
        </w:rPr>
        <w:t>Built for organizations deeply integrated into cloud provider ecosystems needing enterprise-grade identity, RBAC, and policy enforcement natively within their existing API management boundary.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1"/>
        </w:rPr>
        <w:t xml:space="preserve">Specialized Workforce &amp; Developer Gateways (Claude Apps Gateway): </w:t>
      </w:r>
      <w:r>
        <w:rPr>
          <w:rFonts w:ascii="Arial" w:hAnsi="Arial"/>
          <w:color w:val="2D3748"/>
          <w:sz w:val="21"/>
        </w:rPr>
        <w:t>Purpose-built control planes for managing internal AI developer tools, workforce AI applications (e.g., Claude Code, Claude Desktop), and OIDC-driven per-user spend governance.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1"/>
        </w:rPr>
        <w:t xml:space="preserve">Open-Source Multi-Provider Proxies (LiteLLM &amp; Bifrost): </w:t>
      </w:r>
      <w:r>
        <w:rPr>
          <w:rFonts w:ascii="Arial" w:hAnsi="Arial"/>
          <w:color w:val="2D3748"/>
          <w:sz w:val="21"/>
        </w:rPr>
        <w:t>High-speed LLM translation proxies designed for dynamic provider fallback, schema normalization (OpenAI format), and fast local or Kubernetes deployments.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1"/>
        </w:rPr>
        <w:t xml:space="preserve">Agentic &amp; Protocol-First Gateways (Solo.io AgentGateway): </w:t>
      </w:r>
      <w:r>
        <w:rPr>
          <w:rFonts w:ascii="Arial" w:hAnsi="Arial"/>
          <w:color w:val="2D3748"/>
          <w:sz w:val="21"/>
        </w:rPr>
        <w:t>Next-generation data planes designed specifically to handle high-throughput Agent-to-Agent (A2A) interactions and Model Context Protocol (MCP) tool discovery at scale.</w:t>
      </w:r>
    </w:p>
    <w:p>
      <w:pPr>
        <w:pStyle w:val="Heading1"/>
        <w:spacing w:before="400" w:after="160"/>
      </w:pPr>
      <w:r>
        <w:rPr>
          <w:rFonts w:ascii="Arial" w:hAnsi="Arial"/>
          <w:b/>
          <w:color w:val="1B365D"/>
          <w:sz w:val="32"/>
        </w:rPr>
        <w:t>2. Technical Comparison Matrix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bottom w:val="single" w:sz="4" w:space="0" w:color="CBD5E0"/>
          <w:left w:val="none"/>
          <w:right w:val="none"/>
          <w:insideH w:val="single" w:sz="4" w:space="0" w:color="CBD5E0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Feature / Metric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Azure AI Gateway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Claude Apps Gateway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LiteLLM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Bifrost</w:t>
            </w:r>
          </w:p>
        </w:tc>
        <w:tc>
          <w:tcPr>
            <w:tcW w:type="dxa" w:w="1560"/>
            <w:shd w:fill="1B365D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AgentGateway (Solo.io)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Primary Architecture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Managed Cloud Gateway (APIM)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Lightweight Container Proxy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Open-Source Proxy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High-Perf Go Proxy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High-Perf Rust Proxy</w:t>
            </w:r>
          </w:p>
        </w:tc>
      </w:tr>
      <w:tr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Primary Use Case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Cloud LLM Governance &amp; Security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Workforce &amp; Developer Tooling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LLM Schema Translation &amp; Fallback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Ultra-Low-Latency Routing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Agentic AI &amp; MCP Tool Security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Protocol Focus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REST, GraphQL, OpenAPI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OpenAI / Anthropic Specs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OpenAI API Specification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OpenAI API Specification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MCP, A2A, SSE, gRPC, REST</w:t>
            </w:r>
          </w:p>
        </w:tc>
      </w:tr>
      <w:tr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Auth &amp; Identity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Entra ID, Managed Identity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OIDC (Okta, Entra, Cognito)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API Keys, Basic Auth, Virtual Keys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API Keys, Bearer Tokens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OIDC, Envoy/Kubernetes RBAC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Multi-Provider Support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Azure OpenAI, Foundry, External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Anthropic, AWS Bedrock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100+ Providers (Any LLM)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20+ Major Providers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Multi-Provider + MCP Servers</w:t>
            </w:r>
          </w:p>
        </w:tc>
      </w:tr>
      <w:tr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Guardrails &amp; Moderation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Native Azure AI Content Safety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External / Policy Scoped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Dynamic Guardrails, Custom Hooks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Basic Rules, Moderation Endpoints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Deep Content Filter &amp; Agent Rules</w:t>
            </w:r>
          </w:p>
        </w:tc>
      </w:tr>
      <w:tr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Observability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Azure Monitor, App Insights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OTLP Export (Prometheus/CW)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OpenTelemetry, Datadog, Langfuse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Built-in Maxim Dashboard, OTLP</w:t>
            </w:r>
          </w:p>
        </w:tc>
        <w:tc>
          <w:tcPr>
            <w:tcW w:type="dxa" w:w="1560"/>
            <w:shd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OpenTelemetry Native</w:t>
            </w:r>
          </w:p>
        </w:tc>
      </w:tr>
      <w:tr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2D3748"/>
                <w:sz w:val="17"/>
              </w:rPr>
              <w:t>Deployment Model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Fully Managed Azure Service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Docker / AWS Fargate / K8s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Self-Hosted, Docker, K8s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Self-Hosted, Docker, K8s</w:t>
            </w:r>
          </w:p>
        </w:tc>
        <w:tc>
          <w:tcPr>
            <w:tcW w:type="dxa" w:w="1560"/>
            <w:shd w:fill="F7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2D3748"/>
                <w:sz w:val="17"/>
              </w:rPr>
              <w:t>Kubernetes Native, Edge, Envoy</w:t>
            </w:r>
          </w:p>
        </w:tc>
      </w:tr>
    </w:tbl>
    <w:p>
      <w:pPr>
        <w:pStyle w:val="Heading1"/>
        <w:spacing w:before="480" w:after="160"/>
      </w:pPr>
      <w:r>
        <w:rPr>
          <w:rFonts w:ascii="Arial" w:hAnsi="Arial"/>
          <w:b/>
          <w:color w:val="1B365D"/>
          <w:sz w:val="32"/>
        </w:rPr>
        <w:t>3. Detailed Solution Profiles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B365D"/>
          <w:sz w:val="24"/>
        </w:rPr>
        <w:t>3.1 Azure AI Gateway (Microsoft)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0"/>
        </w:rPr>
        <w:t xml:space="preserve">Overview: </w:t>
      </w:r>
      <w:r>
        <w:rPr>
          <w:rFonts w:ascii="Arial" w:hAnsi="Arial"/>
          <w:color w:val="2D3748"/>
          <w:sz w:val="20"/>
        </w:rPr>
        <w:t>Integrated directly into Azure API Management (APIM), Azure AI Gateway provides a managed, enterprise-ready control plane for LLM endpoints, Azure OpenAI, and Microsoft Foundry models.</w:t>
      </w:r>
    </w:p>
    <w:p>
      <w:pPr>
        <w:spacing w:after="40"/>
      </w:pPr>
      <w:r>
        <w:rPr>
          <w:rFonts w:ascii="Arial" w:hAnsi="Arial"/>
          <w:b/>
          <w:color w:val="1B365D"/>
          <w:sz w:val="20"/>
        </w:rPr>
        <w:t>Key Strengths: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Native Enterprise Identity: </w:t>
      </w:r>
      <w:r>
        <w:rPr>
          <w:rFonts w:ascii="Arial" w:hAnsi="Arial"/>
          <w:color w:val="2D3748"/>
          <w:sz w:val="19"/>
        </w:rPr>
        <w:t>Seamless authentication via Microsoft Entra ID and Managed Identities without distributing static API keys.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Deep Azure Integration: </w:t>
      </w:r>
      <w:r>
        <w:rPr>
          <w:rFonts w:ascii="Arial" w:hAnsi="Arial"/>
          <w:color w:val="2D3748"/>
          <w:sz w:val="19"/>
        </w:rPr>
        <w:t>Direct hook into Azure AI Content Safety, Application Insights, and Azure Key Vault.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Token-Based Throttling: </w:t>
      </w:r>
      <w:r>
        <w:rPr>
          <w:rFonts w:ascii="Arial" w:hAnsi="Arial"/>
          <w:color w:val="2D3748"/>
          <w:sz w:val="19"/>
        </w:rPr>
        <w:t>Specialized policies like `llm-token-limit` enforce quota governance directly at the gateway layer.</w:t>
      </w:r>
    </w:p>
    <w:p>
      <w:pPr>
        <w:spacing w:before="80" w:after="200" w:line="276" w:lineRule="auto"/>
      </w:pPr>
      <w:r>
        <w:rPr>
          <w:rFonts w:ascii="Arial" w:hAnsi="Arial"/>
          <w:b/>
          <w:color w:val="4A5568"/>
          <w:sz w:val="20"/>
        </w:rPr>
        <w:t xml:space="preserve">Best Suited For: </w:t>
      </w:r>
      <w:r>
        <w:rPr>
          <w:rFonts w:ascii="Arial" w:hAnsi="Arial"/>
          <w:i/>
          <w:color w:val="2D3748"/>
          <w:sz w:val="20"/>
        </w:rPr>
        <w:t>Large enterprise organizations running primary workloads in Azure that require strict compliance, central governance, and zero-trust key management.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B365D"/>
          <w:sz w:val="24"/>
        </w:rPr>
        <w:t>3.2 Claude Apps Gateway (Anthropic / AWS Reference Design)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0"/>
        </w:rPr>
        <w:t xml:space="preserve">Overview: </w:t>
      </w:r>
      <w:r>
        <w:rPr>
          <w:rFonts w:ascii="Arial" w:hAnsi="Arial"/>
          <w:color w:val="2D3748"/>
          <w:sz w:val="20"/>
        </w:rPr>
        <w:t>A stateless, OIDC-focused gateway designed to govern human-to-AI interaction across developer environments, Claude Code CLI, and desktop applications using AWS Bedrock or Anthropic services.</w:t>
      </w:r>
    </w:p>
    <w:p>
      <w:pPr>
        <w:spacing w:after="40"/>
      </w:pPr>
      <w:r>
        <w:rPr>
          <w:rFonts w:ascii="Arial" w:hAnsi="Arial"/>
          <w:b/>
          <w:color w:val="1B365D"/>
          <w:sz w:val="20"/>
        </w:rPr>
        <w:t>Key Strengths: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User-Centric OIDC Auth: </w:t>
      </w:r>
      <w:r>
        <w:rPr>
          <w:rFonts w:ascii="Arial" w:hAnsi="Arial"/>
          <w:color w:val="2D3748"/>
          <w:sz w:val="19"/>
        </w:rPr>
        <w:t>Directly maps developer sessions to single sign-on (SSO) systems (Okta, Entra, Auth0) rather than relying on static team keys.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Workforce Spend Caps: </w:t>
      </w:r>
      <w:r>
        <w:rPr>
          <w:rFonts w:ascii="Arial" w:hAnsi="Arial"/>
          <w:color w:val="2D3748"/>
          <w:sz w:val="19"/>
        </w:rPr>
        <w:t>Enforces strict daily, weekly, and monthly token/spend caps at the individual developer or team level.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Zero Local Credentials: </w:t>
      </w:r>
      <w:r>
        <w:rPr>
          <w:rFonts w:ascii="Arial" w:hAnsi="Arial"/>
          <w:color w:val="2D3748"/>
          <w:sz w:val="19"/>
        </w:rPr>
        <w:t>Developers log in via browser device code flows; no upstream provider API keys ever live on local engineering laptops.</w:t>
      </w:r>
    </w:p>
    <w:p>
      <w:pPr>
        <w:spacing w:before="80" w:after="200" w:line="276" w:lineRule="auto"/>
      </w:pPr>
      <w:r>
        <w:rPr>
          <w:rFonts w:ascii="Arial" w:hAnsi="Arial"/>
          <w:b/>
          <w:color w:val="4A5568"/>
          <w:sz w:val="20"/>
        </w:rPr>
        <w:t xml:space="preserve">Best Suited For: </w:t>
      </w:r>
      <w:r>
        <w:rPr>
          <w:rFonts w:ascii="Arial" w:hAnsi="Arial"/>
          <w:i/>
          <w:color w:val="2D3748"/>
          <w:sz w:val="20"/>
        </w:rPr>
        <w:t>Platform engineering teams seeking to secure, audit, and manage workforce/developer access to Claude and AWS Bedrock models.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B365D"/>
          <w:sz w:val="24"/>
        </w:rPr>
        <w:t>3.3 LiteLLM (BerriAI / Open Source)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0"/>
        </w:rPr>
        <w:t xml:space="preserve">Overview: </w:t>
      </w:r>
      <w:r>
        <w:rPr>
          <w:rFonts w:ascii="Arial" w:hAnsi="Arial"/>
          <w:color w:val="2D3748"/>
          <w:sz w:val="20"/>
        </w:rPr>
        <w:t>The most widely adopted open-source Python proxy that standardizes over 100+ LLM providers into a single OpenAI-compatible schema.</w:t>
      </w:r>
    </w:p>
    <w:p>
      <w:pPr>
        <w:spacing w:after="40"/>
      </w:pPr>
      <w:r>
        <w:rPr>
          <w:rFonts w:ascii="Arial" w:hAnsi="Arial"/>
          <w:b/>
          <w:color w:val="1B365D"/>
          <w:sz w:val="20"/>
        </w:rPr>
        <w:t>Key Strengths: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Unmatched Model Support: </w:t>
      </w:r>
      <w:r>
        <w:rPr>
          <w:rFonts w:ascii="Arial" w:hAnsi="Arial"/>
          <w:color w:val="2D3748"/>
          <w:sz w:val="19"/>
        </w:rPr>
        <w:t>Unifies diverse model APIs (OpenAI, Anthropic, Ollama, Bedrock, Vertex AI, HuggingFace) instantly.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Dynamic Fallback &amp; Retries: </w:t>
      </w:r>
      <w:r>
        <w:rPr>
          <w:rFonts w:ascii="Arial" w:hAnsi="Arial"/>
          <w:color w:val="2D3748"/>
          <w:sz w:val="19"/>
        </w:rPr>
        <w:t>Automatically routes around rate-limit (429) errors or provider downtime to secondary backends.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Virtual Keys &amp; Usage Tracking: </w:t>
      </w:r>
      <w:r>
        <w:rPr>
          <w:rFonts w:ascii="Arial" w:hAnsi="Arial"/>
          <w:color w:val="2D3748"/>
          <w:sz w:val="19"/>
        </w:rPr>
        <w:t>Allows teams to issue dynamic API keys tied to specific dollar/token budgets per project.</w:t>
      </w:r>
    </w:p>
    <w:p>
      <w:pPr>
        <w:spacing w:before="80" w:after="200" w:line="276" w:lineRule="auto"/>
      </w:pPr>
      <w:r>
        <w:rPr>
          <w:rFonts w:ascii="Arial" w:hAnsi="Arial"/>
          <w:b/>
          <w:color w:val="4A5568"/>
          <w:sz w:val="20"/>
        </w:rPr>
        <w:t xml:space="preserve">Best Suited For: </w:t>
      </w:r>
      <w:r>
        <w:rPr>
          <w:rFonts w:ascii="Arial" w:hAnsi="Arial"/>
          <w:i/>
          <w:color w:val="2D3748"/>
          <w:sz w:val="20"/>
        </w:rPr>
        <w:t>Fast-moving engineering teams and multi-cloud startups that need rapid integration across multiple model vendors without vendor lock-in.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B365D"/>
          <w:sz w:val="24"/>
        </w:rPr>
        <w:t>3.4 Bifrost (Maxim HQ)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0"/>
        </w:rPr>
        <w:t xml:space="preserve">Overview: </w:t>
      </w:r>
      <w:r>
        <w:rPr>
          <w:rFonts w:ascii="Arial" w:hAnsi="Arial"/>
          <w:color w:val="2D3748"/>
          <w:sz w:val="20"/>
        </w:rPr>
        <w:t>A high-performance, open-source AI Gateway written in Go, specifically engineered for ultra-low latency, low memory footprint, and massive concurrent throughput.</w:t>
      </w:r>
    </w:p>
    <w:p>
      <w:pPr>
        <w:spacing w:after="40"/>
      </w:pPr>
      <w:r>
        <w:rPr>
          <w:rFonts w:ascii="Arial" w:hAnsi="Arial"/>
          <w:b/>
          <w:color w:val="1B365D"/>
          <w:sz w:val="20"/>
        </w:rPr>
        <w:t>Key Strengths: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Minimal Overhead: </w:t>
      </w:r>
      <w:r>
        <w:rPr>
          <w:rFonts w:ascii="Arial" w:hAnsi="Arial"/>
          <w:color w:val="2D3748"/>
          <w:sz w:val="19"/>
        </w:rPr>
        <w:t>Built to eliminate latency overhead caused by heavier Python-based proxy layers during high-concurrency requests.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Production Reliability: </w:t>
      </w:r>
      <w:r>
        <w:rPr>
          <w:rFonts w:ascii="Arial" w:hAnsi="Arial"/>
          <w:color w:val="2D3748"/>
          <w:sz w:val="19"/>
        </w:rPr>
        <w:t>Advanced circuit breakers, active backend health checks, and fallback policies built natively in Go.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Streamlined Evaluation &amp; Tracing: </w:t>
      </w:r>
      <w:r>
        <w:rPr>
          <w:rFonts w:ascii="Arial" w:hAnsi="Arial"/>
          <w:color w:val="2D3748"/>
          <w:sz w:val="19"/>
        </w:rPr>
        <w:t>Native integration with evaluation and observability suites (such as Maxim AI).</w:t>
      </w:r>
    </w:p>
    <w:p>
      <w:pPr>
        <w:spacing w:before="80" w:after="200" w:line="276" w:lineRule="auto"/>
      </w:pPr>
      <w:r>
        <w:rPr>
          <w:rFonts w:ascii="Arial" w:hAnsi="Arial"/>
          <w:b/>
          <w:color w:val="4A5568"/>
          <w:sz w:val="20"/>
        </w:rPr>
        <w:t xml:space="preserve">Best Suited For: </w:t>
      </w:r>
      <w:r>
        <w:rPr>
          <w:rFonts w:ascii="Arial" w:hAnsi="Arial"/>
          <w:i/>
          <w:color w:val="2D3748"/>
          <w:sz w:val="20"/>
        </w:rPr>
        <w:t>High-volume production systems, real-time streaming applications, and performance-critical AI microservices.</w:t>
      </w:r>
    </w:p>
    <w:p>
      <w:pPr>
        <w:pStyle w:val="Heading2"/>
        <w:spacing w:before="280" w:after="80"/>
      </w:pPr>
      <w:r>
        <w:rPr>
          <w:rFonts w:ascii="Arial" w:hAnsi="Arial"/>
          <w:b/>
          <w:color w:val="1B365D"/>
          <w:sz w:val="24"/>
        </w:rPr>
        <w:t>3.5 Solo.io AgentGateway</w:t>
      </w:r>
    </w:p>
    <w:p>
      <w:pPr>
        <w:spacing w:after="120" w:line="276" w:lineRule="auto"/>
      </w:pPr>
      <w:r>
        <w:rPr>
          <w:rFonts w:ascii="Arial" w:hAnsi="Arial"/>
          <w:b/>
          <w:color w:val="2D3748"/>
          <w:sz w:val="20"/>
        </w:rPr>
        <w:t xml:space="preserve">Overview: </w:t>
      </w:r>
      <w:r>
        <w:rPr>
          <w:rFonts w:ascii="Arial" w:hAnsi="Arial"/>
          <w:color w:val="2D3748"/>
          <w:sz w:val="20"/>
        </w:rPr>
        <w:t>A Rust-based, cloud-native gateway optimized for agentic architectures, tool-calling pipelines, and the Model Context Protocol (MCP).</w:t>
      </w:r>
    </w:p>
    <w:p>
      <w:pPr>
        <w:spacing w:after="40"/>
      </w:pPr>
      <w:r>
        <w:rPr>
          <w:rFonts w:ascii="Arial" w:hAnsi="Arial"/>
          <w:b/>
          <w:color w:val="1B365D"/>
          <w:sz w:val="20"/>
        </w:rPr>
        <w:t>Key Strengths: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Agentic Protocol First: </w:t>
      </w:r>
      <w:r>
        <w:rPr>
          <w:rFonts w:ascii="Arial" w:hAnsi="Arial"/>
          <w:color w:val="2D3748"/>
          <w:sz w:val="19"/>
        </w:rPr>
        <w:t>Designed natively to handle MCP tools, SSE streams, and Agent-to-Agent (A2A) orchestration alongside standard LLM APIs.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High-Performance Engine: </w:t>
      </w:r>
      <w:r>
        <w:rPr>
          <w:rFonts w:ascii="Arial" w:hAnsi="Arial"/>
          <w:color w:val="2D3748"/>
          <w:sz w:val="19"/>
        </w:rPr>
        <w:t>Written in Rust to deliver ultra-low latency and low memory footprint in Kubernetes/Envoy environments.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2D3748"/>
          <w:sz w:val="19"/>
        </w:rPr>
        <w:t xml:space="preserve">Tool-Level Security: </w:t>
      </w:r>
      <w:r>
        <w:rPr>
          <w:rFonts w:ascii="Arial" w:hAnsi="Arial"/>
          <w:color w:val="2D3748"/>
          <w:sz w:val="19"/>
        </w:rPr>
        <w:t>Extends traditional API security to tool discovery, preventing prompt injection attacks on agent execution environments.</w:t>
      </w:r>
    </w:p>
    <w:p>
      <w:pPr>
        <w:spacing w:before="80" w:after="200" w:line="276" w:lineRule="auto"/>
      </w:pPr>
      <w:r>
        <w:rPr>
          <w:rFonts w:ascii="Arial" w:hAnsi="Arial"/>
          <w:b/>
          <w:color w:val="4A5568"/>
          <w:sz w:val="20"/>
        </w:rPr>
        <w:t xml:space="preserve">Best Suited For: </w:t>
      </w:r>
      <w:r>
        <w:rPr>
          <w:rFonts w:ascii="Arial" w:hAnsi="Arial"/>
          <w:i/>
          <w:color w:val="2D3748"/>
          <w:sz w:val="20"/>
        </w:rPr>
        <w:t>Organizations deploying complex autonomous AI agents, tool-calling networks, and Kubernetes-native agentic infrastructure.</w:t>
      </w:r>
    </w:p>
    <w:p>
      <w:pPr>
        <w:pStyle w:val="Heading1"/>
        <w:spacing w:before="400" w:after="160"/>
      </w:pPr>
      <w:r>
        <w:rPr>
          <w:rFonts w:ascii="Arial" w:hAnsi="Arial"/>
          <w:b/>
          <w:color w:val="1B365D"/>
          <w:sz w:val="32"/>
        </w:rPr>
        <w:t>4. Strategic Architectural Recommendations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0"/>
        </w:rPr>
        <w:t xml:space="preserve">Choose Azure AI Gateway </w:t>
      </w:r>
      <w:r>
        <w:rPr>
          <w:rFonts w:ascii="Arial" w:hAnsi="Arial"/>
          <w:color w:val="2D3748"/>
          <w:sz w:val="20"/>
        </w:rPr>
        <w:t>if you are fully committed to Azure, require managed infrastructure, and prioritize Entra ID integration, automated compliance, and enterprise RBAC over custom routing engines.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0"/>
        </w:rPr>
        <w:t xml:space="preserve">Choose Claude Apps Gateway </w:t>
      </w:r>
      <w:r>
        <w:rPr>
          <w:rFonts w:ascii="Arial" w:hAnsi="Arial"/>
          <w:color w:val="2D3748"/>
          <w:sz w:val="20"/>
        </w:rPr>
        <w:t>if your primary goal is governing human developers/employees using desktop tools and CLI coding agents (Claude Code, Claude Desktop) with clear per-user SSO, zero local keys, and daily spend limits.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0"/>
        </w:rPr>
        <w:t xml:space="preserve">Choose LiteLLM </w:t>
      </w:r>
      <w:r>
        <w:rPr>
          <w:rFonts w:ascii="Arial" w:hAnsi="Arial"/>
          <w:color w:val="2D3748"/>
          <w:sz w:val="20"/>
        </w:rPr>
        <w:t>if you need the broadest coverage of model providers (100+) with minimal setup friction, unified OpenAI translation schemas, and budget-based virtual key management.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0"/>
        </w:rPr>
        <w:t xml:space="preserve">Choose Bifrost </w:t>
      </w:r>
      <w:r>
        <w:rPr>
          <w:rFonts w:ascii="Arial" w:hAnsi="Arial"/>
          <w:color w:val="2D3748"/>
          <w:sz w:val="20"/>
        </w:rPr>
        <w:t>if you are scaling high-throughput, latency-critical consumer or API microservices where low memory footprint and high Go concurrency performance are imperative.</w:t>
      </w:r>
    </w:p>
    <w:p>
      <w:pPr>
        <w:pStyle w:val="ListBullet"/>
        <w:spacing w:after="120" w:line="276" w:lineRule="auto"/>
      </w:pPr>
      <w:r>
        <w:rPr>
          <w:rFonts w:ascii="Arial" w:hAnsi="Arial"/>
          <w:b/>
          <w:color w:val="1B365D"/>
          <w:sz w:val="20"/>
        </w:rPr>
        <w:t xml:space="preserve">Choose Solo.io AgentGateway </w:t>
      </w:r>
      <w:r>
        <w:rPr>
          <w:rFonts w:ascii="Arial" w:hAnsi="Arial"/>
          <w:color w:val="2D3748"/>
          <w:sz w:val="20"/>
        </w:rPr>
        <w:t>if you are building an ecosystem of autonomous AI agents that rely heavily on the Model Context Protocol (MCP), tool-level governance, and Kubernetes-native Envoy infrastructure.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