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864"/>
          <w:sz w:val="52"/>
          <w:szCs w:val="52"/>
        </w:rPr>
        <w:t xml:space="preserve">Knight Industries</w:t>
      </w:r>
    </w:p>
    <w:p>
      <w:pPr>
        <w:spacing w:after="30"/>
      </w:pPr>
      <w:r>
        <w:rPr>
          <w:color w:val="2E5496"/>
          <w:sz w:val="30"/>
          <w:szCs w:val="30"/>
        </w:rPr>
        <w:t xml:space="preserve">Investor Overview</w:t>
      </w:r>
    </w:p>
    <w:p>
      <w:pPr>
        <w:spacing w:after="200"/>
      </w:pPr>
      <w:r>
        <w:rPr>
          <w:i/>
          <w:iCs/>
          <w:color w:val="595959"/>
          <w:sz w:val="24"/>
          <w:szCs w:val="24"/>
        </w:rPr>
        <w:t xml:space="preserve">An analog photonic processor for temporal pattern recognition</w:t>
      </w:r>
    </w:p>
    <w:p>
      <w:pPr>
        <w:pBdr>
          <w:bottom w:val="single" w:color="1F3864" w:sz="6" w:space="1"/>
        </w:pBdr>
        <w:spacing w:after="160"/>
      </w:pPr>
      <w:r>
        <w:t xml:space="preserve"/>
      </w:r>
    </w:p>
    <w:p>
      <w:pPr>
        <w:spacing w:after="150" w:line="278"/>
      </w:pPr>
      <w:r>
        <w:rPr>
          <w:b/>
          <w:bCs/>
        </w:rPr>
        <w:t xml:space="preserve">Date: </w:t>
      </w:r>
      <w:r>
        <w:t xml:space="preserve">June 20, 2026</w:t>
      </w:r>
    </w:p>
    <w:p>
      <w:pPr>
        <w:spacing w:after="150" w:line="278"/>
      </w:pPr>
      <w:r>
        <w:rPr>
          <w:b/>
          <w:bCs/>
        </w:rPr>
        <w:t xml:space="preserve">About this document: </w:t>
      </w:r>
      <w:r>
        <w:t xml:space="preserve">A high-level overview of an early-stage research and development effort. It describes what the technology is intended to do; specific methods and implementation are proprietary and are intentionally not disclosed here.</w:t>
      </w:r>
    </w:p>
    <w:p>
      <w:pPr>
        <w:pStyle w:val="Heading1"/>
      </w:pPr>
      <w:r>
        <w:t xml:space="preserve">Summary</w:t>
      </w:r>
    </w:p>
    <w:p>
      <w:pPr>
        <w:spacing w:after="150" w:line="278"/>
      </w:pPr>
      <w:r>
        <w:t xml:space="preserve">Knight Industries is developing a specialized, energy-efficient computing approach for recognizing and predicting patterns in time-series and other sequential signals. Rather than running these workloads on conventional digital processors, the approach performs the core processing directly in continuous-wave (photonic and optoelectronic) physics, with the goal of substantially lower power and latency for a defined class of edge and signal-processing tasks. The scientific foundation is an established, peer-reviewed paradigm; the company's specific contribution is in development.</w:t>
      </w:r>
    </w:p>
    <w:p>
      <w:pPr>
        <w:pStyle w:val="Heading1"/>
      </w:pPr>
      <w:r>
        <w:t xml:space="preserve">The Opportunity</w:t>
      </w:r>
    </w:p>
    <w:p>
      <w:pPr>
        <w:spacing w:after="150" w:line="278"/>
      </w:pPr>
      <w:r>
        <w:t xml:space="preserve">An increasing share of pattern recognition on sequential data — anomaly detection, condition monitoring, signal classification, and short-horizon prediction — is moving to the edge, close to the sensor, where power budgets, latency, and cost are tightly constrained. Conventional digital hardware spends significant energy moving data and executing these workloads step by step.</w:t>
      </w:r>
    </w:p>
    <w:p>
      <w:pPr>
        <w:spacing w:after="150" w:line="278"/>
      </w:pPr>
      <w:r>
        <w:t xml:space="preserve">There is sustained interest across industry and academia in analog, neuromorphic, and photonic computing approaches that perform certain computations more directly in physics, trading some of the flexibility of general-purpose digital logic for efficiency on specific workloads. Knight Industries targets one such workload — temporal pattern recognition — where a purpose-built physical processor is a natural fit.</w:t>
      </w:r>
    </w:p>
    <w:p>
      <w:pPr>
        <w:pStyle w:val="Heading1"/>
      </w:pPr>
      <w:r>
        <w:t xml:space="preserve">Our Approach</w:t>
      </w:r>
    </w:p>
    <w:p>
      <w:pPr>
        <w:spacing w:after="150" w:line="278"/>
      </w:pPr>
      <w:r>
        <w:t xml:space="preserve">The system uses a physical, continuous-valued dynamical process to transform an incoming signal, together with its recent history, into a rich high-dimensional representation; a lightweight, trainable layer then reads the result. Because only that final layer is trained, the approach is comparatively simple to configure and well suited to streaming, time-dependent data.</w:t>
      </w:r>
    </w:p>
    <w:p>
      <w:pPr>
        <w:spacing w:after="150" w:line="278"/>
      </w:pPr>
      <w:r>
        <w:t xml:space="preserve">This builds on reservoir computing, a documented and peer-reviewed method, which reduces fundamental scientific risk. The company's differentiation lies in its specific physical implementation and signal-encoding methods, which are proprietary and not described in this document.</w:t>
      </w:r>
    </w:p>
    <w:p>
      <w:pPr>
        <w:pStyle w:val="Heading1"/>
      </w:pPr>
      <w:r>
        <w:t xml:space="preserve">Potential Advantages</w:t>
      </w:r>
    </w:p>
    <w:p>
      <w:pPr>
        <w:spacing w:after="150" w:line="278"/>
      </w:pPr>
      <w:r>
        <w:t xml:space="preserve">These are the design goals the technology is being built to pursue. They are targets, not yet independently measured results.</w:t>
      </w:r>
    </w:p>
    <w:p>
      <w:pPr>
        <w:pStyle w:val="ListParagraph"/>
        <w:numPr>
          <w:ilvl w:val="0"/>
          <w:numId w:val="2"/>
        </w:numPr>
        <w:spacing w:after="90" w:line="274"/>
      </w:pPr>
      <w:r>
        <w:rPr>
          <w:b/>
          <w:bCs/>
        </w:rPr>
        <w:t xml:space="preserve">Energy efficiency. </w:t>
      </w:r>
      <w:r>
        <w:t xml:space="preserve">Physical, analog computation can consume very little power for suitable workloads, by avoiding much of the data movement and clocked switching of digital processors.</w:t>
      </w:r>
    </w:p>
    <w:p>
      <w:pPr>
        <w:pStyle w:val="ListParagraph"/>
        <w:numPr>
          <w:ilvl w:val="0"/>
          <w:numId w:val="2"/>
        </w:numPr>
        <w:spacing w:after="90" w:line="274"/>
      </w:pPr>
      <w:r>
        <w:rPr>
          <w:b/>
          <w:bCs/>
        </w:rPr>
        <w:t xml:space="preserve">Low latency. </w:t>
      </w:r>
      <w:r>
        <w:t xml:space="preserve">Continuous processing avoids step-by-step execution overhead, which suits real-time signal tasks.</w:t>
      </w:r>
    </w:p>
    <w:p>
      <w:pPr>
        <w:pStyle w:val="ListParagraph"/>
        <w:numPr>
          <w:ilvl w:val="0"/>
          <w:numId w:val="2"/>
        </w:numPr>
        <w:spacing w:after="90" w:line="274"/>
      </w:pPr>
      <w:r>
        <w:rPr>
          <w:b/>
          <w:bCs/>
        </w:rPr>
        <w:t xml:space="preserve">Purpose-built. </w:t>
      </w:r>
      <w:r>
        <w:t xml:space="preserve">The system is designed specifically for temporal and sequential data, rather than as a general-purpose accelerator.</w:t>
      </w:r>
    </w:p>
    <w:p>
      <w:pPr>
        <w:pStyle w:val="ListParagraph"/>
        <w:numPr>
          <w:ilvl w:val="0"/>
          <w:numId w:val="2"/>
        </w:numPr>
        <w:spacing w:after="90" w:line="274"/>
      </w:pPr>
      <w:r>
        <w:rPr>
          <w:b/>
          <w:bCs/>
        </w:rPr>
        <w:t xml:space="preserve">Grounded in established science. </w:t>
      </w:r>
      <w:r>
        <w:t xml:space="preserve">The underlying method is documented in the peer-reviewed literature, lowering the risk that the basic concept does not work.</w:t>
      </w:r>
    </w:p>
    <w:p>
      <w:pPr>
        <w:pStyle w:val="Heading1"/>
      </w:pPr>
      <w:r>
        <w:t xml:space="preserve">Current Status</w:t>
      </w:r>
    </w:p>
    <w:p>
      <w:pPr>
        <w:spacing w:after="150" w:line="278"/>
      </w:pPr>
      <w:r>
        <w:t xml:space="preserve">The project is at an early, pre-prototype research and development stage. The scientific approach is grounded in established methods; the company's specific implementation is in development and has not yet been built at scale or independently benchmarked. The near-term objective is to validate the approach on representative tasks and then demonstrate it in hardware. The plan below is structured so that the concept is tested inexpensively in software before significant hardware investment is made.</w:t>
      </w:r>
    </w:p>
    <w:p>
      <w:pPr>
        <w:pStyle w:val="Heading1"/>
      </w:pPr>
      <w:r>
        <w:t xml:space="preserve">Roadmap and Use of Funds</w:t>
      </w:r>
    </w:p>
    <w:p>
      <w:pPr>
        <w:spacing w:after="150" w:line="278"/>
      </w:pPr>
      <w:r>
        <w:t xml:space="preserve">Development is organized into milestone-driven phases, each intended to reduce technical risk before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90"/>
              <w:left w:type="dxa" w:w="130"/>
              <w:bottom w:type="dxa" w:w="90"/>
              <w:right w:type="dxa" w:w="130"/>
            </w:tcMar>
          </w:tcPr>
          <w:p>
            <w:r>
              <w:rPr>
                <w:b/>
                <w:bCs/>
                <w:color w:val="FFFFFF"/>
              </w:rPr>
              <w:t xml:space="preserve">Phase</w:t>
            </w:r>
          </w:p>
        </w:tc>
        <w:tc>
          <w:tcPr>
            <w:tcW w:type="dxa" w:w="3700"/>
            <w:tcBorders>
              <w:top w:val="single" w:color="BFBFBF" w:sz="1"/>
              <w:left w:val="single" w:color="BFBFBF" w:sz="1"/>
              <w:bottom w:val="single" w:color="BFBFBF" w:sz="1"/>
              <w:right w:val="single" w:color="BFBFBF" w:sz="1"/>
            </w:tcBorders>
            <w:shd w:fill="1F3864" w:val="clear"/>
            <w:tcMar>
              <w:top w:type="dxa" w:w="90"/>
              <w:left w:type="dxa" w:w="130"/>
              <w:bottom w:type="dxa" w:w="90"/>
              <w:right w:type="dxa" w:w="130"/>
            </w:tcMar>
          </w:tcPr>
          <w:p>
            <w:r>
              <w:rPr>
                <w:b/>
                <w:bCs/>
                <w:color w:val="FFFFFF"/>
              </w:rPr>
              <w:t xml:space="preserve">Goal</w:t>
            </w:r>
          </w:p>
        </w:tc>
        <w:tc>
          <w:tcPr>
            <w:tcW w:type="dxa" w:w="4160"/>
            <w:tcBorders>
              <w:top w:val="single" w:color="BFBFBF" w:sz="1"/>
              <w:left w:val="single" w:color="BFBFBF" w:sz="1"/>
              <w:bottom w:val="single" w:color="BFBFBF" w:sz="1"/>
              <w:right w:val="single" w:color="BFBFBF" w:sz="1"/>
            </w:tcBorders>
            <w:shd w:fill="1F3864" w:val="clear"/>
            <w:tcMar>
              <w:top w:type="dxa" w:w="90"/>
              <w:left w:type="dxa" w:w="130"/>
              <w:bottom w:type="dxa" w:w="90"/>
              <w:right w:type="dxa" w:w="130"/>
            </w:tcMar>
          </w:tcPr>
          <w:p>
            <w:r>
              <w:rPr>
                <w:b/>
                <w:bCs/>
                <w:color w:val="FFFFFF"/>
              </w:rPr>
              <w:t xml:space="preserve">Milestone / what it de-risks</w:t>
            </w:r>
          </w:p>
        </w:tc>
      </w:tr>
      <w:tr>
        <w:tc>
          <w:tcPr>
            <w:tcW w:type="dxa" w:w="1500"/>
            <w:tcBorders>
              <w:top w:val="single" w:color="BFBFBF" w:sz="1"/>
              <w:left w:val="single" w:color="BFBFBF" w:sz="1"/>
              <w:bottom w:val="single" w:color="BFBFBF" w:sz="1"/>
              <w:right w:val="single" w:color="BFBFBF" w:sz="1"/>
            </w:tcBorders>
            <w:tcMar>
              <w:top w:type="dxa" w:w="90"/>
              <w:left w:type="dxa" w:w="130"/>
              <w:bottom w:type="dxa" w:w="90"/>
              <w:right w:type="dxa" w:w="130"/>
            </w:tcMar>
          </w:tcPr>
          <w:p>
            <w:pPr>
              <w:spacing w:after="0" w:line="268"/>
            </w:pPr>
            <w:r>
              <w:rPr>
                <w:b/>
                <w:bCs/>
              </w:rPr>
              <w:t xml:space="preserve">1</w:t>
            </w:r>
          </w:p>
        </w:tc>
        <w:tc>
          <w:tcPr>
            <w:tcW w:type="dxa" w:w="3700"/>
            <w:tcBorders>
              <w:top w:val="single" w:color="BFBFBF" w:sz="1"/>
              <w:left w:val="single" w:color="BFBFBF" w:sz="1"/>
              <w:bottom w:val="single" w:color="BFBFBF" w:sz="1"/>
              <w:right w:val="single" w:color="BFBFBF" w:sz="1"/>
            </w:tcBorders>
            <w:tcMar>
              <w:top w:type="dxa" w:w="90"/>
              <w:left w:type="dxa" w:w="130"/>
              <w:bottom w:type="dxa" w:w="90"/>
              <w:right w:type="dxa" w:w="130"/>
            </w:tcMar>
          </w:tcPr>
          <w:p>
            <w:pPr>
              <w:spacing w:after="0" w:line="268"/>
            </w:pPr>
            <w:r>
              <w:rPr>
                <w:b w:val="false"/>
                <w:bCs w:val="false"/>
              </w:rPr>
              <w:t xml:space="preserve">Software validation: demonstrate the approach on target tasks in simulation and establish baselines.</w:t>
            </w:r>
          </w:p>
        </w:tc>
        <w:tc>
          <w:tcPr>
            <w:tcW w:type="dxa" w:w="4160"/>
            <w:tcBorders>
              <w:top w:val="single" w:color="BFBFBF" w:sz="1"/>
              <w:left w:val="single" w:color="BFBFBF" w:sz="1"/>
              <w:bottom w:val="single" w:color="BFBFBF" w:sz="1"/>
              <w:right w:val="single" w:color="BFBFBF" w:sz="1"/>
            </w:tcBorders>
            <w:tcMar>
              <w:top w:type="dxa" w:w="90"/>
              <w:left w:type="dxa" w:w="130"/>
              <w:bottom w:type="dxa" w:w="90"/>
              <w:right w:type="dxa" w:w="130"/>
            </w:tcMar>
          </w:tcPr>
          <w:p>
            <w:pPr>
              <w:spacing w:after="0" w:line="268"/>
            </w:pPr>
            <w:r>
              <w:rPr>
                <w:b w:val="false"/>
                <w:bCs w:val="false"/>
              </w:rPr>
              <w:t xml:space="preserve">Evidence that the method performs on representative data — achieved at low cost, before any hardware spend.</w:t>
            </w:r>
          </w:p>
        </w:tc>
      </w:tr>
      <w:tr>
        <w:tc>
          <w:tcPr>
            <w:tcW w:type="dxa" w:w="1500"/>
            <w:tcBorders>
              <w:top w:val="single" w:color="BFBFBF" w:sz="1"/>
              <w:left w:val="single" w:color="BFBFBF" w:sz="1"/>
              <w:bottom w:val="single" w:color="BFBFBF" w:sz="1"/>
              <w:right w:val="single" w:color="BFBFBF" w:sz="1"/>
            </w:tcBorders>
            <w:tcMar>
              <w:top w:type="dxa" w:w="90"/>
              <w:left w:type="dxa" w:w="130"/>
              <w:bottom w:type="dxa" w:w="90"/>
              <w:right w:type="dxa" w:w="130"/>
            </w:tcMar>
          </w:tcPr>
          <w:p>
            <w:pPr>
              <w:spacing w:after="0" w:line="268"/>
            </w:pPr>
            <w:r>
              <w:rPr>
                <w:b/>
                <w:bCs/>
              </w:rPr>
              <w:t xml:space="preserve">2</w:t>
            </w:r>
          </w:p>
        </w:tc>
        <w:tc>
          <w:tcPr>
            <w:tcW w:type="dxa" w:w="3700"/>
            <w:tcBorders>
              <w:top w:val="single" w:color="BFBFBF" w:sz="1"/>
              <w:left w:val="single" w:color="BFBFBF" w:sz="1"/>
              <w:bottom w:val="single" w:color="BFBFBF" w:sz="1"/>
              <w:right w:val="single" w:color="BFBFBF" w:sz="1"/>
            </w:tcBorders>
            <w:tcMar>
              <w:top w:type="dxa" w:w="90"/>
              <w:left w:type="dxa" w:w="130"/>
              <w:bottom w:type="dxa" w:w="90"/>
              <w:right w:type="dxa" w:w="130"/>
            </w:tcMar>
          </w:tcPr>
          <w:p>
            <w:pPr>
              <w:spacing w:after="0" w:line="268"/>
            </w:pPr>
            <w:r>
              <w:rPr>
                <w:b w:val="false"/>
                <w:bCs w:val="false"/>
              </w:rPr>
              <w:t xml:space="preserve">Minimal hardware prototype: build and characterize a first physical processor.</w:t>
            </w:r>
          </w:p>
        </w:tc>
        <w:tc>
          <w:tcPr>
            <w:tcW w:type="dxa" w:w="4160"/>
            <w:tcBorders>
              <w:top w:val="single" w:color="BFBFBF" w:sz="1"/>
              <w:left w:val="single" w:color="BFBFBF" w:sz="1"/>
              <w:bottom w:val="single" w:color="BFBFBF" w:sz="1"/>
              <w:right w:val="single" w:color="BFBFBF" w:sz="1"/>
            </w:tcBorders>
            <w:tcMar>
              <w:top w:type="dxa" w:w="90"/>
              <w:left w:type="dxa" w:w="130"/>
              <w:bottom w:type="dxa" w:w="90"/>
              <w:right w:type="dxa" w:w="130"/>
            </w:tcMar>
          </w:tcPr>
          <w:p>
            <w:pPr>
              <w:spacing w:after="0" w:line="268"/>
            </w:pPr>
            <w:r>
              <w:rPr>
                <w:b w:val="false"/>
                <w:bCs w:val="false"/>
              </w:rPr>
              <w:t xml:space="preserve">Proof that the concept works in real hardware; reproduces a known benchmark.</w:t>
            </w:r>
          </w:p>
        </w:tc>
      </w:tr>
      <w:tr>
        <w:tc>
          <w:tcPr>
            <w:tcW w:type="dxa" w:w="1500"/>
            <w:tcBorders>
              <w:top w:val="single" w:color="BFBFBF" w:sz="1"/>
              <w:left w:val="single" w:color="BFBFBF" w:sz="1"/>
              <w:bottom w:val="single" w:color="BFBFBF" w:sz="1"/>
              <w:right w:val="single" w:color="BFBFBF" w:sz="1"/>
            </w:tcBorders>
            <w:tcMar>
              <w:top w:type="dxa" w:w="90"/>
              <w:left w:type="dxa" w:w="130"/>
              <w:bottom w:type="dxa" w:w="90"/>
              <w:right w:type="dxa" w:w="130"/>
            </w:tcMar>
          </w:tcPr>
          <w:p>
            <w:pPr>
              <w:spacing w:after="0" w:line="268"/>
            </w:pPr>
            <w:r>
              <w:rPr>
                <w:b/>
                <w:bCs/>
              </w:rPr>
              <w:t xml:space="preserve">3</w:t>
            </w:r>
          </w:p>
        </w:tc>
        <w:tc>
          <w:tcPr>
            <w:tcW w:type="dxa" w:w="3700"/>
            <w:tcBorders>
              <w:top w:val="single" w:color="BFBFBF" w:sz="1"/>
              <w:left w:val="single" w:color="BFBFBF" w:sz="1"/>
              <w:bottom w:val="single" w:color="BFBFBF" w:sz="1"/>
              <w:right w:val="single" w:color="BFBFBF" w:sz="1"/>
            </w:tcBorders>
            <w:tcMar>
              <w:top w:type="dxa" w:w="90"/>
              <w:left w:type="dxa" w:w="130"/>
              <w:bottom w:type="dxa" w:w="90"/>
              <w:right w:type="dxa" w:w="130"/>
            </w:tcMar>
          </w:tcPr>
          <w:p>
            <w:pPr>
              <w:spacing w:after="0" w:line="268"/>
            </w:pPr>
            <w:r>
              <w:rPr>
                <w:b w:val="false"/>
                <w:bCs w:val="false"/>
              </w:rPr>
              <w:t xml:space="preserve">Performance and capacity: scale the prototype and measure energy and latency against digital baselines.</w:t>
            </w:r>
          </w:p>
        </w:tc>
        <w:tc>
          <w:tcPr>
            <w:tcW w:type="dxa" w:w="4160"/>
            <w:tcBorders>
              <w:top w:val="single" w:color="BFBFBF" w:sz="1"/>
              <w:left w:val="single" w:color="BFBFBF" w:sz="1"/>
              <w:bottom w:val="single" w:color="BFBFBF" w:sz="1"/>
              <w:right w:val="single" w:color="BFBFBF" w:sz="1"/>
            </w:tcBorders>
            <w:tcMar>
              <w:top w:type="dxa" w:w="90"/>
              <w:left w:type="dxa" w:w="130"/>
              <w:bottom w:type="dxa" w:w="90"/>
              <w:right w:type="dxa" w:w="130"/>
            </w:tcMar>
          </w:tcPr>
          <w:p>
            <w:pPr>
              <w:spacing w:after="0" w:line="268"/>
            </w:pPr>
            <w:r>
              <w:rPr>
                <w:b w:val="false"/>
                <w:bCs w:val="false"/>
              </w:rPr>
              <w:t xml:space="preserve">Quantified advantage (or its limits) on the target workload.</w:t>
            </w:r>
          </w:p>
        </w:tc>
      </w:tr>
      <w:tr>
        <w:tc>
          <w:tcPr>
            <w:tcW w:type="dxa" w:w="1500"/>
            <w:tcBorders>
              <w:top w:val="single" w:color="BFBFBF" w:sz="1"/>
              <w:left w:val="single" w:color="BFBFBF" w:sz="1"/>
              <w:bottom w:val="single" w:color="BFBFBF" w:sz="1"/>
              <w:right w:val="single" w:color="BFBFBF" w:sz="1"/>
            </w:tcBorders>
            <w:tcMar>
              <w:top w:type="dxa" w:w="90"/>
              <w:left w:type="dxa" w:w="130"/>
              <w:bottom w:type="dxa" w:w="90"/>
              <w:right w:type="dxa" w:w="130"/>
            </w:tcMar>
          </w:tcPr>
          <w:p>
            <w:pPr>
              <w:spacing w:after="0" w:line="268"/>
            </w:pPr>
            <w:r>
              <w:rPr>
                <w:b/>
                <w:bCs/>
              </w:rPr>
              <w:t xml:space="preserve">4</w:t>
            </w:r>
          </w:p>
        </w:tc>
        <w:tc>
          <w:tcPr>
            <w:tcW w:type="dxa" w:w="3700"/>
            <w:tcBorders>
              <w:top w:val="single" w:color="BFBFBF" w:sz="1"/>
              <w:left w:val="single" w:color="BFBFBF" w:sz="1"/>
              <w:bottom w:val="single" w:color="BFBFBF" w:sz="1"/>
              <w:right w:val="single" w:color="BFBFBF" w:sz="1"/>
            </w:tcBorders>
            <w:tcMar>
              <w:top w:type="dxa" w:w="90"/>
              <w:left w:type="dxa" w:w="130"/>
              <w:bottom w:type="dxa" w:w="90"/>
              <w:right w:type="dxa" w:w="130"/>
            </w:tcMar>
          </w:tcPr>
          <w:p>
            <w:pPr>
              <w:spacing w:after="0" w:line="268"/>
            </w:pPr>
            <w:r>
              <w:rPr>
                <w:b w:val="false"/>
                <w:bCs w:val="false"/>
              </w:rPr>
              <w:t xml:space="preserve">Integration and productization: package the system for a first application.</w:t>
            </w:r>
          </w:p>
        </w:tc>
        <w:tc>
          <w:tcPr>
            <w:tcW w:type="dxa" w:w="4160"/>
            <w:tcBorders>
              <w:top w:val="single" w:color="BFBFBF" w:sz="1"/>
              <w:left w:val="single" w:color="BFBFBF" w:sz="1"/>
              <w:bottom w:val="single" w:color="BFBFBF" w:sz="1"/>
              <w:right w:val="single" w:color="BFBFBF" w:sz="1"/>
            </w:tcBorders>
            <w:tcMar>
              <w:top w:type="dxa" w:w="90"/>
              <w:left w:type="dxa" w:w="130"/>
              <w:bottom w:type="dxa" w:w="90"/>
              <w:right w:type="dxa" w:w="130"/>
            </w:tcMar>
          </w:tcPr>
          <w:p>
            <w:pPr>
              <w:spacing w:after="0" w:line="268"/>
            </w:pPr>
            <w:r>
              <w:rPr>
                <w:b w:val="false"/>
                <w:bCs w:val="false"/>
              </w:rPr>
              <w:t xml:space="preserve">A deployable unit and a defined first use case.</w:t>
            </w:r>
          </w:p>
        </w:tc>
      </w:tr>
    </w:tbl>
    <w:p>
      <w:pPr>
        <w:spacing w:after="60"/>
      </w:pPr>
    </w:p>
    <w:p>
      <w:pPr>
        <w:spacing w:after="120" w:line="274"/>
      </w:pPr>
      <w:r>
        <w:rPr>
          <w:i/>
          <w:iCs/>
          <w:color w:val="7030A0"/>
        </w:rPr>
        <w:t xml:space="preserve">[Insert the funding amount sought, the runway it provides, and the phase(s) it covers. Tie the raise to specific milestones above.]</w:t>
      </w:r>
    </w:p>
    <w:p>
      <w:pPr>
        <w:pStyle w:val="Heading1"/>
      </w:pPr>
      <w:r>
        <w:t xml:space="preserve">Market Context</w:t>
      </w:r>
    </w:p>
    <w:p>
      <w:pPr>
        <w:spacing w:after="150" w:line="278"/>
      </w:pPr>
      <w:r>
        <w:t xml:space="preserve">Relevant areas include edge AI and low-power inference, industrial condition monitoring and predictive maintenance, sensor and signal processing, and real-time anomaly detection. The space includes digital machine-learning accelerators and emerging neuromorphic and photonic approaches; Knight Industries focuses specifically on efficient temporal pattern recognition.</w:t>
      </w:r>
    </w:p>
    <w:p>
      <w:pPr>
        <w:spacing w:after="120" w:line="274"/>
      </w:pPr>
      <w:r>
        <w:rPr>
          <w:i/>
          <w:iCs/>
          <w:color w:val="7030A0"/>
        </w:rPr>
        <w:t xml:space="preserve">[Insert validated market sizing and target-segment data from a credible source, with citations.]</w:t>
      </w:r>
    </w:p>
    <w:p>
      <w:pPr>
        <w:pStyle w:val="Heading1"/>
      </w:pPr>
      <w:r>
        <w:t xml:space="preserve">Team</w:t>
      </w:r>
    </w:p>
    <w:p>
      <w:pPr>
        <w:spacing w:after="120" w:line="274"/>
      </w:pPr>
      <w:r>
        <w:rPr>
          <w:i/>
          <w:iCs/>
          <w:color w:val="7030A0"/>
        </w:rPr>
        <w:t xml:space="preserve">[Insert founder and team names, relevant backgrounds, and advisors. Investors weigh this heavily; keep it factual and verifiable.]</w:t>
      </w:r>
    </w:p>
    <w:p>
      <w:pPr>
        <w:pStyle w:val="Heading1"/>
      </w:pPr>
      <w:r>
        <w:t xml:space="preserve">Risk Factors and Disclaimers</w:t>
      </w:r>
    </w:p>
    <w:p>
      <w:pPr>
        <w:spacing w:after="150" w:line="278"/>
      </w:pPr>
      <w:r>
        <w:t xml:space="preserve">This document contains forward-looking statements about a development-stage technology and is provided for informational purposes only. It is not an offer to sell, or a solicitation of an offer to buy, any securities.</w:t>
      </w:r>
    </w:p>
    <w:p>
      <w:pPr>
        <w:spacing w:after="150" w:line="278"/>
      </w:pPr>
      <w:r>
        <w:t xml:space="preserve">Statements about potential performance, capabilities, advantages, and timelines are aspirational and subject to substantial technical and commercial risk. The technology described is at an early stage, has not been independently validated, and may not achieve the results described. Prospective investors should conduct their own due diligence and consult qualified financial and legal advisors before making any investment decision.</w:t>
      </w:r>
    </w:p>
    <w:p>
      <w:pPr>
        <w:pStyle w:val="Heading1"/>
      </w:pPr>
      <w:r>
        <w:t xml:space="preserve">Contact</w:t>
      </w:r>
    </w:p>
    <w:p>
      <w:pPr>
        <w:spacing w:after="120" w:line="274"/>
      </w:pPr>
      <w:r>
        <w:rPr>
          <w:i/>
          <w:iCs/>
          <w:color w:val="7030A0"/>
        </w:rPr>
        <w:t xml:space="preserve">[Insert contact name, email, and website.]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Knight Industries — Investor Overview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Knight Industries — Investor Overview</dc:title>
  <dc:creator>Knight Industries</dc:creator>
  <cp:lastModifiedBy>Un-named</cp:lastModifiedBy>
  <cp:revision>1</cp:revision>
  <dcterms:created xsi:type="dcterms:W3CDTF">2026-06-20T21:23:33.071Z</dcterms:created>
  <dcterms:modified xsi:type="dcterms:W3CDTF">2026-06-20T21:23:33.082Z</dcterms:modified>
</cp:coreProperties>
</file>

<file path=docProps/custom.xml><?xml version="1.0" encoding="utf-8"?>
<Properties xmlns="http://schemas.openxmlformats.org/officeDocument/2006/custom-properties" xmlns:vt="http://schemas.openxmlformats.org/officeDocument/2006/docPropsVTypes"/>
</file>