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3864"/>
          <w:sz w:val="40"/>
          <w:szCs w:val="40"/>
        </w:rPr>
        <w:t xml:space="preserve">Solar–Terrestrial and Lunar–Seismic Coupling</w:t>
      </w:r>
    </w:p>
    <w:p>
      <w:pPr>
        <w:spacing w:after="240" w:before="60"/>
      </w:pPr>
      <w:r>
        <w:rPr>
          <w:b/>
          <w:bCs/>
          <w:color w:val="1F3864"/>
          <w:sz w:val="40"/>
          <w:szCs w:val="40"/>
        </w:rPr>
        <w:t xml:space="preserve">and the Spacetime-Foam Hypothesis</w:t>
      </w:r>
    </w:p>
    <w:p>
      <w:pPr>
        <w:spacing w:after="80"/>
      </w:pPr>
      <w:r>
        <w:rPr>
          <w:i/>
          <w:iCs/>
          <w:color w:val="444444"/>
          <w:sz w:val="26"/>
          <w:szCs w:val="26"/>
        </w:rPr>
        <w:t xml:space="preserve">An Evidence Review, a Quantitative Exclusion Bound, and a Falsifiable Test Program</w:t>
      </w:r>
    </w:p>
    <w:p>
      <w:pPr>
        <w:pBdr>
          <w:bottom w:val="single" w:color="1F3864" w:sz="6" w:space="1"/>
        </w:pBdr>
        <w:spacing w:after="120" w:before="40"/>
      </w:pPr>
      <w:r>
        <w:t xml:space="preserve"/>
      </w:r>
    </w:p>
    <w:p>
      <w:pPr>
        <w:spacing w:after="40" w:before="120"/>
      </w:pPr>
      <w:r>
        <w:rPr>
          <w:color w:val="444444"/>
          <w:sz w:val="22"/>
          <w:szCs w:val="22"/>
        </w:rPr>
        <w:t xml:space="preserve">A Data-Constrained Synthesis for the Reciprocal Framework (PRI) Research Program</w:t>
      </w:r>
    </w:p>
    <w:p>
      <w:pPr>
        <w:spacing w:after="20" w:before="320"/>
      </w:pPr>
      <w:r>
        <w:rPr>
          <w:b/>
          <w:bCs/>
          <w:sz w:val="24"/>
          <w:szCs w:val="24"/>
        </w:rPr>
        <w:t xml:space="preserve">BS Medicineman</w:t>
      </w:r>
    </w:p>
    <w:p>
      <w:pPr>
        <w:spacing w:after="20"/>
      </w:pPr>
      <w:r>
        <w:rPr>
          <w:color w:val="2E4D7B"/>
          <w:sz w:val="20"/>
          <w:szCs w:val="20"/>
        </w:rPr>
        <w:t xml:space="preserve">knight4d.com</w:t>
      </w:r>
    </w:p>
    <w:p>
      <w:pPr>
        <w:spacing w:after="240"/>
      </w:pPr>
      <w:r>
        <w:rPr>
          <w:color w:val="444444"/>
          <w:sz w:val="22"/>
          <w:szCs w:val="22"/>
        </w:rPr>
        <w:t xml:space="preserve">June 25, 2026</w:t>
      </w:r>
    </w:p>
    <w:p>
      <w:pPr>
        <w:pBdr>
          <w:bottom w:val="single" w:color="1F3864" w:sz="6" w:space="1"/>
        </w:pBdr>
        <w:spacing w:after="120" w:before="40"/>
      </w:pPr>
      <w:r>
        <w:t xml:space="preserve"/>
      </w:r>
    </w:p>
    <w:p>
      <w:pPr>
        <w:pBdr>
          <w:left w:val="single" w:color="1F3864" w:sz="18" w:space="12"/>
        </w:pBdr>
        <w:shd w:fill="F2F4F8" w:val="clear"/>
        <w:spacing w:before="200"/>
        <w:ind w:left="200"/>
      </w:pPr>
      <w:r>
        <w:rPr>
          <w:b/>
          <w:bCs/>
          <w:sz w:val="21"/>
          <w:szCs w:val="21"/>
        </w:rPr>
        <w:t xml:space="preserve">Status of this document. </w:t>
      </w:r>
      <w:r>
        <w:rPr>
          <w:sz w:val="21"/>
          <w:szCs w:val="21"/>
        </w:rPr>
        <w:t xml:space="preserve">This is an analytical review and experimental proposal. It does not report a detection of spacetime foam and makes no such claim. Its positive result is a quantitative bound: the known channels coupling solar activity to the solid Earth are far too weak to produce a detectable metric effect, and the one external influence established to modulate earthquake timing is ordinary tidal stress. The decisive experiment proposed here has not yet been run on real data.</w:t>
      </w:r>
    </w:p>
    <w:p>
      <w:r>
        <w:br w:type="page"/>
      </w:r>
    </w:p>
    <w:p>
      <w:pPr>
        <w:spacing w:after="120"/>
      </w:pPr>
      <w:r>
        <w:rPr>
          <w:b/>
          <w:bCs/>
          <w:color w:val="1F3864"/>
          <w:sz w:val="28"/>
          <w:szCs w:val="28"/>
        </w:rPr>
        <w:t xml:space="preserve">Contents</w:t>
      </w:r>
    </w:p>
    <w:p>
      <w:pPr>
        <w:tabs>
          <w:tab w:val="right" w:pos="9360" w:leader="dot"/>
        </w:tabs>
        <w:spacing w:after="26" w:line="252"/>
      </w:pPr>
      <w:r>
        <w:rPr>
          <w:b/>
          <w:bCs/>
          <w:color w:val="1F3864"/>
          <w:sz w:val="22"/>
          <w:szCs w:val="22"/>
        </w:rPr>
        <w:t xml:space="preserve">1. Summary of Findings</w:t>
      </w:r>
      <w:r>
        <w:t xml:space="preserve">	</w:t>
      </w:r>
      <w:r>
        <w:rPr>
          <w:b/>
          <w:bCs/>
          <w:color w:val="1F3864"/>
          <w:sz w:val="22"/>
          <w:szCs w:val="22"/>
        </w:rPr>
        <w:t xml:space="preserve">3</w:t>
      </w:r>
    </w:p>
    <w:p>
      <w:pPr>
        <w:tabs>
          <w:tab w:val="right" w:pos="9360" w:leader="dot"/>
        </w:tabs>
        <w:spacing w:after="26" w:line="252"/>
      </w:pPr>
      <w:r>
        <w:rPr>
          <w:b/>
          <w:bCs/>
          <w:color w:val="1F3864"/>
          <w:sz w:val="22"/>
          <w:szCs w:val="22"/>
        </w:rPr>
        <w:t xml:space="preserve">2. Scope and What This Document Claims</w:t>
      </w:r>
      <w:r>
        <w:t xml:space="preserve">	</w:t>
      </w:r>
      <w:r>
        <w:rPr>
          <w:b/>
          <w:bCs/>
          <w:color w:val="1F3864"/>
          <w:sz w:val="22"/>
          <w:szCs w:val="22"/>
        </w:rPr>
        <w:t xml:space="preserve">3</w:t>
      </w:r>
    </w:p>
    <w:p>
      <w:pPr>
        <w:tabs>
          <w:tab w:val="right" w:pos="9360" w:leader="dot"/>
        </w:tabs>
        <w:spacing w:after="26" w:line="252"/>
      </w:pPr>
      <w:r>
        <w:rPr>
          <w:b/>
          <w:bCs/>
          <w:color w:val="1F3864"/>
          <w:sz w:val="22"/>
          <w:szCs w:val="22"/>
        </w:rPr>
        <w:t xml:space="preserve">3. The State of the Evidence</w:t>
      </w:r>
      <w:r>
        <w:t xml:space="preserve">	</w:t>
      </w:r>
      <w:r>
        <w:rPr>
          <w:b/>
          <w:bCs/>
          <w:color w:val="1F3864"/>
          <w:sz w:val="22"/>
          <w:szCs w:val="22"/>
        </w:rPr>
        <w:t xml:space="preserve">4</w:t>
      </w:r>
    </w:p>
    <w:p>
      <w:pPr>
        <w:tabs>
          <w:tab w:val="right" w:pos="9360" w:leader="dot"/>
        </w:tabs>
        <w:spacing w:after="26" w:line="252"/>
        <w:ind w:left="360"/>
      </w:pPr>
      <w:r>
        <w:rPr>
          <w:b w:val="false"/>
          <w:bCs w:val="false"/>
          <w:color w:val="333333"/>
          <w:sz w:val="20"/>
          <w:szCs w:val="20"/>
        </w:rPr>
        <w:t xml:space="preserve">3.1  Solar–seismic coupling is null-dominated</w:t>
      </w:r>
      <w:r>
        <w:t xml:space="preserve">	</w:t>
      </w:r>
      <w:r>
        <w:rPr>
          <w:b w:val="false"/>
          <w:bCs w:val="false"/>
          <w:color w:val="333333"/>
          <w:sz w:val="20"/>
          <w:szCs w:val="20"/>
        </w:rPr>
        <w:t xml:space="preserve">4</w:t>
      </w:r>
    </w:p>
    <w:p>
      <w:pPr>
        <w:tabs>
          <w:tab w:val="right" w:pos="9360" w:leader="dot"/>
        </w:tabs>
        <w:spacing w:after="26" w:line="252"/>
        <w:ind w:left="360"/>
      </w:pPr>
      <w:r>
        <w:rPr>
          <w:b w:val="false"/>
          <w:bCs w:val="false"/>
          <w:color w:val="333333"/>
          <w:sz w:val="20"/>
          <w:szCs w:val="20"/>
        </w:rPr>
        <w:t xml:space="preserve">3.2  Lunar and tidal triggering is established</w:t>
      </w:r>
      <w:r>
        <w:t xml:space="preserve">	</w:t>
      </w:r>
      <w:r>
        <w:rPr>
          <w:b w:val="false"/>
          <w:bCs w:val="false"/>
          <w:color w:val="333333"/>
          <w:sz w:val="20"/>
          <w:szCs w:val="20"/>
        </w:rPr>
        <w:t xml:space="preserve">4</w:t>
      </w:r>
    </w:p>
    <w:p>
      <w:pPr>
        <w:tabs>
          <w:tab w:val="right" w:pos="9360" w:leader="dot"/>
        </w:tabs>
        <w:spacing w:after="26" w:line="252"/>
        <w:ind w:left="360"/>
      </w:pPr>
      <w:r>
        <w:rPr>
          <w:b w:val="false"/>
          <w:bCs w:val="false"/>
          <w:color w:val="333333"/>
          <w:sz w:val="20"/>
          <w:szCs w:val="20"/>
        </w:rPr>
        <w:t xml:space="preserve">3.3  Electromagnetic precursors are not robustly replicable</w:t>
      </w:r>
      <w:r>
        <w:t xml:space="preserve">	</w:t>
      </w:r>
      <w:r>
        <w:rPr>
          <w:b w:val="false"/>
          <w:bCs w:val="false"/>
          <w:color w:val="333333"/>
          <w:sz w:val="20"/>
          <w:szCs w:val="20"/>
        </w:rPr>
        <w:t xml:space="preserve">5</w:t>
      </w:r>
    </w:p>
    <w:p>
      <w:pPr>
        <w:tabs>
          <w:tab w:val="right" w:pos="9360" w:leader="dot"/>
        </w:tabs>
        <w:spacing w:after="26" w:line="252"/>
        <w:ind w:left="360"/>
      </w:pPr>
      <w:r>
        <w:rPr>
          <w:b w:val="false"/>
          <w:bCs w:val="false"/>
          <w:color w:val="333333"/>
          <w:sz w:val="20"/>
          <w:szCs w:val="20"/>
        </w:rPr>
        <w:t xml:space="preserve">3.4  The Pc5 / free-oscillation coincidence</w:t>
      </w:r>
      <w:r>
        <w:t xml:space="preserve">	</w:t>
      </w:r>
      <w:r>
        <w:rPr>
          <w:b w:val="false"/>
          <w:bCs w:val="false"/>
          <w:color w:val="333333"/>
          <w:sz w:val="20"/>
          <w:szCs w:val="20"/>
        </w:rPr>
        <w:t xml:space="preserve">5</w:t>
      </w:r>
    </w:p>
    <w:p>
      <w:pPr>
        <w:tabs>
          <w:tab w:val="right" w:pos="9360" w:leader="dot"/>
        </w:tabs>
        <w:spacing w:after="26" w:line="252"/>
      </w:pPr>
      <w:r>
        <w:rPr>
          <w:b/>
          <w:bCs/>
          <w:color w:val="1F3864"/>
          <w:sz w:val="22"/>
          <w:szCs w:val="22"/>
        </w:rPr>
        <w:t xml:space="preserve">4. Quantitative Constraints: The Ladders</w:t>
      </w:r>
      <w:r>
        <w:t xml:space="preserve">	</w:t>
      </w:r>
      <w:r>
        <w:rPr>
          <w:b/>
          <w:bCs/>
          <w:color w:val="1F3864"/>
          <w:sz w:val="22"/>
          <w:szCs w:val="22"/>
        </w:rPr>
        <w:t xml:space="preserve">5</w:t>
      </w:r>
    </w:p>
    <w:p>
      <w:pPr>
        <w:tabs>
          <w:tab w:val="right" w:pos="9360" w:leader="dot"/>
        </w:tabs>
        <w:spacing w:after="26" w:line="252"/>
        <w:ind w:left="360"/>
      </w:pPr>
      <w:r>
        <w:rPr>
          <w:b w:val="false"/>
          <w:bCs w:val="false"/>
          <w:color w:val="333333"/>
          <w:sz w:val="20"/>
          <w:szCs w:val="20"/>
        </w:rPr>
        <w:t xml:space="preserve">4.1  The stress ladder</w:t>
      </w:r>
      <w:r>
        <w:t xml:space="preserve">	</w:t>
      </w:r>
      <w:r>
        <w:rPr>
          <w:b w:val="false"/>
          <w:bCs w:val="false"/>
          <w:color w:val="333333"/>
          <w:sz w:val="20"/>
          <w:szCs w:val="20"/>
        </w:rPr>
        <w:t xml:space="preserve">5</w:t>
      </w:r>
    </w:p>
    <w:p>
      <w:pPr>
        <w:tabs>
          <w:tab w:val="right" w:pos="9360" w:leader="dot"/>
        </w:tabs>
        <w:spacing w:after="26" w:line="252"/>
        <w:ind w:left="360"/>
      </w:pPr>
      <w:r>
        <w:rPr>
          <w:b w:val="false"/>
          <w:bCs w:val="false"/>
          <w:color w:val="333333"/>
          <w:sz w:val="20"/>
          <w:szCs w:val="20"/>
        </w:rPr>
        <w:t xml:space="preserve">4.2  The energy ladder</w:t>
      </w:r>
      <w:r>
        <w:t xml:space="preserve">	</w:t>
      </w:r>
      <w:r>
        <w:rPr>
          <w:b w:val="false"/>
          <w:bCs w:val="false"/>
          <w:color w:val="333333"/>
          <w:sz w:val="20"/>
          <w:szCs w:val="20"/>
        </w:rPr>
        <w:t xml:space="preserve">6</w:t>
      </w:r>
    </w:p>
    <w:p>
      <w:pPr>
        <w:tabs>
          <w:tab w:val="right" w:pos="9360" w:leader="dot"/>
        </w:tabs>
        <w:spacing w:after="26" w:line="252"/>
        <w:ind w:left="360"/>
      </w:pPr>
      <w:r>
        <w:rPr>
          <w:b w:val="false"/>
          <w:bCs w:val="false"/>
          <w:color w:val="333333"/>
          <w:sz w:val="20"/>
          <w:szCs w:val="20"/>
        </w:rPr>
        <w:t xml:space="preserve">4.3  The frequency ladder</w:t>
      </w:r>
      <w:r>
        <w:t xml:space="preserve">	</w:t>
      </w:r>
      <w:r>
        <w:rPr>
          <w:b w:val="false"/>
          <w:bCs w:val="false"/>
          <w:color w:val="333333"/>
          <w:sz w:val="20"/>
          <w:szCs w:val="20"/>
        </w:rPr>
        <w:t xml:space="preserve">6</w:t>
      </w:r>
    </w:p>
    <w:p>
      <w:pPr>
        <w:tabs>
          <w:tab w:val="right" w:pos="9360" w:leader="dot"/>
        </w:tabs>
        <w:spacing w:after="26" w:line="252"/>
      </w:pPr>
      <w:r>
        <w:rPr>
          <w:b/>
          <w:bCs/>
          <w:color w:val="1F3864"/>
          <w:sz w:val="22"/>
          <w:szCs w:val="22"/>
        </w:rPr>
        <w:t xml:space="preserve">5. The Exclusion Bound (a “No-Go” Result)</w:t>
      </w:r>
      <w:r>
        <w:t xml:space="preserve">	</w:t>
      </w:r>
      <w:r>
        <w:rPr>
          <w:b/>
          <w:bCs/>
          <w:color w:val="1F3864"/>
          <w:sz w:val="22"/>
          <w:szCs w:val="22"/>
        </w:rPr>
        <w:t xml:space="preserve">7</w:t>
      </w:r>
    </w:p>
    <w:p>
      <w:pPr>
        <w:tabs>
          <w:tab w:val="right" w:pos="9360" w:leader="dot"/>
        </w:tabs>
        <w:spacing w:after="26" w:line="252"/>
        <w:ind w:left="360"/>
      </w:pPr>
      <w:r>
        <w:rPr>
          <w:b w:val="false"/>
          <w:bCs w:val="false"/>
          <w:color w:val="333333"/>
          <w:sz w:val="20"/>
          <w:szCs w:val="20"/>
        </w:rPr>
        <w:t xml:space="preserve">5.1  Assumptions</w:t>
      </w:r>
      <w:r>
        <w:t xml:space="preserve">	</w:t>
      </w:r>
      <w:r>
        <w:rPr>
          <w:b w:val="false"/>
          <w:bCs w:val="false"/>
          <w:color w:val="333333"/>
          <w:sz w:val="20"/>
          <w:szCs w:val="20"/>
        </w:rPr>
        <w:t xml:space="preserve">7</w:t>
      </w:r>
    </w:p>
    <w:p>
      <w:pPr>
        <w:tabs>
          <w:tab w:val="right" w:pos="9360" w:leader="dot"/>
        </w:tabs>
        <w:spacing w:after="26" w:line="252"/>
        <w:ind w:left="360"/>
      </w:pPr>
      <w:r>
        <w:rPr>
          <w:b w:val="false"/>
          <w:bCs w:val="false"/>
          <w:color w:val="333333"/>
          <w:sz w:val="20"/>
          <w:szCs w:val="20"/>
        </w:rPr>
        <w:t xml:space="preserve">5.2  The bound</w:t>
      </w:r>
      <w:r>
        <w:t xml:space="preserve">	</w:t>
      </w:r>
      <w:r>
        <w:rPr>
          <w:b w:val="false"/>
          <w:bCs w:val="false"/>
          <w:color w:val="333333"/>
          <w:sz w:val="20"/>
          <w:szCs w:val="20"/>
        </w:rPr>
        <w:t xml:space="preserve">8</w:t>
      </w:r>
    </w:p>
    <w:p>
      <w:pPr>
        <w:tabs>
          <w:tab w:val="right" w:pos="9360" w:leader="dot"/>
        </w:tabs>
        <w:spacing w:after="26" w:line="252"/>
        <w:ind w:left="360"/>
      </w:pPr>
      <w:r>
        <w:rPr>
          <w:b w:val="false"/>
          <w:bCs w:val="false"/>
          <w:color w:val="333333"/>
          <w:sz w:val="20"/>
          <w:szCs w:val="20"/>
        </w:rPr>
        <w:t xml:space="preserve">5.3  The conclusion, stated precisely</w:t>
      </w:r>
      <w:r>
        <w:t xml:space="preserve">	</w:t>
      </w:r>
      <w:r>
        <w:rPr>
          <w:b w:val="false"/>
          <w:bCs w:val="false"/>
          <w:color w:val="333333"/>
          <w:sz w:val="20"/>
          <w:szCs w:val="20"/>
        </w:rPr>
        <w:t xml:space="preserve">8</w:t>
      </w:r>
    </w:p>
    <w:p>
      <w:pPr>
        <w:tabs>
          <w:tab w:val="right" w:pos="9360" w:leader="dot"/>
        </w:tabs>
        <w:spacing w:after="26" w:line="252"/>
        <w:ind w:left="360"/>
      </w:pPr>
      <w:r>
        <w:rPr>
          <w:b w:val="false"/>
          <w:bCs w:val="false"/>
          <w:color w:val="333333"/>
          <w:sz w:val="20"/>
          <w:szCs w:val="20"/>
        </w:rPr>
        <w:t xml:space="preserve">5.4  Scope: what this does and does not establish</w:t>
      </w:r>
      <w:r>
        <w:t xml:space="preserve">	</w:t>
      </w:r>
      <w:r>
        <w:rPr>
          <w:b w:val="false"/>
          <w:bCs w:val="false"/>
          <w:color w:val="333333"/>
          <w:sz w:val="20"/>
          <w:szCs w:val="20"/>
        </w:rPr>
        <w:t xml:space="preserve">8</w:t>
      </w:r>
    </w:p>
    <w:p>
      <w:pPr>
        <w:tabs>
          <w:tab w:val="right" w:pos="9360" w:leader="dot"/>
        </w:tabs>
        <w:spacing w:after="26" w:line="252"/>
      </w:pPr>
      <w:r>
        <w:rPr>
          <w:b/>
          <w:bCs/>
          <w:color w:val="1F3864"/>
          <w:sz w:val="22"/>
          <w:szCs w:val="22"/>
        </w:rPr>
        <w:t xml:space="preserve">6. Status of the Spacetime-Foam (PRI) Framework</w:t>
      </w:r>
      <w:r>
        <w:t xml:space="preserve">	</w:t>
      </w:r>
      <w:r>
        <w:rPr>
          <w:b/>
          <w:bCs/>
          <w:color w:val="1F3864"/>
          <w:sz w:val="22"/>
          <w:szCs w:val="22"/>
        </w:rPr>
        <w:t xml:space="preserve">8</w:t>
      </w:r>
    </w:p>
    <w:p>
      <w:pPr>
        <w:tabs>
          <w:tab w:val="right" w:pos="9360" w:leader="dot"/>
        </w:tabs>
        <w:spacing w:after="26" w:line="252"/>
      </w:pPr>
      <w:r>
        <w:rPr>
          <w:b/>
          <w:bCs/>
          <w:color w:val="1F3864"/>
          <w:sz w:val="22"/>
          <w:szCs w:val="22"/>
        </w:rPr>
        <w:t xml:space="preserve">7. The Proposed Experiment: Residual Schuster Test</w:t>
      </w:r>
      <w:r>
        <w:t xml:space="preserve">	</w:t>
      </w:r>
      <w:r>
        <w:rPr>
          <w:b/>
          <w:bCs/>
          <w:color w:val="1F3864"/>
          <w:sz w:val="22"/>
          <w:szCs w:val="22"/>
        </w:rPr>
        <w:t xml:space="preserve">9</w:t>
      </w:r>
    </w:p>
    <w:p>
      <w:pPr>
        <w:tabs>
          <w:tab w:val="right" w:pos="9360" w:leader="dot"/>
        </w:tabs>
        <w:spacing w:after="26" w:line="252"/>
        <w:ind w:left="360"/>
      </w:pPr>
      <w:r>
        <w:rPr>
          <w:b w:val="false"/>
          <w:bCs w:val="false"/>
          <w:color w:val="333333"/>
          <w:sz w:val="20"/>
          <w:szCs w:val="20"/>
        </w:rPr>
        <w:t xml:space="preserve">7.1  Data (all public)</w:t>
      </w:r>
      <w:r>
        <w:t xml:space="preserve">	</w:t>
      </w:r>
      <w:r>
        <w:rPr>
          <w:b w:val="false"/>
          <w:bCs w:val="false"/>
          <w:color w:val="333333"/>
          <w:sz w:val="20"/>
          <w:szCs w:val="20"/>
        </w:rPr>
        <w:t xml:space="preserve">9</w:t>
      </w:r>
    </w:p>
    <w:p>
      <w:pPr>
        <w:tabs>
          <w:tab w:val="right" w:pos="9360" w:leader="dot"/>
        </w:tabs>
        <w:spacing w:after="26" w:line="252"/>
        <w:ind w:left="360"/>
      </w:pPr>
      <w:r>
        <w:rPr>
          <w:b w:val="false"/>
          <w:bCs w:val="false"/>
          <w:color w:val="333333"/>
          <w:sz w:val="20"/>
          <w:szCs w:val="20"/>
        </w:rPr>
        <w:t xml:space="preserve">7.2  Procedure</w:t>
      </w:r>
      <w:r>
        <w:t xml:space="preserve">	</w:t>
      </w:r>
      <w:r>
        <w:rPr>
          <w:b w:val="false"/>
          <w:bCs w:val="false"/>
          <w:color w:val="333333"/>
          <w:sz w:val="20"/>
          <w:szCs w:val="20"/>
        </w:rPr>
        <w:t xml:space="preserve">9</w:t>
      </w:r>
    </w:p>
    <w:p>
      <w:pPr>
        <w:tabs>
          <w:tab w:val="right" w:pos="9360" w:leader="dot"/>
        </w:tabs>
        <w:spacing w:after="26" w:line="252"/>
        <w:ind w:left="360"/>
      </w:pPr>
      <w:r>
        <w:rPr>
          <w:b w:val="false"/>
          <w:bCs w:val="false"/>
          <w:color w:val="333333"/>
          <w:sz w:val="20"/>
          <w:szCs w:val="20"/>
        </w:rPr>
        <w:t xml:space="preserve">7.3  Controls and pre-registration</w:t>
      </w:r>
      <w:r>
        <w:t xml:space="preserve">	</w:t>
      </w:r>
      <w:r>
        <w:rPr>
          <w:b w:val="false"/>
          <w:bCs w:val="false"/>
          <w:color w:val="333333"/>
          <w:sz w:val="20"/>
          <w:szCs w:val="20"/>
        </w:rPr>
        <w:t xml:space="preserve">10</w:t>
      </w:r>
    </w:p>
    <w:p>
      <w:pPr>
        <w:tabs>
          <w:tab w:val="right" w:pos="9360" w:leader="dot"/>
        </w:tabs>
        <w:spacing w:after="26" w:line="252"/>
        <w:ind w:left="360"/>
      </w:pPr>
      <w:r>
        <w:rPr>
          <w:b w:val="false"/>
          <w:bCs w:val="false"/>
          <w:color w:val="333333"/>
          <w:sz w:val="20"/>
          <w:szCs w:val="20"/>
        </w:rPr>
        <w:t xml:space="preserve">7.4  Expected outcome and decision criteria</w:t>
      </w:r>
      <w:r>
        <w:t xml:space="preserve">	</w:t>
      </w:r>
      <w:r>
        <w:rPr>
          <w:b w:val="false"/>
          <w:bCs w:val="false"/>
          <w:color w:val="333333"/>
          <w:sz w:val="20"/>
          <w:szCs w:val="20"/>
        </w:rPr>
        <w:t xml:space="preserve">10</w:t>
      </w:r>
    </w:p>
    <w:p>
      <w:pPr>
        <w:tabs>
          <w:tab w:val="right" w:pos="9360" w:leader="dot"/>
        </w:tabs>
        <w:spacing w:after="26" w:line="252"/>
        <w:ind w:left="360"/>
      </w:pPr>
      <w:r>
        <w:rPr>
          <w:b w:val="false"/>
          <w:bCs w:val="false"/>
          <w:color w:val="333333"/>
          <w:sz w:val="20"/>
          <w:szCs w:val="20"/>
        </w:rPr>
        <w:t xml:space="preserve">7.5  A secondary, foam-specific probe</w:t>
      </w:r>
      <w:r>
        <w:t xml:space="preserve">	</w:t>
      </w:r>
      <w:r>
        <w:rPr>
          <w:b w:val="false"/>
          <w:bCs w:val="false"/>
          <w:color w:val="333333"/>
          <w:sz w:val="20"/>
          <w:szCs w:val="20"/>
        </w:rPr>
        <w:t xml:space="preserve">10</w:t>
      </w:r>
    </w:p>
    <w:p>
      <w:pPr>
        <w:tabs>
          <w:tab w:val="right" w:pos="9360" w:leader="dot"/>
        </w:tabs>
        <w:spacing w:after="26" w:line="252"/>
      </w:pPr>
      <w:r>
        <w:rPr>
          <w:b/>
          <w:bCs/>
          <w:color w:val="1F3864"/>
          <w:sz w:val="22"/>
          <w:szCs w:val="22"/>
        </w:rPr>
        <w:t xml:space="preserve">8. Concluding Assessment</w:t>
      </w:r>
      <w:r>
        <w:t xml:space="preserve">	</w:t>
      </w:r>
      <w:r>
        <w:rPr>
          <w:b/>
          <w:bCs/>
          <w:color w:val="1F3864"/>
          <w:sz w:val="22"/>
          <w:szCs w:val="22"/>
        </w:rPr>
        <w:t xml:space="preserve">10</w:t>
      </w:r>
    </w:p>
    <w:p>
      <w:pPr>
        <w:tabs>
          <w:tab w:val="right" w:pos="9360" w:leader="dot"/>
        </w:tabs>
        <w:spacing w:after="26" w:line="252"/>
      </w:pPr>
      <w:r>
        <w:rPr>
          <w:b/>
          <w:bCs/>
          <w:color w:val="1F3864"/>
          <w:sz w:val="22"/>
          <w:szCs w:val="22"/>
        </w:rPr>
        <w:t xml:space="preserve">References</w:t>
      </w:r>
      <w:r>
        <w:t xml:space="preserve">	</w:t>
      </w:r>
      <w:r>
        <w:rPr>
          <w:b/>
          <w:bCs/>
          <w:color w:val="1F3864"/>
          <w:sz w:val="22"/>
          <w:szCs w:val="22"/>
        </w:rPr>
        <w:t xml:space="preserve">11</w:t>
      </w:r>
    </w:p>
    <w:p>
      <w:pPr>
        <w:tabs>
          <w:tab w:val="right" w:pos="9360" w:leader="dot"/>
        </w:tabs>
        <w:spacing w:after="26" w:line="252"/>
      </w:pPr>
      <w:r>
        <w:rPr>
          <w:b/>
          <w:bCs/>
          <w:color w:val="1F3864"/>
          <w:sz w:val="22"/>
          <w:szCs w:val="22"/>
        </w:rPr>
        <w:t xml:space="preserve">Appendix: Note on Data and Reproducibility</w:t>
      </w:r>
      <w:r>
        <w:t xml:space="preserve">	</w:t>
      </w:r>
      <w:r>
        <w:rPr>
          <w:b/>
          <w:bCs/>
          <w:color w:val="1F3864"/>
          <w:sz w:val="22"/>
          <w:szCs w:val="22"/>
        </w:rPr>
        <w:t xml:space="preserve">12</w:t>
      </w:r>
    </w:p>
    <w:p>
      <w:r>
        <w:br w:type="page"/>
      </w:r>
    </w:p>
    <w:p>
      <w:pPr>
        <w:pStyle w:val="Heading1"/>
      </w:pPr>
      <w:r>
        <w:t xml:space="preserve">1. Summary of Findings</w:t>
      </w:r>
    </w:p>
    <w:p>
      <w:pPr>
        <w:spacing w:after="140" w:before="0" w:line="276"/>
      </w:pPr>
      <w:r>
        <w:rPr>
          <w:sz w:val="22"/>
          <w:szCs w:val="22"/>
        </w:rPr>
        <w:t xml:space="preserve">This report synthesizes what the assembled solar/space-weather, lunar, atmospheric, and electromagnetic data do and do not support regarding a coupling between solar activity and earthquakes, evaluates the spacetime-foam hypothesis of the Reciprocal Framework within those constraints, and specifies a falsifiable experiment. </w:t>
      </w:r>
      <w:r>
        <w:rPr>
          <w:b/>
          <w:bCs/>
          <w:sz w:val="22"/>
          <w:szCs w:val="22"/>
        </w:rPr>
        <w:t xml:space="preserve">It makes no claim that spacetime foam has been detected.</w:t>
      </w:r>
    </w:p>
    <w:p>
      <w:pPr>
        <w:spacing w:after="140" w:before="0" w:line="276"/>
      </w:pPr>
      <w:r>
        <w:rPr>
          <w:sz w:val="22"/>
          <w:szCs w:val="22"/>
        </w:rPr>
        <w:t xml:space="preserve">The findings reduce to five statements, each defended in the sections that follow:</w:t>
      </w:r>
    </w:p>
    <w:p>
      <w:pPr>
        <w:pStyle w:val="ListParagraph"/>
        <w:numPr>
          <w:ilvl w:val="0"/>
          <w:numId w:val="2"/>
        </w:numPr>
        <w:spacing w:after="90" w:line="276"/>
      </w:pPr>
      <w:r>
        <w:rPr>
          <w:b/>
          <w:bCs/>
          <w:sz w:val="22"/>
          <w:szCs w:val="22"/>
        </w:rPr>
        <w:t xml:space="preserve">Solar–seismic direct coupling is not established. </w:t>
      </w:r>
      <w:r>
        <w:rPr>
          <w:sz w:val="22"/>
          <w:szCs w:val="22"/>
        </w:rPr>
        <w:t xml:space="preserve">The two most rigorous, properly controlled studies return null results, and the positive claims disagree with one another on magnitude floor, time lag, and proposed mechanism. The recurrent ~27-day signal is most economically explained as the Sun's synodic rotation modulating the driver, not as an Earth response.</w:t>
      </w:r>
    </w:p>
    <w:p>
      <w:pPr>
        <w:pStyle w:val="ListParagraph"/>
        <w:numPr>
          <w:ilvl w:val="0"/>
          <w:numId w:val="2"/>
        </w:numPr>
        <w:spacing w:after="90" w:line="276"/>
      </w:pPr>
      <w:r>
        <w:rPr>
          <w:b/>
          <w:bCs/>
          <w:sz w:val="22"/>
          <w:szCs w:val="22"/>
        </w:rPr>
        <w:t xml:space="preserve">Tidal triggering is real but weak and conditional. </w:t>
      </w:r>
      <w:r>
        <w:rPr>
          <w:sz w:val="22"/>
          <w:szCs w:val="22"/>
        </w:rPr>
        <w:t xml:space="preserve">Earth tides measurably bias the timing of shallow thrust and other near-critical faults, but only by biasing timing — the stress involved (~1 kPa) is three to four orders of magnitude below an earthquake's stress drop. Standard Newtonian Coulomb-stress theory accounts for the observed effect with no exotic physics required.</w:t>
      </w:r>
    </w:p>
    <w:p>
      <w:pPr>
        <w:pStyle w:val="ListParagraph"/>
        <w:numPr>
          <w:ilvl w:val="0"/>
          <w:numId w:val="2"/>
        </w:numPr>
        <w:spacing w:after="90" w:line="276"/>
      </w:pPr>
      <w:r>
        <w:rPr>
          <w:b/>
          <w:bCs/>
          <w:sz w:val="22"/>
          <w:szCs w:val="22"/>
        </w:rPr>
        <w:t xml:space="preserve">The central positive result is an exclusion bound. </w:t>
      </w:r>
      <w:r>
        <w:rPr>
          <w:sz w:val="22"/>
          <w:szCs w:val="22"/>
        </w:rPr>
        <w:t xml:space="preserve">Under standard physics and the measured energy budgets of the Sun–Earth system, the electromagnetic and gravitational channels available to solar activity are 14 to 40 orders of magnitude too weak to produce a detectable perturbation of the spacetime metric — foam-mediated or otherwise. This is a genuine, quantitative constraint.</w:t>
      </w:r>
    </w:p>
    <w:p>
      <w:pPr>
        <w:pStyle w:val="ListParagraph"/>
        <w:numPr>
          <w:ilvl w:val="0"/>
          <w:numId w:val="2"/>
        </w:numPr>
        <w:spacing w:after="90" w:line="276"/>
      </w:pPr>
      <w:r>
        <w:rPr>
          <w:b/>
          <w:bCs/>
          <w:sz w:val="22"/>
          <w:szCs w:val="22"/>
        </w:rPr>
        <w:t xml:space="preserve">The foam framework is conceptual, not yet testable in this channel. </w:t>
      </w:r>
      <w:r>
        <w:rPr>
          <w:sz w:val="22"/>
          <w:szCs w:val="22"/>
        </w:rPr>
        <w:t xml:space="preserve">The ~2 mHz "geometric resonance" is a chosen scale (the light-crossing time of one astronomical unit), not an eigenfrequency derived from the field equations, and at least one amplitude derivation is dimensionally inconsistent. As written, the hypothesis makes no risky prediction that distinguishes it from no effect at all.</w:t>
      </w:r>
    </w:p>
    <w:p>
      <w:pPr>
        <w:pStyle w:val="ListParagraph"/>
        <w:numPr>
          <w:ilvl w:val="0"/>
          <w:numId w:val="2"/>
        </w:numPr>
        <w:spacing w:after="90" w:line="276"/>
      </w:pPr>
      <w:r>
        <w:rPr>
          <w:b/>
          <w:bCs/>
          <w:sz w:val="22"/>
          <w:szCs w:val="22"/>
        </w:rPr>
        <w:t xml:space="preserve">One decisive test exists and is runnable. </w:t>
      </w:r>
      <w:r>
        <w:rPr>
          <w:sz w:val="22"/>
          <w:szCs w:val="22"/>
        </w:rPr>
        <w:t xml:space="preserve">After subtracting the known tidal Coulomb stress on each earthquake's focal plane, does any solar or electromagnetic periodicity survive in a declustered catalogue? This is the question that separates "foam does something" from "nothing happens." The expected outcome is a quantitative upper bound consistent with no residual coupling — itself a publishable result.</w:t>
      </w:r>
    </w:p>
    <w:p>
      <w:pPr>
        <w:pStyle w:val="Heading1"/>
      </w:pPr>
      <w:r>
        <w:t xml:space="preserve">2. Scope and What This Document Claims</w:t>
      </w:r>
    </w:p>
    <w:p>
      <w:pPr>
        <w:spacing w:after="140" w:before="0" w:line="276"/>
      </w:pPr>
      <w:r>
        <w:rPr>
          <w:sz w:val="22"/>
          <w:szCs w:val="22"/>
        </w:rPr>
        <w:t xml:space="preserve">Three earlier working files established the groundwork for this review: an annotated theoretical introduction, a data-constrained conclusions document, and an electromagnetic-coupling derivation. Those files were explicit that their force, frequency, and amplitude figures for any solar–seismic–metric coupling are not measurements but order-of-magnitude estimates derived from first principles, and that no source study measured a force on a fault, a gravitational-wave strain tied to seismicity, or anything about spacetime geometry. This document preserves that separation rigorously.</w:t>
      </w:r>
    </w:p>
    <w:p>
      <w:pPr>
        <w:spacing w:after="140" w:before="0" w:line="276"/>
      </w:pPr>
      <w:r>
        <w:rPr>
          <w:sz w:val="22"/>
          <w:szCs w:val="22"/>
        </w:rPr>
        <w:t xml:space="preserve">Accordingly, this report does not reproduce the illustrative "experiment" that appeared in an earlier draft, in which seismic-velocity modulations and multi-sigma detections were quoted. Those numbers were not derived from real data — no catalogue was retrieved and no waveforms were analyzed — and they are therefore excluded. </w:t>
      </w:r>
      <w:r>
        <w:rPr>
          <w:b/>
          <w:bCs/>
          <w:sz w:val="22"/>
          <w:szCs w:val="22"/>
        </w:rPr>
        <w:t xml:space="preserve">What follows rests only on published measurements, transparent order-of-magnitude arithmetic, and a clearly labeled experimental proposal.</w:t>
      </w:r>
    </w:p>
    <w:p>
      <w:pPr>
        <w:pStyle w:val="Heading1"/>
      </w:pPr>
      <w:r>
        <w:t xml:space="preserve">3. The State of the Evidence</w:t>
      </w:r>
    </w:p>
    <w:p>
      <w:pPr>
        <w:pStyle w:val="Heading2"/>
      </w:pPr>
      <w:r>
        <w:t xml:space="preserve">3.1 Solar–seismic coupling is null-dominated</w:t>
      </w:r>
    </w:p>
    <w:p>
      <w:pPr>
        <w:spacing w:after="140" w:before="0" w:line="276"/>
      </w:pPr>
      <w:r>
        <w:rPr>
          <w:sz w:val="22"/>
          <w:szCs w:val="22"/>
        </w:rPr>
        <w:t xml:space="preserve">The most rigorous tests find nothing above chance. Love and Thomas (2013), at the USGS, tested 1900–2012 seismicity against sunspot number, solar-wind velocity, and the geomagnetic AA index across every magnitude threshold and with lags from years down to five days, and could not reject the null hypothesis of no solar–terrestrial triggering. Akhoondzadeh and De Santis (2022), at INGV, examined solar and geomagnetic indices before 333 earthquakes of Mw ≥ 7.0 over 2000–2022; anomalies appeared about one day before roughly a third of events, but identical anomalies appeared in 100 randomized control catalogues at the same rate, so the apparent signal is what noise alone produces.</w:t>
      </w:r>
    </w:p>
    <w:p>
      <w:pPr>
        <w:spacing w:after="140" w:before="0" w:line="276"/>
      </w:pPr>
      <w:r>
        <w:rPr>
          <w:sz w:val="22"/>
          <w:szCs w:val="22"/>
        </w:rPr>
        <w:t xml:space="preserve">The positive results do not corroborate one another. A genuine physical coupling should leave a consistent signature across independent datasets; instead the most-cited positive studies disagree on every axis — magnitude floor (M ≥ 5.6 vs. ≥ 7.0 vs. ≥ 7.5), lag (one day vs. ~1.5 days vs. 27–28 days), driver (proton density vs. Dst storms vs. high-speed streams), and mechanism (reverse-piezoelectric vs. electrokinetic). That spread is the signature of independent groups each isolating a different chance pattern in a different catalogue. The recurrent 27–28 day lag coincides with the Sun's ~27.3-day synodic rotation, which returns a coronal hole or active region to a geoeffective position on exactly that cadence — recurrence of the driver, not a delayed seismic reaction; the authors of one such study report that the significance diminishes when earthquakes are replaced with a random series, the diagnostic tell of an artifact.</w:t>
      </w:r>
    </w:p>
    <w:p>
      <w:pPr>
        <w:pStyle w:val="Heading2"/>
      </w:pPr>
      <w:r>
        <w:t xml:space="preserve">3.2 Lunar and tidal triggering is established — and instructive</w:t>
      </w:r>
    </w:p>
    <w:p>
      <w:pPr>
        <w:spacing w:after="140" w:before="0" w:line="276"/>
      </w:pPr>
      <w:r>
        <w:rPr>
          <w:sz w:val="22"/>
          <w:szCs w:val="22"/>
        </w:rPr>
        <w:t xml:space="preserve">Tidal triggering is, by contrast, legitimate and century-old geophysics. Cochran, Vidale, and Tanaka (2004) related 2,027 shallow thrust earthquakes to the tidal Coulomb stress and found the earthquake rate varies with tidal stress by up to a factor of three, with the correlation strengthening as tidal amplitude rises and best fit at a friction coefficient near 0.4. Métivier and colleagues (2009), using more than 442,000 events, found a small but significant excess (~99% confidence) at the tidal phase that reduces normal stress, larger for shallower and smaller events. Ide, Yabe, and Tanaka (2016) found that very large earthquakes occur preferentially near tidal-stress maxima. Counterbalancing these, Hough (2018) found no preferred lunar phase or calendar day for global M ≥ 8 events; and slow earthquakes and tectonic tremor show the cleanest tidal modulation of all.</w:t>
      </w:r>
    </w:p>
    <w:p>
      <w:pPr>
        <w:spacing w:after="140" w:before="0" w:line="276"/>
      </w:pPr>
      <w:r>
        <w:rPr>
          <w:sz w:val="22"/>
          <w:szCs w:val="22"/>
        </w:rPr>
        <w:t xml:space="preserve">The lesson for any foam program is the shape of a real external trigger: weak (a rate change of order 1.5–3×), detectable only with very large catalogues, confined to shallow and critically stressed faults, and operating by biasing the timing of failure rather than by supplying energy. </w:t>
      </w:r>
      <w:r>
        <w:rPr>
          <w:b/>
          <w:bCs/>
          <w:sz w:val="22"/>
          <w:szCs w:val="22"/>
        </w:rPr>
        <w:t xml:space="preserve">Crucially, this is fully explained by Newtonian tidal stress — it sets the benchmark against which any new claim must be measured, not evidence for new physics.</w:t>
      </w:r>
    </w:p>
    <w:p>
      <w:pPr>
        <w:pStyle w:val="Heading2"/>
      </w:pPr>
      <w:r>
        <w:t xml:space="preserve">3.3 Electromagnetic precursors are not robustly replicable</w:t>
      </w:r>
    </w:p>
    <w:p>
      <w:pPr>
        <w:spacing w:after="140" w:before="0" w:line="276"/>
      </w:pPr>
      <w:r>
        <w:rPr>
          <w:sz w:val="22"/>
          <w:szCs w:val="22"/>
        </w:rPr>
        <w:t xml:space="preserve">The most-cited earthquake electromagnetic precursor — anomalous ULF magnetic signals before the 1989 Loma Prieta earthquake (Fraser-Smith et al. 1990) — is heavily contested: later analyses attributed it to a global solar–terrestrial disturbance recorded across the western United States or to an instrumental gain change, and a well-instrumented magnetometer at Parkfield did not reproduce the expected anomaly. Satellite statistics (DEMETER, Swarm, CSES) reporting pre-earthquake ionospheric perturbations are suggestive but, per critical review, mostly single-case studies, seldom reproduced, with low statistical significance. No electromagnetic precursor is robustly replicable across independent groups and well-instrumented earthquakes.</w:t>
      </w:r>
    </w:p>
    <w:p>
      <w:pPr>
        <w:pStyle w:val="Heading2"/>
      </w:pPr>
      <w:r>
        <w:t xml:space="preserve">3.4 The Pc5 / free-oscillation coincidence is real but causally unestablished</w:t>
      </w:r>
    </w:p>
    <w:p>
      <w:pPr>
        <w:spacing w:after="140" w:before="0" w:line="276"/>
      </w:pPr>
      <w:r>
        <w:rPr>
          <w:sz w:val="22"/>
          <w:szCs w:val="22"/>
        </w:rPr>
        <w:t xml:space="preserve">There is one genuine frequency coincidence in the problem. Magnetospheric Pc5 pulsations occupy 1.67–6.7 mHz; Earth's continuous background free oscillations (the "hum") occupy 2–7 mHz; and documented atmosphere–solid-Earth acoustic resonances sit at 3.704 and 4.348 mHz (Nishida, Kobayashi, and Fukao 2000). But the hum's driver is already known to be ocean infragravity waves coupling to the seafloor, with atmospheric pressure contributing below 5 mHz (Rhie and Romanowicz 2004), and its daily excitation is equivalent to roughly a single magnitude 5.75–6.0 earthquake. Band overlap is not coupling without a transfer mechanism and a quality factor, and both are absent: the mechanically relevant Pc5 power reaching the ground is several orders of magnitude below the ocean drive, and Pc5 trains last only one to two hours, far short of the ~10 hours needed to build resonant amplitude in a Q ≈ 400 seismic mode.</w:t>
      </w:r>
    </w:p>
    <w:p>
      <w:pPr>
        <w:pStyle w:val="Heading1"/>
      </w:pPr>
      <w:r>
        <w:t xml:space="preserve">4. Quantitative Constraints: The Ladders</w:t>
      </w:r>
    </w:p>
    <w:p>
      <w:pPr>
        <w:spacing w:after="140" w:before="0" w:line="276"/>
      </w:pPr>
      <w:r>
        <w:rPr>
          <w:sz w:val="22"/>
          <w:szCs w:val="22"/>
        </w:rPr>
        <w:t xml:space="preserve">Three order-of-magnitude ladders carry the decisive arguments. Each entry is either a published measurement or a first-principles estimate computed from one; crustal Young's modulus E ≈ 10¹¹ Pa is used throughout, with gravitational-wave stress taken as σ = E·h.</w:t>
      </w:r>
    </w:p>
    <w:p>
      <w:pPr>
        <w:pStyle w:val="Heading2"/>
      </w:pPr>
      <w:r>
        <w:t xml:space="preserve">4.1 The stress ladder</w:t>
      </w:r>
    </w:p>
    <w:p>
      <w:pPr>
        <w:spacing w:after="140" w:before="0" w:line="276"/>
      </w:pPr>
      <w:r>
        <w:rPr>
          <w:sz w:val="22"/>
          <w:szCs w:val="22"/>
        </w:rPr>
        <w:t xml:space="preserve">To affect a fault, any mechanism must deliver stress comparable to what governs rupture. The best case for the proposed electromagnetic channel sits at the solid-Earth-tide level — three to four orders below an earthquake stress drop — which is precisely why even proponents frame it as a "last straw" on an already-critical fault, never a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50"/>
        <w:gridCol w:w="2300"/>
        <w:gridCol w:w="3410"/>
      </w:tblGrid>
      <w:tr>
        <w:trPr>
          <w:tblHeader/>
        </w:trPr>
        <w:tc>
          <w:tcPr>
            <w:tcW w:type="dxa" w:w="365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0"/>
            </w:pPr>
            <w:r>
              <w:rPr>
                <w:b/>
                <w:bCs/>
                <w:color w:val="FFFFFF"/>
                <w:sz w:val="20"/>
                <w:szCs w:val="20"/>
              </w:rPr>
              <w:t xml:space="preserve">Source of stress</w:t>
            </w:r>
          </w:p>
        </w:tc>
        <w:tc>
          <w:tcPr>
            <w:tcW w:type="dxa" w:w="2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0"/>
            </w:pPr>
            <w:r>
              <w:rPr>
                <w:b/>
                <w:bCs/>
                <w:color w:val="FFFFFF"/>
                <w:sz w:val="20"/>
                <w:szCs w:val="20"/>
              </w:rPr>
              <w:t xml:space="preserve">Magnitude (Pa)</w:t>
            </w:r>
          </w:p>
        </w:tc>
        <w:tc>
          <w:tcPr>
            <w:tcW w:type="dxa" w:w="341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0"/>
            </w:pPr>
            <w:r>
              <w:rPr>
                <w:b/>
                <w:bCs/>
                <w:color w:val="FFFFFF"/>
                <w:sz w:val="20"/>
                <w:szCs w:val="20"/>
              </w:rPr>
              <w:t xml:space="preserve">Basis</w:t>
            </w:r>
          </w:p>
        </w:tc>
      </w:tr>
      <w:tr>
        <w:tc>
          <w:tcPr>
            <w:tcW w:type="dxa" w:w="36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Tectonic / lithostatic at seismogenic depth</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10⁷ – 10⁸</w:t>
            </w:r>
          </w:p>
        </w:tc>
        <w:tc>
          <w:tcPr>
            <w:tcW w:type="dxa" w:w="341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Standard geophysics</w:t>
            </w:r>
          </w:p>
        </w:tc>
      </w:tr>
      <w:tr>
        <w:tc>
          <w:tcPr>
            <w:tcW w:type="dxa" w:w="365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bCs/>
                <w:sz w:val="20"/>
                <w:szCs w:val="20"/>
              </w:rPr>
              <w:t xml:space="preserve">Earthquake stress drop (the relevant scale)</w:t>
            </w:r>
          </w:p>
        </w:tc>
        <w:tc>
          <w:tcPr>
            <w:tcW w:type="dxa" w:w="23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bCs/>
                <w:sz w:val="20"/>
                <w:szCs w:val="20"/>
              </w:rPr>
              <w:t xml:space="preserve">10⁶ – 10⁷</w:t>
            </w:r>
          </w:p>
        </w:tc>
        <w:tc>
          <w:tcPr>
            <w:tcW w:type="dxa" w:w="341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Observed, M6–M9</w:t>
            </w:r>
          </w:p>
        </w:tc>
      </w:tr>
      <w:tr>
        <w:tc>
          <w:tcPr>
            <w:tcW w:type="dxa" w:w="36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Ocean-loading tide</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10⁴ (10 kPa)</w:t>
            </w:r>
          </w:p>
        </w:tc>
        <w:tc>
          <w:tcPr>
            <w:tcW w:type="dxa" w:w="341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Coastal / subduction zones</w:t>
            </w:r>
          </w:p>
        </w:tc>
      </w:tr>
      <w:tr>
        <w:tc>
          <w:tcPr>
            <w:tcW w:type="dxa" w:w="365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Solid Earth tide (Moon + Sun) — benchmark</w:t>
            </w:r>
          </w:p>
        </w:tc>
        <w:tc>
          <w:tcPr>
            <w:tcW w:type="dxa" w:w="23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~10³ (1–3 kPa)</w:t>
            </w:r>
          </w:p>
        </w:tc>
        <w:tc>
          <w:tcPr>
            <w:tcW w:type="dxa" w:w="341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Strain ~5×10⁻⁸ × E; detectable trigger floor</w:t>
            </w:r>
          </w:p>
        </w:tc>
      </w:tr>
      <w:tr>
        <w:tc>
          <w:tcPr>
            <w:tcW w:type="dxa" w:w="36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Best-case telluric / electrokinetic (X-class flare)</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~10² – 10³</w:t>
            </w:r>
          </w:p>
        </w:tc>
        <w:tc>
          <w:tcPr>
            <w:tcW w:type="dxa" w:w="341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j ~10⁻⁶ A/m² (Novikov 2020)</w:t>
            </w:r>
          </w:p>
        </w:tc>
      </w:tr>
      <w:tr>
        <w:tc>
          <w:tcPr>
            <w:tcW w:type="dxa" w:w="365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Astrophysical gravitational-wave stress</w:t>
            </w:r>
          </w:p>
        </w:tc>
        <w:tc>
          <w:tcPr>
            <w:tcW w:type="dxa" w:w="23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~10⁻¹⁰</w:t>
            </w:r>
          </w:p>
        </w:tc>
        <w:tc>
          <w:tcPr>
            <w:tcW w:type="dxa" w:w="341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σ = E·h, h ~10⁻²¹</w:t>
            </w:r>
          </w:p>
        </w:tc>
      </w:tr>
      <w:tr>
        <w:tc>
          <w:tcPr>
            <w:tcW w:type="dxa" w:w="365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CME gravitational perturbation (equiv. stress)</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~10⁻¹³</w:t>
            </w:r>
          </w:p>
        </w:tc>
        <w:tc>
          <w:tcPr>
            <w:tcW w:type="dxa" w:w="341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a ~3×10⁻²⁰ m/s²</w:t>
            </w:r>
          </w:p>
        </w:tc>
      </w:tr>
    </w:tbl>
    <w:p>
      <w:pPr>
        <w:spacing w:after="140" w:before="60" w:line="276"/>
      </w:pPr>
      <w:r>
        <w:rPr>
          <w:b/>
          <w:bCs/>
          <w:i/>
          <w:iCs/>
          <w:sz w:val="22"/>
          <w:szCs w:val="22"/>
        </w:rPr>
        <w:t xml:space="preserve">Reading the gaps. </w:t>
      </w:r>
      <w:r>
        <w:rPr>
          <w:i w:val="false"/>
          <w:iCs w:val="false"/>
          <w:sz w:val="22"/>
          <w:szCs w:val="22"/>
        </w:rPr>
        <w:t xml:space="preserve">Anything weaker than the tide cannot matter as a direct stress. The gravitational and "foam-via-gravity" channels are not merely weak but excluded by 14 to 16+ orders of magnitude below the tidal benchmark.</w:t>
      </w:r>
    </w:p>
    <w:p>
      <w:pPr>
        <w:pStyle w:val="Heading2"/>
      </w:pPr>
      <w:r>
        <w:t xml:space="preserve">4.2 The energy ladder</w:t>
      </w:r>
    </w:p>
    <w:p>
      <w:pPr>
        <w:spacing w:after="140" w:before="0" w:line="276"/>
      </w:pPr>
      <w:r>
        <w:rPr>
          <w:sz w:val="22"/>
          <w:szCs w:val="22"/>
        </w:rPr>
        <w:t xml:space="preserve">The chain of losses from the solar wind to the solid Earth is the whole story. The solar wind delivers up to ~4 TW at storm peak, but it is partitioned almost entirely into ionospheric Joule heating, ring current, and particle precipitation — dissipated in the magnetosphere and ionosphere, not in the solid Earth (Tenfjord and Østgaard 2013). The mechanically relevant Pc5 power reaching the ground is roughly four orders below the ocean drive that itself produces only an M6 "whisper."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2100"/>
        <w:gridCol w:w="2360"/>
      </w:tblGrid>
      <w:tr>
        <w:trPr>
          <w:tblHeader/>
        </w:trPr>
        <w:tc>
          <w:tcPr>
            <w:tcW w:type="dxa" w:w="4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0"/>
            </w:pPr>
            <w:r>
              <w:rPr>
                <w:b/>
                <w:bCs/>
                <w:color w:val="FFFFFF"/>
                <w:sz w:val="20"/>
                <w:szCs w:val="20"/>
              </w:rPr>
              <w:t xml:space="preserve">Power stage</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0"/>
            </w:pPr>
            <w:r>
              <w:rPr>
                <w:b/>
                <w:bCs/>
                <w:color w:val="FFFFFF"/>
                <w:sz w:val="20"/>
                <w:szCs w:val="20"/>
              </w:rPr>
              <w:t xml:space="preserve">Magnitude</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0"/>
            </w:pPr>
            <w:r>
              <w:rPr>
                <w:b/>
                <w:bCs/>
                <w:color w:val="FFFFFF"/>
                <w:sz w:val="20"/>
                <w:szCs w:val="20"/>
              </w:rPr>
              <w:t xml:space="preserve">Note</w:t>
            </w:r>
          </w:p>
        </w:tc>
      </w:tr>
      <w:tr>
        <w:tc>
          <w:tcPr>
            <w:tcW w:type="dxa" w:w="4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Solar wind → magnetosphere (storm peak)</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~4×10¹² W</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ε parameter</w:t>
            </w:r>
          </w:p>
        </w:tc>
      </w:tr>
      <w:tr>
        <w:tc>
          <w:tcPr>
            <w:tcW w:type="dxa" w:w="49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Pc5 total power into the ionosphere</w:t>
            </w:r>
          </w:p>
        </w:tc>
        <w:tc>
          <w:tcPr>
            <w:tcW w:type="dxa" w:w="21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~1 GW</w:t>
            </w:r>
          </w:p>
        </w:tc>
        <w:tc>
          <w:tcPr>
            <w:tcW w:type="dxa" w:w="236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Auroral oval, integrated</w:t>
            </w:r>
          </w:p>
        </w:tc>
      </w:tr>
      <w:tr>
        <w:tc>
          <w:tcPr>
            <w:tcW w:type="dxa" w:w="4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Pc5 EM power leaking to the ground</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 10⁷ W (~1%)</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Mostly reflected at ionosphere</w:t>
            </w:r>
          </w:p>
        </w:tc>
      </w:tr>
      <w:tr>
        <w:tc>
          <w:tcPr>
            <w:tcW w:type="dxa" w:w="49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Pc5 converted to mechanical stress in rock</w:t>
            </w:r>
          </w:p>
        </w:tc>
        <w:tc>
          <w:tcPr>
            <w:tcW w:type="dxa" w:w="21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 10⁶ W</w:t>
            </w:r>
          </w:p>
        </w:tc>
        <w:tc>
          <w:tcPr>
            <w:tcW w:type="dxa" w:w="236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J×B efficiency</w:t>
            </w:r>
          </w:p>
        </w:tc>
      </w:tr>
      <w:tr>
        <w:tc>
          <w:tcPr>
            <w:tcW w:type="dxa" w:w="4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bCs/>
                <w:sz w:val="20"/>
                <w:szCs w:val="20"/>
              </w:rPr>
              <w:t xml:space="preserve">Ocean drive on the same modes (benchmark)</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bCs/>
                <w:sz w:val="20"/>
                <w:szCs w:val="20"/>
              </w:rPr>
              <w:t xml:space="preserve">~0.7 GW</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Hum ≈ M6 / day (derived; see note)</w:t>
            </w:r>
          </w:p>
        </w:tc>
      </w:tr>
    </w:tbl>
    <w:p>
      <w:pPr>
        <w:spacing w:after="140" w:before="60" w:line="276"/>
      </w:pPr>
      <w:r>
        <w:rPr>
          <w:b/>
          <w:bCs/>
          <w:i/>
          <w:iCs/>
          <w:sz w:val="22"/>
          <w:szCs w:val="22"/>
        </w:rPr>
        <w:t xml:space="preserve">Note on the 0.7 GW figure. </w:t>
      </w:r>
      <w:r>
        <w:rPr>
          <w:i w:val="false"/>
          <w:iCs w:val="false"/>
          <w:sz w:val="22"/>
          <w:szCs w:val="22"/>
        </w:rPr>
        <w:t xml:space="preserve">This is an order-of-magnitude inference from the published statement that daily hum excitation is "equivalent to a magnitude 5.75–6.0 earthquake," not a directly published wattage; it conflates equivalent radiated energy with continuous mode feeding and should be treated as an estimate.</w:t>
      </w:r>
    </w:p>
    <w:p>
      <w:pPr>
        <w:pStyle w:val="Heading2"/>
      </w:pPr>
      <w:r>
        <w:t xml:space="preserve">4.3 The frequency ladder</w:t>
      </w:r>
    </w:p>
    <w:p>
      <w:pPr>
        <w:spacing w:after="140" w:before="0" w:line="276"/>
      </w:pPr>
      <w:r>
        <w:rPr>
          <w:sz w:val="22"/>
          <w:szCs w:val="22"/>
        </w:rPr>
        <w:t xml:space="preserve">The frequencies relevant to the problem span several decades. The Pc5 and hum bands overlap, but the high-quality-factor mode that a resonance argument would need — the radial breathing mode ₀S₀ at 0.81 mHz, Q ≈ 6000 — sits below the Pc5 floor, while the modes actually inside the Pc5 band have ordinary Q ≈ 300–500.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360"/>
        <w:gridCol w:w="2600"/>
      </w:tblGrid>
      <w:tr>
        <w:trPr>
          <w:tblHeader/>
        </w:trPr>
        <w:tc>
          <w:tcPr>
            <w:tcW w:type="dxa" w:w="4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0"/>
            </w:pPr>
            <w:r>
              <w:rPr>
                <w:b/>
                <w:bCs/>
                <w:color w:val="FFFFFF"/>
                <w:sz w:val="20"/>
                <w:szCs w:val="20"/>
              </w:rPr>
              <w:t xml:space="preserve">Phenomenon</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0"/>
            </w:pPr>
            <w:r>
              <w:rPr>
                <w:b/>
                <w:bCs/>
                <w:color w:val="FFFFFF"/>
                <w:sz w:val="20"/>
                <w:szCs w:val="20"/>
              </w:rPr>
              <w:t xml:space="preserve">Frequency</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0"/>
            </w:pPr>
            <w:r>
              <w:rPr>
                <w:b/>
                <w:bCs/>
                <w:color w:val="FFFFFF"/>
                <w:sz w:val="20"/>
                <w:szCs w:val="20"/>
              </w:rPr>
              <w:t xml:space="preserve">Notes</w:t>
            </w:r>
          </w:p>
        </w:tc>
      </w:tr>
      <w:tr>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Schumann resonance (fundamental)</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7.83 Hz</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Earth–ionosphere cavity (different regime)</w:t>
            </w:r>
          </w:p>
        </w:tc>
      </w:tr>
      <w:tr>
        <w:tc>
          <w:tcPr>
            <w:tcW w:type="dxa" w:w="4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bCs/>
                <w:sz w:val="20"/>
                <w:szCs w:val="20"/>
              </w:rPr>
              <w:t xml:space="preserve">Pc5 geomagnetic pulsations</w:t>
            </w:r>
          </w:p>
        </w:tc>
        <w:tc>
          <w:tcPr>
            <w:tcW w:type="dxa" w:w="236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bCs/>
                <w:sz w:val="20"/>
                <w:szCs w:val="20"/>
              </w:rPr>
              <w:t xml:space="preserve">1.67–6.7 mHz</w:t>
            </w:r>
          </w:p>
        </w:tc>
        <w:tc>
          <w:tcPr>
            <w:tcW w:type="dxa" w:w="26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Solar–magnetospheric coupling to ground</w:t>
            </w:r>
          </w:p>
        </w:tc>
      </w:tr>
      <w:tr>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bCs/>
                <w:sz w:val="20"/>
                <w:szCs w:val="20"/>
              </w:rPr>
              <w:t xml:space="preserve">Earth’s hum (free oscillations)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bCs/>
                <w:sz w:val="20"/>
                <w:szCs w:val="20"/>
              </w:rPr>
              <w:t xml:space="preserve">2–7 mHz</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Ocean-driven background normal modes</w:t>
            </w:r>
          </w:p>
        </w:tc>
      </w:tr>
      <w:tr>
        <w:tc>
          <w:tcPr>
            <w:tcW w:type="dxa" w:w="4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Acoustic-coupling modes ₀S₂₉, ₀S₃₇</w:t>
            </w:r>
          </w:p>
        </w:tc>
        <w:tc>
          <w:tcPr>
            <w:tcW w:type="dxa" w:w="236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3.70, 4.35 mHz</w:t>
            </w:r>
          </w:p>
        </w:tc>
        <w:tc>
          <w:tcPr>
            <w:tcW w:type="dxa" w:w="26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Resonate with the atmosphere</w:t>
            </w:r>
          </w:p>
        </w:tc>
      </w:tr>
      <w:tr>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Breathing mode ₀S₀</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0.81 mHz</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Q ≈ 6000, but below Pc5 floor</w:t>
            </w:r>
          </w:p>
        </w:tc>
      </w:tr>
      <w:tr>
        <w:tc>
          <w:tcPr>
            <w:tcW w:type="dxa" w:w="4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Football mode ₀S₂</w:t>
            </w:r>
          </w:p>
        </w:tc>
        <w:tc>
          <w:tcPr>
            <w:tcW w:type="dxa" w:w="236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0.31 mHz</w:t>
            </w:r>
          </w:p>
        </w:tc>
        <w:tc>
          <w:tcPr>
            <w:tcW w:type="dxa" w:w="26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Gravest spheroidal mode, Q ≈ 370</w:t>
            </w:r>
          </w:p>
        </w:tc>
      </w:tr>
      <w:tr>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M2 solid Earth tide</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0.022 mHz</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0"/>
            </w:pPr>
            <w:r>
              <w:rPr>
                <w:b w:val="false"/>
                <w:bCs w:val="false"/>
                <w:sz w:val="20"/>
                <w:szCs w:val="20"/>
              </w:rPr>
              <w:t xml:space="preserve">Principal lunar semidiurnal</w:t>
            </w:r>
          </w:p>
        </w:tc>
      </w:tr>
      <w:tr>
        <w:tc>
          <w:tcPr>
            <w:tcW w:type="dxa" w:w="4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Solar synodic rotation</w:t>
            </w:r>
          </w:p>
        </w:tc>
        <w:tc>
          <w:tcPr>
            <w:tcW w:type="dxa" w:w="236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1 / 27.3 d⁻¹</w:t>
            </w:r>
          </w:p>
        </w:tc>
        <w:tc>
          <w:tcPr>
            <w:tcW w:type="dxa" w:w="26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pPr>
              <w:spacing w:after="0"/>
            </w:pPr>
            <w:r>
              <w:rPr>
                <w:b w:val="false"/>
                <w:bCs w:val="false"/>
                <w:sz w:val="20"/>
                <w:szCs w:val="20"/>
              </w:rPr>
              <w:t xml:space="preserve">Matches the “27-day lag”</w:t>
            </w:r>
          </w:p>
        </w:tc>
      </w:tr>
    </w:tbl>
    <w:p>
      <w:pPr>
        <w:pStyle w:val="Heading1"/>
      </w:pPr>
      <w:r>
        <w:t xml:space="preserve">5. The Exclusion Bound (a “No-Go” Result for the Standard Channel)</w:t>
      </w:r>
    </w:p>
    <w:p>
      <w:pPr>
        <w:spacing w:after="140" w:before="0" w:line="276"/>
      </w:pPr>
      <w:r>
        <w:rPr>
          <w:sz w:val="22"/>
          <w:szCs w:val="22"/>
        </w:rPr>
        <w:t xml:space="preserve">The ladders above can be assembled into the single defensible quantitative claim this work supports. It has been described as a “no-go theorem”; the precise statement, its scope, and its limits are given here so it can be cited accurately.</w:t>
      </w:r>
    </w:p>
    <w:p>
      <w:pPr>
        <w:pStyle w:val="Heading2"/>
      </w:pPr>
      <w:r>
        <w:t xml:space="preserve">5.1 Assumptions</w:t>
      </w:r>
    </w:p>
    <w:p>
      <w:pPr>
        <w:spacing w:after="140" w:before="0" w:line="276"/>
      </w:pPr>
      <w:r>
        <w:rPr>
          <w:sz w:val="22"/>
          <w:szCs w:val="22"/>
        </w:rPr>
        <w:t xml:space="preserve">The result holds under four assumptions, stated explicitly because the conclusion is conditional on them:</w:t>
      </w:r>
    </w:p>
    <w:p>
      <w:pPr>
        <w:pStyle w:val="ListParagraph"/>
        <w:numPr>
          <w:ilvl w:val="0"/>
          <w:numId w:val="3"/>
        </w:numPr>
        <w:spacing w:after="90" w:line="276"/>
      </w:pPr>
      <w:r>
        <w:rPr>
          <w:sz w:val="22"/>
          <w:szCs w:val="22"/>
        </w:rPr>
        <w:t xml:space="preserve">Standard channels only. The sole physical means by which solar or space-weather activity transmits energy to the solid Earth are the known gravitational channels (tides, gravitational waves, mass redistribution) and the electromagnetic channel (induced telluric currents through the magnetosphere–ionosphere–ground chain). No new long-range force is invoked.</w:t>
      </w:r>
    </w:p>
    <w:p>
      <w:pPr>
        <w:pStyle w:val="ListParagraph"/>
        <w:numPr>
          <w:ilvl w:val="0"/>
          <w:numId w:val="3"/>
        </w:numPr>
        <w:spacing w:after="90" w:line="276"/>
      </w:pPr>
      <w:r>
        <w:rPr>
          <w:sz w:val="22"/>
          <w:szCs w:val="22"/>
        </w:rPr>
        <w:t xml:space="preserve">Measured budgets. The energy and stress budgets of those channels are the published values tabulated in Section 4: ground-level Pc5 mechanical leakage ≲ 10⁵ W; telluric current density ~10⁻⁶ A/m² during X-class flares, giving stress ~10²–10³ Pa; the ocean-driven hum benchmark of order 0.7 GW.</w:t>
      </w:r>
    </w:p>
    <w:p>
      <w:pPr>
        <w:pStyle w:val="ListParagraph"/>
        <w:numPr>
          <w:ilvl w:val="0"/>
          <w:numId w:val="3"/>
        </w:numPr>
        <w:spacing w:after="90" w:line="276"/>
      </w:pPr>
      <w:r>
        <w:rPr>
          <w:sz w:val="22"/>
          <w:szCs w:val="22"/>
        </w:rPr>
        <w:t xml:space="preserve">Bounded coupling. Any putative foam field φ responds to the driving stress linearly or sub-linearly, with a coupling constant of order unity or smaller, and ordinary field-theoretic dispersion relations apply (no threshold amplification, no super-unity gain).</w:t>
      </w:r>
    </w:p>
    <w:p>
      <w:pPr>
        <w:pStyle w:val="ListParagraph"/>
        <w:numPr>
          <w:ilvl w:val="0"/>
          <w:numId w:val="3"/>
        </w:numPr>
        <w:spacing w:after="90" w:line="276"/>
      </w:pPr>
      <w:r>
        <w:rPr>
          <w:sz w:val="22"/>
          <w:szCs w:val="22"/>
        </w:rPr>
        <w:t xml:space="preserve">Detection threshold. A geophysically or instrumentally relevant effect requires a strain above roughly 10⁻¹⁴ (to exceed the quiet-day hum floor) or a stress approaching the ~10³ Pa tidal benchmark (to bias fault timing).</w:t>
      </w:r>
    </w:p>
    <w:p>
      <w:pPr>
        <w:pStyle w:val="Heading2"/>
      </w:pPr>
      <w:r>
        <w:t xml:space="preserve">5.2 The bound</w:t>
      </w:r>
    </w:p>
    <w:p>
      <w:pPr>
        <w:spacing w:after="140" w:before="0" w:line="276"/>
      </w:pPr>
      <w:r>
        <w:rPr>
          <w:sz w:val="22"/>
          <w:szCs w:val="22"/>
        </w:rPr>
        <w:t xml:space="preserve">Given assumptions 1–3, the maximum strain the solar electromagnetic channel can deliver is set by the available mechanical power density at the ground (~10⁻¹⁰ W/m³) and the quality-factor-limited resonant gain. Even with optimistic Q and the energy-density route, the implied strain is far below 10⁻¹⁴, and the telluric J×B stress is ~10⁻⁵ Pa — eight orders below the tide and eleven below a stress drop. The gravitational channels are smaller still: ~10⁻¹⁰ Pa for an astrophysical gravitational wave, ~10⁻¹³ Pa for a CME's gravitational perturbation.</w:t>
      </w:r>
    </w:p>
    <w:p>
      <w:pPr>
        <w:spacing w:after="140" w:before="0" w:line="276"/>
      </w:pPr>
      <w:r>
        <w:rPr>
          <w:b/>
          <w:bCs/>
          <w:sz w:val="22"/>
          <w:szCs w:val="22"/>
        </w:rPr>
        <w:t xml:space="preserve">A correction worth recording: </w:t>
      </w:r>
      <w:r>
        <w:rPr>
          <w:sz w:val="22"/>
          <w:szCs w:val="22"/>
        </w:rPr>
        <w:t xml:space="preserve">the energy-density amplitude expression A_f ≈ √(2𝒫d / γc²ωf²) used in the source derivation is dimensionally inconsistent — its units reduce to kg</w:t>
      </w:r>
      <w:r>
        <w:rPr>
          <w:sz w:val="22"/>
          <w:szCs w:val="22"/>
        </w:rPr>
        <w:t xml:space="preserve">½</w:t>
      </w:r>
      <w:r>
        <w:rPr>
          <w:sz w:val="22"/>
          <w:szCs w:val="22"/>
        </w:rPr>
        <w:t xml:space="preserve">·m</w:t>
      </w:r>
      <w:r>
        <w:rPr>
          <w:sz w:val="22"/>
          <w:szCs w:val="22"/>
        </w:rPr>
        <w:t xml:space="preserve">−3/2</w:t>
      </w:r>
      <w:r>
        <w:rPr>
          <w:sz w:val="22"/>
          <w:szCs w:val="22"/>
        </w:rPr>
        <w:t xml:space="preserve">·s, not a dimensionless strain — so the figure of ~10⁻⁸ it produced has no physical meaning. A proper strain-from-energy estimate requires a modulus (h ≈ √(2u/μ), with u an energy density and μ in pascals). The exclusion does not depend on that broken formula; it follows directly from the energy and stress budgets, which is why it stands.</w:t>
      </w:r>
    </w:p>
    <w:p>
      <w:pPr>
        <w:pStyle w:val="Heading2"/>
      </w:pPr>
      <w:r>
        <w:t xml:space="preserve">5.3 The conclusion, stated precisely</w:t>
      </w:r>
    </w:p>
    <w:p>
      <w:pPr>
        <w:spacing w:after="140" w:before="0" w:line="276"/>
      </w:pPr>
      <w:r>
        <w:rPr>
          <w:b/>
          <w:bCs/>
          <w:sz w:val="22"/>
          <w:szCs w:val="22"/>
        </w:rPr>
        <w:t xml:space="preserve">Under assumptions 1–4, no detectable foam-mediated — indeed no detectable metric-mediated — solar→seismic effect is possible through the standard channels. </w:t>
      </w:r>
      <w:r>
        <w:rPr>
          <w:sz w:val="22"/>
          <w:szCs w:val="22"/>
        </w:rPr>
        <w:t xml:space="preserve">Equivalently: any foam field that does produce a detectable solar-driven seismic effect must violate at least one of assumptions 1–3. It must couple through a non-standard channel, or possess super-unity or nonlinear amplification, or evade ordinary dispersion. There is at present no evidence for any of these.</w:t>
      </w:r>
    </w:p>
    <w:p>
      <w:pPr>
        <w:pStyle w:val="Heading2"/>
      </w:pPr>
      <w:r>
        <w:t xml:space="preserve">5.4 Scope: what this does and does not establish</w:t>
      </w:r>
    </w:p>
    <w:p>
      <w:pPr>
        <w:spacing w:after="140" w:before="0" w:line="276"/>
      </w:pPr>
      <w:r>
        <w:rPr>
          <w:b/>
          <w:bCs/>
          <w:sz w:val="22"/>
          <w:szCs w:val="22"/>
        </w:rPr>
        <w:t xml:space="preserve">This is an exclusion within standard physics with bounded coupling. It is not a proof about “foam in general,” </w:t>
      </w:r>
      <w:r>
        <w:rPr>
          <w:sz w:val="22"/>
          <w:szCs w:val="22"/>
        </w:rPr>
        <w:t xml:space="preserve">and the distinction is the most important point in this document. An exotic foam with arbitrary, unbounded, or threshold coupling is not constrained by these budgets at all — one can always posit a coupling large enough to evade any energy bound. That very freedom is why the foam hypothesis, in its present form, makes no risky prediction and is therefore not yet falsifiable physics.</w:t>
      </w:r>
    </w:p>
    <w:p>
      <w:pPr>
        <w:spacing w:after="140" w:before="0" w:line="276"/>
      </w:pPr>
      <w:r>
        <w:rPr>
          <w:sz w:val="22"/>
          <w:szCs w:val="22"/>
        </w:rPr>
        <w:t xml:space="preserve">The bound's real function, then, is not to close the question but to force it into a testable form. The only way to distinguish “foam does something” from “nothing happens” is to look for an effect that survives after the standard, Newtonian contribution is removed. That is what the experiment in Section 7 is built to do. Framed this way, the result is genuinely useful: it rules out the easy, energy-based routes and isolates the single measurement that could move the hypothesis from speculation to either a detection or a quantitative limit.</w:t>
      </w:r>
    </w:p>
    <w:p>
      <w:pPr>
        <w:pStyle w:val="Heading1"/>
      </w:pPr>
      <w:r>
        <w:t xml:space="preserve">6. Status of the Spacetime-Foam (PRI) Framework</w:t>
      </w:r>
    </w:p>
    <w:p>
      <w:pPr>
        <w:spacing w:after="140" w:before="0" w:line="276"/>
      </w:pPr>
      <w:r>
        <w:rPr>
          <w:sz w:val="22"/>
          <w:szCs w:val="22"/>
        </w:rPr>
        <w:t xml:space="preserve">The Reciprocal Framework supplies a self-consistent mathematical structure — a scalar foam field with stiffness and flow related by the Persistent Reciprocal Identity, an effective metric g_eff = (1 + φ)g, resonant and dispersion relations, and an emergent-gravity sector. As mathematics for modeling weak periodic forcing and phase-locking in near-critical systems, it is coherent and may be useful. Three honest qualifications bound what it can currently claim physically.</w:t>
      </w:r>
    </w:p>
    <w:p>
      <w:pPr>
        <w:pStyle w:val="ListParagraph"/>
        <w:numPr>
          <w:ilvl w:val="0"/>
          <w:numId w:val="2"/>
        </w:numPr>
        <w:spacing w:after="90" w:line="276"/>
      </w:pPr>
      <w:r>
        <w:rPr>
          <w:b/>
          <w:bCs/>
          <w:sz w:val="22"/>
          <w:szCs w:val="22"/>
        </w:rPr>
        <w:t xml:space="preserve">The “2 mHz resonance” is a chosen scale. </w:t>
      </w:r>
      <w:r>
        <w:rPr>
          <w:sz w:val="22"/>
          <w:szCs w:val="22"/>
        </w:rPr>
        <w:t xml:space="preserve">It is c divided by one astronomical unit — the light-crossing time of the Earth–Sun distance. The same construction gives ~47 Hz for Earth's radius and ~0.78 Hz for the Earth–Moon distance; only the 1 AU choice lands in the Pc5 band, because that is the scale that was selected. Nothing in the field equations derives 2 mHz as an eigenfrequency.</w:t>
      </w:r>
    </w:p>
    <w:p>
      <w:pPr>
        <w:pStyle w:val="ListParagraph"/>
        <w:numPr>
          <w:ilvl w:val="0"/>
          <w:numId w:val="2"/>
        </w:numPr>
        <w:spacing w:after="90" w:line="276"/>
      </w:pPr>
      <w:r>
        <w:rPr>
          <w:b/>
          <w:bCs/>
          <w:sz w:val="22"/>
          <w:szCs w:val="22"/>
        </w:rPr>
        <w:t xml:space="preserve">A key amplitude derivation is dimensionally invalid. </w:t>
      </w:r>
      <w:r>
        <w:rPr>
          <w:sz w:val="22"/>
          <w:szCs w:val="22"/>
        </w:rPr>
        <w:t xml:space="preserve">As noted in Section 5.2, the strain-from-energy expression does not yield a dimensionless quantity; the ~10⁻⁸ “strain” it produced is not a strain. A persistent 10⁻⁸ strain at 2–4 mHz would also be roughly 100 times the seismic hum and the loudest signal in every superconducting gravimeter on Earth, which cannot coexist with the framework's own (correct) conclusion that the effect is excluded and unobservable.</w:t>
      </w:r>
    </w:p>
    <w:p>
      <w:pPr>
        <w:pStyle w:val="ListParagraph"/>
        <w:numPr>
          <w:ilvl w:val="0"/>
          <w:numId w:val="2"/>
        </w:numPr>
        <w:spacing w:after="90" w:line="276"/>
      </w:pPr>
      <w:r>
        <w:rPr>
          <w:b/>
          <w:bCs/>
          <w:sz w:val="22"/>
          <w:szCs w:val="22"/>
        </w:rPr>
        <w:t xml:space="preserve">It makes no distinguishing prediction yet. </w:t>
      </w:r>
      <w:r>
        <w:rPr>
          <w:sz w:val="22"/>
          <w:szCs w:val="22"/>
        </w:rPr>
        <w:t xml:space="preserve">Re-describing the ordinary tidal-triggering signal in foam vocabulary (“local PRI modulation,” “φ perturbation”) is not a test; any signal can be relabeled in any vocabulary. The hypothesis becomes physics only when it predicts something the standard tidal Coulomb-stress model does not — specifically, a residual after that model is subtracted.</w:t>
      </w:r>
    </w:p>
    <w:p>
      <w:pPr>
        <w:pStyle w:val="Heading1"/>
      </w:pPr>
      <w:r>
        <w:t xml:space="preserve">7. The Proposed Experiment: Residual-After-Tidal-CFF Schuster Test</w:t>
      </w:r>
    </w:p>
    <w:p>
      <w:pPr>
        <w:spacing w:after="140" w:before="0" w:line="276"/>
      </w:pPr>
      <w:r>
        <w:rPr>
          <w:b/>
          <w:bCs/>
          <w:sz w:val="22"/>
          <w:szCs w:val="22"/>
        </w:rPr>
        <w:t xml:space="preserve">Hypothesis to falsify. </w:t>
      </w:r>
      <w:r>
        <w:rPr>
          <w:sz w:val="22"/>
          <w:szCs w:val="22"/>
        </w:rPr>
        <w:t xml:space="preserve">After conditioning out the standard Newtonian tidal Coulomb Failure Function — ΔCFS = Δτ + μΔσn, with μ ≈ 0.4, computed on each event's actual focal plane at hypocenter depth — does any solar, space-weather, or electromagnetic periodicity remain in earthquake timing? This is the sharp, runnable question the rest of the program reduces to.</w:t>
      </w:r>
    </w:p>
    <w:p>
      <w:pPr>
        <w:pStyle w:val="Heading2"/>
      </w:pPr>
      <w:r>
        <w:t xml:space="preserve">7.1 Data (all public)</w:t>
      </w:r>
    </w:p>
    <w:p>
      <w:pPr>
        <w:pStyle w:val="ListParagraph"/>
        <w:numPr>
          <w:ilvl w:val="0"/>
          <w:numId w:val="2"/>
        </w:numPr>
        <w:spacing w:after="90" w:line="276"/>
      </w:pPr>
      <w:r>
        <w:rPr>
          <w:b/>
          <w:bCs/>
          <w:sz w:val="22"/>
          <w:szCs w:val="22"/>
        </w:rPr>
        <w:t xml:space="preserve">Catalogue: </w:t>
      </w:r>
      <w:r>
        <w:rPr>
          <w:sz w:val="22"/>
          <w:szCs w:val="22"/>
        </w:rPr>
        <w:t xml:space="preserve">ISC-GEM or the Global CMT catalogue (focal mechanisms are required to resolve stress on the fault plane), at a fixed completeness magnitude (Mc ≈ 5.6 for the OMNI-data era).</w:t>
      </w:r>
    </w:p>
    <w:p>
      <w:pPr>
        <w:pStyle w:val="ListParagraph"/>
        <w:numPr>
          <w:ilvl w:val="0"/>
          <w:numId w:val="2"/>
        </w:numPr>
        <w:spacing w:after="90" w:line="276"/>
      </w:pPr>
      <w:r>
        <w:rPr>
          <w:b/>
          <w:bCs/>
          <w:sz w:val="22"/>
          <w:szCs w:val="22"/>
        </w:rPr>
        <w:t xml:space="preserve">Tidal stress: </w:t>
      </w:r>
      <w:r>
        <w:rPr>
          <w:sz w:val="22"/>
          <w:szCs w:val="22"/>
        </w:rPr>
        <w:t xml:space="preserve">SPOTL, GOTIC2, or TidalStrain.2 for solid-Earth tide plus ocean loading, evaluated at each hypocenter; JPL Horizons or equivalent for the lunar/solar ephemeris.</w:t>
      </w:r>
    </w:p>
    <w:p>
      <w:pPr>
        <w:pStyle w:val="ListParagraph"/>
        <w:numPr>
          <w:ilvl w:val="0"/>
          <w:numId w:val="2"/>
        </w:numPr>
        <w:spacing w:after="90" w:line="276"/>
      </w:pPr>
      <w:r>
        <w:rPr>
          <w:b/>
          <w:bCs/>
          <w:sz w:val="22"/>
          <w:szCs w:val="22"/>
        </w:rPr>
        <w:t xml:space="preserve">Solar / space weather: </w:t>
      </w:r>
      <w:r>
        <w:rPr>
          <w:sz w:val="22"/>
          <w:szCs w:val="22"/>
        </w:rPr>
        <w:t xml:space="preserve">NASA OMNI (solar-wind density, velocity, IMF, dynamic pressure) and the standard geomagnetic indices (Dst/SYM-H, Kp, ap, F10.7) for the periodicity search.</w:t>
      </w:r>
    </w:p>
    <w:p>
      <w:pPr>
        <w:pStyle w:val="Heading2"/>
      </w:pPr>
      <w:r>
        <w:t xml:space="preserve">7.2 Procedure</w:t>
      </w:r>
    </w:p>
    <w:p>
      <w:pPr>
        <w:pStyle w:val="ListParagraph"/>
        <w:numPr>
          <w:ilvl w:val="0"/>
          <w:numId w:val="4"/>
        </w:numPr>
        <w:spacing w:after="90" w:line="276"/>
      </w:pPr>
      <w:r>
        <w:rPr>
          <w:sz w:val="22"/>
          <w:szCs w:val="22"/>
        </w:rPr>
        <w:t xml:space="preserve">Decluster the catalogue with at least two independent methods (e.g., Reasenberg plus nearest-neighbor / Zaliapin–Ben-Zion), and verify declustering quality with a Schuster spectrum — drifting low p-values at periods longer than the aftershock-decay time flag residual clustering.</w:t>
      </w:r>
    </w:p>
    <w:p>
      <w:pPr>
        <w:pStyle w:val="ListParagraph"/>
        <w:numPr>
          <w:ilvl w:val="0"/>
          <w:numId w:val="4"/>
        </w:numPr>
        <w:spacing w:after="90" w:line="276"/>
      </w:pPr>
      <w:r>
        <w:rPr>
          <w:sz w:val="22"/>
          <w:szCs w:val="22"/>
        </w:rPr>
        <w:t xml:space="preserve">For every event, compute the full tidal CFF time history on its focal plane and record the tidal phase at origin time.</w:t>
      </w:r>
    </w:p>
    <w:p>
      <w:pPr>
        <w:pStyle w:val="ListParagraph"/>
        <w:numPr>
          <w:ilvl w:val="0"/>
          <w:numId w:val="4"/>
        </w:numPr>
        <w:spacing w:after="90" w:line="276"/>
      </w:pPr>
      <w:r>
        <w:rPr>
          <w:sz w:val="22"/>
          <w:szCs w:val="22"/>
        </w:rPr>
        <w:t xml:space="preserve">Establish the tidal-phase distribution with a Schuster test (this reproduces the known tidal signal and validates the pipeline), then test the residual timing — after the tidal-phase dependence is removed — for periodicity at the solar-rotation period (27.3 d), the solar cycle, and storm-associated lags. Equivalently, build a Schuster spectrum of the declustered, tidally-conditioned catalogue and search for isolated low-p peaks not at tidal or annual periods.</w:t>
      </w:r>
    </w:p>
    <w:p>
      <w:pPr>
        <w:pStyle w:val="ListParagraph"/>
        <w:numPr>
          <w:ilvl w:val="0"/>
          <w:numId w:val="4"/>
        </w:numPr>
        <w:spacing w:after="90" w:line="276"/>
      </w:pPr>
      <w:r>
        <w:rPr>
          <w:sz w:val="22"/>
          <w:szCs w:val="22"/>
        </w:rPr>
        <w:t xml:space="preserve">Separate events by fault type; the tidal effect lives in shallow thrust/reverse populations and washes out when mixed with strike-slip.</w:t>
      </w:r>
    </w:p>
    <w:p>
      <w:pPr>
        <w:pStyle w:val="Heading2"/>
      </w:pPr>
      <w:r>
        <w:t xml:space="preserve">7.3 Controls and pre-registration</w:t>
      </w:r>
    </w:p>
    <w:p>
      <w:pPr>
        <w:spacing w:after="140" w:before="0" w:line="276"/>
      </w:pPr>
      <w:r>
        <w:rPr>
          <w:b/>
          <w:bCs/>
          <w:sz w:val="22"/>
          <w:szCs w:val="22"/>
        </w:rPr>
        <w:t xml:space="preserve">Pre-register the magnitude floor, declustering method, friction value, lag windows, and significance threshold before inspecting the residual. </w:t>
      </w:r>
      <w:r>
        <w:rPr>
          <w:sz w:val="22"/>
          <w:szCs w:val="22"/>
        </w:rPr>
        <w:t xml:space="preserve">This is the single discipline that separates the rigorous null studies from the inspection-bias-prone positive literature. Generate at least 100 randomized-date control catalogues to establish the empirical false-positive rate, exactly as Akhoondzadeh and De Santis did.</w:t>
      </w:r>
    </w:p>
    <w:p>
      <w:pPr>
        <w:pStyle w:val="Heading2"/>
      </w:pPr>
      <w:r>
        <w:t xml:space="preserve">7.4 Expected outcome and decision criteria</w:t>
      </w:r>
    </w:p>
    <w:p>
      <w:pPr>
        <w:spacing w:after="140" w:before="0" w:line="276"/>
      </w:pPr>
      <w:r>
        <w:rPr>
          <w:sz w:val="22"/>
          <w:szCs w:val="22"/>
        </w:rPr>
        <w:t xml:space="preserve">Treat a residual periodicity as real only if it (a) survives at least two declustering methods, (b) appears as an isolated, non-drifting Schuster-spectrum peak outside tidal and annual periods, and (c) beats the 95th percentile of the randomized-catalogue null. The statistically expected outcome, given everything in Sections 3–5, is no surviving residual — in which case the deliverable is a quantitative upper bound on any solar/electromagnetic modulation amplitude, at the few-percent level. A clean residual that passed all three criteria would be genuinely anomalous and would, for the first time, give the foam hypothesis something concrete to explain.</w:t>
      </w:r>
    </w:p>
    <w:p>
      <w:pPr>
        <w:pStyle w:val="Heading2"/>
      </w:pPr>
      <w:r>
        <w:t xml:space="preserve">7.5 A secondary, foam-specific probe</w:t>
      </w:r>
    </w:p>
    <w:p>
      <w:pPr>
        <w:spacing w:after="140" w:before="0" w:line="276"/>
      </w:pPr>
      <w:r>
        <w:rPr>
          <w:sz w:val="22"/>
          <w:szCs w:val="22"/>
        </w:rPr>
        <w:t xml:space="preserve">In parallel, the framework's resonance idea can be probed directly: compute the spectral coherence between solar-wind parameters and the seismic hum in the 2–7 mHz band, after regressing out the known ocean-infragravity and atmospheric-pressure drivers, and ask whether a stationary, significant coherence peak appears specifically at 3.70 or 4.35 mHz that the ocean/atmosphere regressors do not explain. A null bounds the coupling; a stationary anomalous line would be the one result that could motivate the framework. Years to a decade of continuous broadband or superconducting-gravimeter data support this test.</w:t>
      </w:r>
    </w:p>
    <w:p>
      <w:pPr>
        <w:pStyle w:val="Heading1"/>
      </w:pPr>
      <w:r>
        <w:t xml:space="preserve">8. Concluding Assessment</w:t>
      </w:r>
    </w:p>
    <w:p>
      <w:pPr>
        <w:spacing w:after="140" w:before="0" w:line="276"/>
      </w:pPr>
      <w:r>
        <w:rPr>
          <w:b/>
          <w:bCs/>
          <w:sz w:val="22"/>
          <w:szCs w:val="22"/>
        </w:rPr>
        <w:t xml:space="preserve">The honest position is also the strongest one. </w:t>
      </w:r>
      <w:r>
        <w:rPr>
          <w:sz w:val="22"/>
          <w:szCs w:val="22"/>
        </w:rPr>
        <w:t xml:space="preserve">The solar–seismic link is unproven and most likely absent at the level of raw correlations; the one established external influence on earthquake timing is ordinary tidal stress, real but weak and confined to near-critical faults; and the gravitational and spacetime-geometric channels are excluded by 14 to 40 orders of magnitude in the relevant force and energy scales. That exclusion, made quantitative, is a real result — a no-go bound for the standard channels — and it is the defensible core of this work.</w:t>
      </w:r>
    </w:p>
    <w:p>
      <w:pPr>
        <w:spacing w:after="140" w:before="0" w:line="276"/>
      </w:pPr>
      <w:r>
        <w:rPr>
          <w:sz w:val="22"/>
          <w:szCs w:val="22"/>
        </w:rPr>
        <w:t xml:space="preserve">The spacetime-foam framework is mathematically elegant and may serve as a structure for modeling synchronization in critical systems, but in its present form it is empirically unrequired and does not yet make a prediction that distinguishes it from no effect. The path to changing that is narrow and clear: subtract the known tidal physics and look, rigorously and pre-registered, for what remains. Whether the answer is a tight upper bound or — against expectation — a genuine residual, it would be an honest, citable scientific result. That is the experiment worth running, and the claim worth standing behind.</w:t>
      </w:r>
    </w:p>
    <w:p>
      <w:pPr>
        <w:pStyle w:val="Heading1"/>
      </w:pPr>
      <w:r>
        <w:t xml:space="preserve">References</w:t>
      </w:r>
    </w:p>
    <w:p>
      <w:pPr>
        <w:spacing w:after="160" w:before="0" w:line="276"/>
      </w:pPr>
      <w:r>
        <w:rPr>
          <w:i/>
          <w:iCs/>
          <w:sz w:val="22"/>
          <w:szCs w:val="22"/>
        </w:rPr>
        <w:t xml:space="preserve">References are drawn from the source review compiled for this program. Citation details (volume, page, and article numbers) should be verified against the publisher of record before any formal submission.</w:t>
      </w:r>
    </w:p>
    <w:p>
      <w:pPr>
        <w:spacing w:after="110" w:line="264"/>
        <w:ind w:left="360" w:hanging="360"/>
      </w:pPr>
      <w:r>
        <w:rPr>
          <w:sz w:val="20"/>
          <w:szCs w:val="20"/>
        </w:rPr>
        <w:t xml:space="preserve">Akhoondzadeh, M. &amp; De Santis, A. (2022). Is the apparent correlation between solar–geomagnetic activity and occurrence of powerful earthquakes a casual artifact? Atmosphere, 13(7), 1131. doi:10.3390/atmos13071131.</w:t>
      </w:r>
    </w:p>
    <w:p>
      <w:pPr>
        <w:spacing w:after="110" w:line="264"/>
        <w:ind w:left="360" w:hanging="360"/>
      </w:pPr>
      <w:r>
        <w:rPr>
          <w:sz w:val="20"/>
          <w:szCs w:val="20"/>
        </w:rPr>
        <w:t xml:space="preserve">Bendick, R. &amp; Bilham, R. (2017). Do weak global stresses synchronize earthquakes? Geophysical Research Letters, 44(16), 8320–8327.</w:t>
      </w:r>
    </w:p>
    <w:p>
      <w:pPr>
        <w:spacing w:after="110" w:line="264"/>
        <w:ind w:left="360" w:hanging="360"/>
      </w:pPr>
      <w:r>
        <w:rPr>
          <w:sz w:val="20"/>
          <w:szCs w:val="20"/>
        </w:rPr>
        <w:t xml:space="preserve">Campbell, W. H. (2009). Natural magnetic disturbance fields, not precursors, preceding the Loma Prieta earthquake. Journal of Geophysical Research, 114, A05307. doi:10.1029/2008JA013932.</w:t>
      </w:r>
    </w:p>
    <w:p>
      <w:pPr>
        <w:spacing w:after="110" w:line="264"/>
        <w:ind w:left="360" w:hanging="360"/>
      </w:pPr>
      <w:r>
        <w:rPr>
          <w:sz w:val="20"/>
          <w:szCs w:val="20"/>
        </w:rPr>
        <w:t xml:space="preserve">Chen, H., Wang, R., Miao, M., et al. (2020). A statistical study of the correlation between geomagnetic storms and M ≥ 7.0 global earthquakes during 1957–2020. Entropy, 22(11), 1270. doi:10.3390/e22111270.</w:t>
      </w:r>
    </w:p>
    <w:p>
      <w:pPr>
        <w:spacing w:after="110" w:line="264"/>
        <w:ind w:left="360" w:hanging="360"/>
      </w:pPr>
      <w:r>
        <w:rPr>
          <w:sz w:val="20"/>
          <w:szCs w:val="20"/>
        </w:rPr>
        <w:t xml:space="preserve">Chen, H., et al. (2025). On solar–terrestrial interactions: correlation between intense geomagnetic storms and global strong earthquakes. Geophysical Research Letters. doi:10.1029/2024GL108590.</w:t>
      </w:r>
    </w:p>
    <w:p>
      <w:pPr>
        <w:spacing w:after="110" w:line="264"/>
        <w:ind w:left="360" w:hanging="360"/>
      </w:pPr>
      <w:r>
        <w:rPr>
          <w:sz w:val="20"/>
          <w:szCs w:val="20"/>
        </w:rPr>
        <w:t xml:space="preserve">Cochran, E. S., Vidale, J. E. &amp; Tanaka, S. (2004). Earth tides can trigger shallow thrust fault earthquakes. Science, 306(5699), 1164–1166. doi:10.1126/science.1103961.</w:t>
      </w:r>
    </w:p>
    <w:p>
      <w:pPr>
        <w:spacing w:after="110" w:line="264"/>
        <w:ind w:left="360" w:hanging="360"/>
      </w:pPr>
      <w:r>
        <w:rPr>
          <w:sz w:val="20"/>
          <w:szCs w:val="20"/>
        </w:rPr>
        <w:t xml:space="preserve">Coughlin, M. &amp; Harms, J. (2014). Constraining the gravitational wave energy density of the Universe using Earth's ring. Physical Review D, 90, 042005. arXiv:1406.1147.</w:t>
      </w:r>
    </w:p>
    <w:p>
      <w:pPr>
        <w:spacing w:after="110" w:line="264"/>
        <w:ind w:left="360" w:hanging="360"/>
      </w:pPr>
      <w:r>
        <w:rPr>
          <w:sz w:val="20"/>
          <w:szCs w:val="20"/>
        </w:rPr>
        <w:t xml:space="preserve">Fraser-Smith, A. C., Bernardi, A., McGill, P. R., et al. (1990). Low-frequency magnetic field measurements near the epicenter of the Ms 7.1 Loma Prieta earthquake. Geophysical Research Letters, 17(9), 1465–1468.</w:t>
      </w:r>
    </w:p>
    <w:p>
      <w:pPr>
        <w:spacing w:after="110" w:line="264"/>
        <w:ind w:left="360" w:hanging="360"/>
      </w:pPr>
      <w:r>
        <w:rPr>
          <w:sz w:val="20"/>
          <w:szCs w:val="20"/>
        </w:rPr>
        <w:t xml:space="preserve">Hough, S. E. (2018). Do large (magnitude ≥ 8) global earthquakes occur on preferred days of the calendar year or lunar cycle? Seismological Research Letters, 89(2A). doi:10.1785/0220170154.</w:t>
      </w:r>
    </w:p>
    <w:p>
      <w:pPr>
        <w:spacing w:after="110" w:line="264"/>
        <w:ind w:left="360" w:hanging="360"/>
      </w:pPr>
      <w:r>
        <w:rPr>
          <w:sz w:val="20"/>
          <w:szCs w:val="20"/>
        </w:rPr>
        <w:t xml:space="preserve">Ide, S., Yabe, S. &amp; Tanaka, Y. (2016). Earthquake potential revealed by tidal influence on earthquake size–frequency statistics. Nature Geoscience, 9, 834–837. doi:10.1038/ngeo2796.</w:t>
      </w:r>
    </w:p>
    <w:p>
      <w:pPr>
        <w:spacing w:after="110" w:line="264"/>
        <w:ind w:left="360" w:hanging="360"/>
      </w:pPr>
      <w:r>
        <w:rPr>
          <w:sz w:val="20"/>
          <w:szCs w:val="20"/>
        </w:rPr>
        <w:t xml:space="preserve">Love, J. J. &amp; Thomas, J. N. (2013). Insignificant solar–terrestrial triggering of earthquakes. Geophysical Research Letters, 40(6), 1165–1170. doi:10.1002/grl.50211.</w:t>
      </w:r>
    </w:p>
    <w:p>
      <w:pPr>
        <w:spacing w:after="110" w:line="264"/>
        <w:ind w:left="360" w:hanging="360"/>
      </w:pPr>
      <w:r>
        <w:rPr>
          <w:sz w:val="20"/>
          <w:szCs w:val="20"/>
        </w:rPr>
        <w:t xml:space="preserve">Marchitelli, V., Harabaglia, P., Troise, C. &amp; De Natale, G. (2020). On the correlation between solar activity and large earthquakes worldwide. Scientific Reports, 10, 11495. doi:10.1038/s41598-020-67860-3.</w:t>
      </w:r>
    </w:p>
    <w:p>
      <w:pPr>
        <w:spacing w:after="110" w:line="264"/>
        <w:ind w:left="360" w:hanging="360"/>
      </w:pPr>
      <w:r>
        <w:rPr>
          <w:sz w:val="20"/>
          <w:szCs w:val="20"/>
        </w:rPr>
        <w:t xml:space="preserve">Métivier, L., de Viron, O., Conrad, C. P., et al. (2009). Evidence of earthquake triggering by the solid Earth tides. Earth and Planetary Science Letters, 278(3–4), 370–375.</w:t>
      </w:r>
    </w:p>
    <w:p>
      <w:pPr>
        <w:spacing w:after="110" w:line="264"/>
        <w:ind w:left="360" w:hanging="360"/>
      </w:pPr>
      <w:r>
        <w:rPr>
          <w:sz w:val="20"/>
          <w:szCs w:val="20"/>
        </w:rPr>
        <w:t xml:space="preserve">Nishida, K., Kobayashi, N. &amp; Fukao, Y. (2000). Resonant oscillations between the solid Earth and the atmosphere. Science, 287(5461), 2244–2246.</w:t>
      </w:r>
    </w:p>
    <w:p>
      <w:pPr>
        <w:spacing w:after="110" w:line="264"/>
        <w:ind w:left="360" w:hanging="360"/>
      </w:pPr>
      <w:r>
        <w:rPr>
          <w:sz w:val="20"/>
          <w:szCs w:val="20"/>
        </w:rPr>
        <w:t xml:space="preserve">Novikov, V., Ruzhin, Y., Sorokin, V. &amp; Yaschenko, A. (2020). Space weather and earthquakes: possible triggering of seismic activity by strong solar flares. Annals of Geophysics, 63(5).</w:t>
      </w:r>
    </w:p>
    <w:p>
      <w:pPr>
        <w:spacing w:after="110" w:line="264"/>
        <w:ind w:left="360" w:hanging="360"/>
      </w:pPr>
      <w:r>
        <w:rPr>
          <w:sz w:val="20"/>
          <w:szCs w:val="20"/>
        </w:rPr>
        <w:t xml:space="preserve">Rhie, J. &amp; Romanowicz, B. (2004). Excitation of Earth's continuous free oscillations by atmosphere–ocean–seafloor coupling. Nature, 431, 552–556. doi:10.1038/nature02942.</w:t>
      </w:r>
    </w:p>
    <w:p>
      <w:pPr>
        <w:spacing w:after="110" w:line="264"/>
        <w:ind w:left="360" w:hanging="360"/>
      </w:pPr>
      <w:r>
        <w:rPr>
          <w:sz w:val="20"/>
          <w:szCs w:val="20"/>
        </w:rPr>
        <w:t xml:space="preserve">Tanaka, S., Ohtake, M. &amp; Sato, H. (2002). Evidence for tidal triggering of earthquakes as revealed from statistical analysis of global data. Journal of Geophysical Research, 107(B10). doi:10.1029/2001JB001577.</w:t>
      </w:r>
    </w:p>
    <w:p>
      <w:pPr>
        <w:spacing w:after="110" w:line="264"/>
        <w:ind w:left="360" w:hanging="360"/>
      </w:pPr>
      <w:r>
        <w:rPr>
          <w:sz w:val="20"/>
          <w:szCs w:val="20"/>
        </w:rPr>
        <w:t xml:space="preserve">Tenfjord, P. &amp; Østgaard, N. (2013). Energy transfer and flow in the solar wind–magnetosphere–ionosphere system: a new coupling function. Journal of Geophysical Research: Space Physics, 118, 5659–5672.</w:t>
      </w:r>
    </w:p>
    <w:p>
      <w:pPr>
        <w:spacing w:after="110" w:line="264"/>
        <w:ind w:left="360" w:hanging="360"/>
      </w:pPr>
      <w:r>
        <w:rPr>
          <w:sz w:val="20"/>
          <w:szCs w:val="20"/>
        </w:rPr>
        <w:t xml:space="preserve">Astronomical modulation of global seismic energy release at the 18.6-year lunar nodal period (2026). Frontiers in Earth Science. doi:10.3389/feart.2026.1815784. [Recent single study; verify before formal citation.]</w:t>
      </w:r>
    </w:p>
    <w:p>
      <w:pPr>
        <w:pStyle w:val="Heading1"/>
      </w:pPr>
      <w:r>
        <w:t xml:space="preserve">Appendix: Note on Data and Reproducibility</w:t>
      </w:r>
    </w:p>
    <w:p>
      <w:pPr>
        <w:spacing w:after="140" w:before="0" w:line="276"/>
      </w:pPr>
      <w:r>
        <w:rPr>
          <w:sz w:val="22"/>
          <w:szCs w:val="22"/>
        </w:rPr>
        <w:t xml:space="preserve">Every dataset and tool named in Section 7 is free and public: earthquake catalogues from the USGS/NEIC ComCat, the International Seismological Centre (ISC-GEM), and Global CMT; solar-wind and index data from NASA OMNIWeb and the WDC/GFZ index services; tidal-stress computation via SPOTL, GOTIC2, or TidalStrain.2; and ephemerides from JPL Horizons. Continuous seismic and gravimeter records for the coherence probe are available through the IRIS/EarthScope (SAGE) and IGETS archives. The analysis requires no proprietary data and can be implemented in standard scientific Python; the recommended practice is to publish the declustering parameters, the friction value, the tidal-model choice, and the randomized-control procedure alongside any result so that the upper bound (or detection) is independently reproducible.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color w:val="888888"/>
        <w:sz w:val="16"/>
        <w:szCs w:val="16"/>
      </w:rPr>
      <w:t xml:space="preserve">Solar–Seismic Coupling &amp; the Foam Hypothesis</w:t>
    </w:r>
    <w:r>
      <w:rPr>
        <w:sz w:val="16"/>
        <w:szCs w:val="16"/>
      </w:rPr>
      <w:t xml:space="preserve">	</w:t>
    </w: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E4D7B"/>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Solar-Seismic Coupling and the Spacetime-Foam Hypothesis</dc:title>
  <dc:creator>BS Medicineman</dc:creator>
  <dc:description>Evidence review, exclusion bound, and falsifiable test program</dc:description>
  <cp:lastModifiedBy>Un-named</cp:lastModifiedBy>
  <cp:revision>1</cp:revision>
  <dcterms:created xsi:type="dcterms:W3CDTF">2026-06-25T19:53:00.644Z</dcterms:created>
  <dcterms:modified xsi:type="dcterms:W3CDTF">2026-06-25T19:53:00.645Z</dcterms:modified>
</cp:coreProperties>
</file>

<file path=docProps/custom.xml><?xml version="1.0" encoding="utf-8"?>
<Properties xmlns="http://schemas.openxmlformats.org/officeDocument/2006/custom-properties" xmlns:vt="http://schemas.openxmlformats.org/officeDocument/2006/docPropsVTypes"/>
</file>