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6BBC" w:rsidRDefault="00F73D22">
      <w:pPr>
        <w:pStyle w:val="Heading2"/>
      </w:pPr>
      <w:bookmarkStart w:id="0" w:name="supplementary-information"/>
      <w:r>
        <w:t>Supplementary Inf</w:t>
      </w:r>
      <w:r>
        <w:t>ormation</w:t>
      </w:r>
    </w:p>
    <w:p w:rsidR="00BC6BBC" w:rsidRDefault="00F73D22">
      <w:pPr>
        <w:pStyle w:val="Heading3"/>
      </w:pPr>
      <w:bookmarkStart w:id="1" w:name="supplementary-note-analysis-notebook"/>
      <w:r>
        <w:t>Supplementary Note: Analysis Notebook</w:t>
      </w:r>
    </w:p>
    <w:p w:rsidR="00284E8F" w:rsidRDefault="00284E8F">
      <w:pPr>
        <w:pStyle w:val="Heading3"/>
        <w:rPr>
          <w:b w:val="0"/>
          <w:bCs w:val="0"/>
          <w:sz w:val="22"/>
        </w:rPr>
      </w:pPr>
      <w:bookmarkStart w:id="2" w:name="X4b6eb7af5d35fb2942769ee9e167210a27b6ed1"/>
      <w:bookmarkEnd w:id="1"/>
      <w:r w:rsidRPr="00284E8F">
        <w:rPr>
          <w:b w:val="0"/>
          <w:bCs w:val="0"/>
          <w:sz w:val="22"/>
        </w:rPr>
        <w:t>supplemental-4.html</w:t>
      </w:r>
    </w:p>
    <w:p w:rsidR="00BC6BBC" w:rsidRDefault="00F73D22">
      <w:pPr>
        <w:pStyle w:val="Heading3"/>
      </w:pPr>
      <w:r>
        <w:t>Supplementary Results: Patient Demographics</w:t>
      </w:r>
    </w:p>
    <w:p w:rsidR="00BC6BBC" w:rsidRDefault="00F73D22">
      <w:pPr>
        <w:pStyle w:val="TableCaption"/>
      </w:pPr>
      <w:bookmarkStart w:id="3" w:name="table1"/>
      <w:bookmarkStart w:id="4" w:name="tbl:demographics"/>
      <w:r>
        <w:t>Table </w:t>
      </w:r>
      <w:r w:rsidR="00B6611C">
        <w:t>S</w:t>
      </w:r>
      <w:r>
        <w:fldChar w:fldCharType="begin"/>
      </w:r>
      <w:r>
        <w:instrText xml:space="preserve">SEQ Table \* ARABIC </w:instrText>
      </w:r>
      <w:r>
        <w:fldChar w:fldCharType="separate"/>
      </w:r>
      <w:r>
        <w:t>1</w:t>
      </w:r>
      <w:r>
        <w:fldChar w:fldCharType="end"/>
      </w:r>
      <w:r>
        <w:t>:</w:t>
      </w:r>
      <w:bookmarkEnd w:id="3"/>
      <w:r>
        <w:t xml:space="preserve"> </w:t>
      </w:r>
      <w:r>
        <w:t>Summary of demographics for 22 patients included in efficacy statistics</w:t>
      </w:r>
    </w:p>
    <w:tbl>
      <w:tblPr>
        <w:tblW w:w="0" w:type="auto"/>
        <w:tblLook w:val="0020" w:firstRow="1" w:lastRow="0" w:firstColumn="0" w:lastColumn="0" w:noHBand="0" w:noVBand="0"/>
        <w:tblCaption w:val="Table 1: Summary of demographics for 22 patients included in efficacy statistics"/>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Heading3"/>
      </w:pPr>
      <w:bookmarkStart w:id="5" w:name="supplementary-results-adverse-events"/>
      <w:bookmarkEnd w:id="2"/>
      <w:bookmarkEnd w:id="4"/>
      <w:r>
        <w:t>Supplementary Results: Adverse Events</w:t>
      </w:r>
    </w:p>
    <w:p w:rsidR="00BC6BBC" w:rsidRDefault="00F73D22">
      <w:pPr>
        <w:pStyle w:val="TableCaption"/>
      </w:pPr>
      <w:bookmarkStart w:id="6" w:name="table2"/>
      <w:bookmarkStart w:id="7" w:name="tbl:adverse-events"/>
      <w:r>
        <w:t>Table </w:t>
      </w:r>
      <w:r w:rsidR="00B6611C">
        <w:t>S</w:t>
      </w:r>
      <w:r>
        <w:fldChar w:fldCharType="begin"/>
      </w:r>
      <w:r>
        <w:instrText xml:space="preserve">SEQ Table \* ARABIC </w:instrText>
      </w:r>
      <w:r>
        <w:fldChar w:fldCharType="separate"/>
      </w:r>
      <w:r>
        <w:t>2</w:t>
      </w:r>
      <w:r>
        <w:fldChar w:fldCharType="end"/>
      </w:r>
      <w:r>
        <w:t>:</w:t>
      </w:r>
      <w:bookmarkEnd w:id="6"/>
      <w:r>
        <w:t xml:space="preserve"> </w:t>
      </w:r>
      <w:r>
        <w:t>Summary of adverse events for all patients enrolled. Numbers indic</w:t>
      </w:r>
      <w:r>
        <w:t>ate number of patients experiencing one or more events of each type. Where events are on a three point scale, higher values mean more severe events.</w:t>
      </w:r>
    </w:p>
    <w:tbl>
      <w:tblPr>
        <w:tblW w:w="0" w:type="auto"/>
        <w:tblLook w:val="0020" w:firstRow="1" w:lastRow="0" w:firstColumn="0" w:lastColumn="0" w:noHBand="0" w:noVBand="0"/>
        <w:tblCaption w:val="Table 2: Summary of adverse events for all patients enrolled. Numbers indicate number of patients experiencing one or more events of each type. Where events are on a three point scale, higher values mean more severe events."/>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Heading3"/>
      </w:pPr>
      <w:bookmarkStart w:id="8" w:name="X33f00579c034ba83899995d4db65b33dafd9e69"/>
      <w:bookmarkEnd w:id="5"/>
      <w:bookmarkEnd w:id="7"/>
      <w:r>
        <w:t>Supplementary Table: Samples and Microbiome Profiles Collected by Patient</w:t>
      </w:r>
    </w:p>
    <w:p w:rsidR="00BC6BBC" w:rsidRDefault="00F73D22">
      <w:pPr>
        <w:pStyle w:val="TableCaption"/>
      </w:pPr>
      <w:bookmarkStart w:id="9" w:name="table3"/>
      <w:bookmarkStart w:id="10" w:name="tbl:samples-avail"/>
      <w:r>
        <w:t>Table </w:t>
      </w:r>
      <w:r w:rsidR="00B6611C">
        <w:t>S</w:t>
      </w:r>
      <w:r>
        <w:fldChar w:fldCharType="begin"/>
      </w:r>
      <w:r>
        <w:instrText xml:space="preserve">SEQ Table \* ARABIC </w:instrText>
      </w:r>
      <w:r>
        <w:fldChar w:fldCharType="separate"/>
      </w:r>
      <w:r>
        <w:t>3</w:t>
      </w:r>
      <w:r>
        <w:fldChar w:fldCharType="end"/>
      </w:r>
      <w:r>
        <w:t>:</w:t>
      </w:r>
      <w:bookmarkEnd w:id="9"/>
      <w:r>
        <w:t xml:space="preserve"> </w:t>
      </w:r>
      <w:r>
        <w:t>List of fecal samples collected.</w:t>
      </w:r>
    </w:p>
    <w:tbl>
      <w:tblPr>
        <w:tblW w:w="0" w:type="auto"/>
        <w:tblLook w:val="0020" w:firstRow="1" w:lastRow="0" w:firstColumn="0" w:lastColumn="0" w:noHBand="0" w:noVBand="0"/>
        <w:tblCaption w:val="Table 3: List of fecal samples collected."/>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TableCaption"/>
      </w:pPr>
      <w:bookmarkStart w:id="11" w:name="table4"/>
      <w:bookmarkStart w:id="12" w:name="tbl:16S-avail"/>
      <w:bookmarkEnd w:id="10"/>
      <w:r>
        <w:t>Table </w:t>
      </w:r>
      <w:r w:rsidR="00B6611C">
        <w:t>S</w:t>
      </w:r>
      <w:r>
        <w:fldChar w:fldCharType="begin"/>
      </w:r>
      <w:r>
        <w:instrText xml:space="preserve">SEQ Table \* ARABIC </w:instrText>
      </w:r>
      <w:r>
        <w:fldChar w:fldCharType="separate"/>
      </w:r>
      <w:r>
        <w:t>4</w:t>
      </w:r>
      <w:r>
        <w:fldChar w:fldCharType="end"/>
      </w:r>
      <w:r>
        <w:t>:</w:t>
      </w:r>
      <w:bookmarkEnd w:id="11"/>
      <w:r>
        <w:t xml:space="preserve"> Table 4: List of 16S rRNA gene libraries sequenced.</w:t>
      </w:r>
    </w:p>
    <w:tbl>
      <w:tblPr>
        <w:tblW w:w="0" w:type="auto"/>
        <w:tblLook w:val="0020" w:firstRow="1" w:lastRow="0" w:firstColumn="0" w:lastColumn="0" w:noHBand="0" w:noVBand="0"/>
        <w:tblCaption w:val="Table 4: List of 16S rRNA gene libraries sequenced."/>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TableCaption"/>
      </w:pPr>
      <w:bookmarkStart w:id="13" w:name="table5"/>
      <w:bookmarkStart w:id="14" w:name="tbl:mgen-avail"/>
      <w:bookmarkEnd w:id="12"/>
      <w:r>
        <w:t>Table </w:t>
      </w:r>
      <w:r w:rsidR="00B6611C">
        <w:t>S</w:t>
      </w:r>
      <w:r>
        <w:fldChar w:fldCharType="begin"/>
      </w:r>
      <w:r>
        <w:instrText xml:space="preserve">SEQ Table \* ARABIC </w:instrText>
      </w:r>
      <w:r>
        <w:fldChar w:fldCharType="separate"/>
      </w:r>
      <w:r>
        <w:t>5</w:t>
      </w:r>
      <w:r>
        <w:fldChar w:fldCharType="end"/>
      </w:r>
      <w:bookmarkEnd w:id="13"/>
      <w:r w:rsidR="00B6611C">
        <w:t xml:space="preserve">: </w:t>
      </w:r>
      <w:r>
        <w:t>List of shotgun metagenomic libraries sequenced.</w:t>
      </w:r>
    </w:p>
    <w:tbl>
      <w:tblPr>
        <w:tblW w:w="0" w:type="auto"/>
        <w:tblLook w:val="0020" w:firstRow="1" w:lastRow="0" w:firstColumn="0" w:lastColumn="0" w:noHBand="0" w:noVBand="0"/>
        <w:tblCaption w:val="Table 5: List of shotgun metagenomic libraries sequenced."/>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TableCaption"/>
      </w:pPr>
      <w:bookmarkStart w:id="15" w:name="table6"/>
      <w:bookmarkStart w:id="16" w:name="tbl:metab-avail"/>
      <w:bookmarkEnd w:id="14"/>
      <w:r>
        <w:t>Table </w:t>
      </w:r>
      <w:r w:rsidR="00B6611C">
        <w:t>S</w:t>
      </w:r>
      <w:r>
        <w:fldChar w:fldCharType="begin"/>
      </w:r>
      <w:r>
        <w:instrText xml:space="preserve">SEQ Table \* ARABIC </w:instrText>
      </w:r>
      <w:r>
        <w:fldChar w:fldCharType="separate"/>
      </w:r>
      <w:r>
        <w:t>6</w:t>
      </w:r>
      <w:r>
        <w:fldChar w:fldCharType="end"/>
      </w:r>
      <w:bookmarkEnd w:id="15"/>
      <w:r w:rsidR="00B6611C">
        <w:t>:</w:t>
      </w:r>
      <w:r>
        <w:t xml:space="preserve"> List of metabolomic profiles collected.</w:t>
      </w:r>
    </w:p>
    <w:tbl>
      <w:tblPr>
        <w:tblW w:w="0" w:type="auto"/>
        <w:tblLook w:val="0020" w:firstRow="1" w:lastRow="0" w:firstColumn="0" w:lastColumn="0" w:noHBand="0" w:noVBand="0"/>
        <w:tblCaption w:val="Table 6: List of metabolomic profiles collected."/>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Heading3"/>
      </w:pPr>
      <w:bookmarkStart w:id="17" w:name="Xa59f4e54fa9672b41fb7685373443f02c5aa002"/>
      <w:bookmarkEnd w:id="8"/>
      <w:bookmarkEnd w:id="16"/>
      <w:r>
        <w:t>Supplementary Results: Patients Deviating from Initial Study De</w:t>
      </w:r>
      <w:r>
        <w:t>sign</w:t>
      </w:r>
    </w:p>
    <w:p w:rsidR="00BC6BBC" w:rsidRDefault="00F73D22">
      <w:pPr>
        <w:pStyle w:val="TableCaption"/>
      </w:pPr>
      <w:bookmarkStart w:id="18" w:name="table7"/>
      <w:bookmarkStart w:id="19" w:name="tbl:protocol-deviations"/>
      <w:r>
        <w:t>Table </w:t>
      </w:r>
      <w:r w:rsidR="00B6611C">
        <w:t>S</w:t>
      </w:r>
      <w:r>
        <w:fldChar w:fldCharType="begin"/>
      </w:r>
      <w:r>
        <w:instrText xml:space="preserve">SEQ Table \* ARABIC </w:instrText>
      </w:r>
      <w:r>
        <w:fldChar w:fldCharType="separate"/>
      </w:r>
      <w:r>
        <w:t>7</w:t>
      </w:r>
      <w:r>
        <w:fldChar w:fldCharType="end"/>
      </w:r>
      <w:r>
        <w:t>:</w:t>
      </w:r>
      <w:bookmarkEnd w:id="18"/>
      <w:r>
        <w:t xml:space="preserve"> </w:t>
      </w:r>
      <w:r>
        <w:t>Summary of relevant deviations from main protocol.</w:t>
      </w:r>
    </w:p>
    <w:tbl>
      <w:tblPr>
        <w:tblW w:w="0" w:type="auto"/>
        <w:tblLook w:val="0020" w:firstRow="1" w:lastRow="0" w:firstColumn="0" w:lastColumn="0" w:noHBand="0" w:noVBand="0"/>
        <w:tblCaption w:val="Table 7: Summary of relevant deviations from main protocol."/>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Heading3"/>
      </w:pPr>
      <w:bookmarkStart w:id="20" w:name="Xa2dda8c49a20dc92bfe8065b4232b0a152ca635"/>
      <w:bookmarkEnd w:id="17"/>
      <w:bookmarkEnd w:id="19"/>
      <w:r>
        <w:t>Supplementary Data: Ordinations of microbiome profiles colored by patient</w:t>
      </w:r>
    </w:p>
    <w:p w:rsidR="00BC6BBC" w:rsidRDefault="00F73D22">
      <w:bookmarkStart w:id="21" w:name="fig:ordination-by-subject"/>
      <w:r>
        <w:rPr>
          <w:noProof/>
        </w:rPr>
        <w:lastRenderedPageBreak/>
        <w:drawing>
          <wp:inline distT="0" distB="0" distL="0" distR="0">
            <wp:extent cx="5943600" cy="7209586"/>
            <wp:effectExtent l="0" t="0" r="0" b="0"/>
            <wp:docPr id="5" name="Picture" descr="Figure 5: Clustering of taxonomic, functional, and BA profiles across time points. Ordinations are calculated and plotted as in Fig. 2. For (A-C) datatypes where donor samples were also profiled, larger points with black outlines represent the mean of all samples from that donor. Samples from each subject are differentiated by color and shape as indicated in the legend (bottom left). Patients’ baseline samples are outlined in black. The same four ordinations colored by assigned donors are available as Fig. 2A-D."/>
            <wp:cNvGraphicFramePr/>
            <a:graphic xmlns:a="http://schemas.openxmlformats.org/drawingml/2006/main">
              <a:graphicData uri="http://schemas.openxmlformats.org/drawingml/2006/picture">
                <pic:pic xmlns:pic="http://schemas.openxmlformats.org/drawingml/2006/picture">
                  <pic:nvPicPr>
                    <pic:cNvPr id="0" name="Picture" descr="fig/multiomics_ordination_by_subject_figure.w1000.png"/>
                    <pic:cNvPicPr>
                      <a:picLocks noChangeAspect="1" noChangeArrowheads="1"/>
                    </pic:cNvPicPr>
                  </pic:nvPicPr>
                  <pic:blipFill>
                    <a:blip r:embed="rId7"/>
                    <a:stretch>
                      <a:fillRect/>
                    </a:stretch>
                  </pic:blipFill>
                  <pic:spPr bwMode="auto">
                    <a:xfrm>
                      <a:off x="0" y="0"/>
                      <a:ext cx="5943600" cy="7209586"/>
                    </a:xfrm>
                    <a:prstGeom prst="rect">
                      <a:avLst/>
                    </a:prstGeom>
                    <a:noFill/>
                    <a:ln w="9525">
                      <a:noFill/>
                      <a:headEnd/>
                      <a:tailEnd/>
                    </a:ln>
                  </pic:spPr>
                </pic:pic>
              </a:graphicData>
            </a:graphic>
          </wp:inline>
        </w:drawing>
      </w:r>
      <w:bookmarkEnd w:id="21"/>
    </w:p>
    <w:p w:rsidR="00BC6BBC" w:rsidRDefault="00F73D22">
      <w:pPr>
        <w:pStyle w:val="ImageCaption"/>
      </w:pPr>
      <w:bookmarkStart w:id="22" w:name="fig5"/>
      <w:r>
        <w:t>Figure </w:t>
      </w:r>
      <w:r w:rsidR="00B6611C">
        <w:t>S1</w:t>
      </w:r>
      <w:r>
        <w:t xml:space="preserve">: </w:t>
      </w:r>
      <w:bookmarkEnd w:id="22"/>
      <w:r>
        <w:t xml:space="preserve">Clustering of taxonomic, functional, and BA profiles across time points. Ordinations are calculated and plotted as in Fig. 2. For </w:t>
      </w:r>
      <w:r>
        <w:rPr>
          <w:b/>
          <w:bCs/>
        </w:rPr>
        <w:t>(A-C)</w:t>
      </w:r>
      <w:r>
        <w:t xml:space="preserve"> </w:t>
      </w:r>
      <w:r>
        <w:t>datatypes where donor samples were also profiled, larger points with black outlines represent the mean of all samples from that donor. Samples from each subject are differentiated by color and shape as indicated in the legend (bottom left). Patients’ basel</w:t>
      </w:r>
      <w:r>
        <w:t>ine samples are outlined in black. The same four ordinations colored by assigned donors are available as Fig. 2A-D.</w:t>
      </w:r>
    </w:p>
    <w:p w:rsidR="00BC6BBC" w:rsidRDefault="00F73D22">
      <w:pPr>
        <w:pStyle w:val="Heading3"/>
      </w:pPr>
      <w:bookmarkStart w:id="23" w:name="X33d0063c76ed0fd87069c068907909d9729dc7d"/>
      <w:bookmarkEnd w:id="20"/>
      <w:r>
        <w:lastRenderedPageBreak/>
        <w:t>Supplementary Data: Shared ASVs/Species/Strains across Donors</w:t>
      </w:r>
    </w:p>
    <w:p w:rsidR="00BC6BBC" w:rsidRDefault="00F73D22">
      <w:pPr>
        <w:pStyle w:val="FirstParagraph"/>
      </w:pPr>
      <w:r>
        <w:t>Comparing taxa across donors presents one way to evaluate the effect of taxono</w:t>
      </w:r>
      <w:r>
        <w:t>mic resolution on the sensitivity of tracking transfers between individuals. That very few strains are found to be shared across donor communities (see Supplementary Fig. </w:t>
      </w:r>
      <w:r w:rsidR="00284E8F">
        <w:t>S1</w:t>
      </w:r>
      <w:r>
        <w:t>) indicates that false positives—non-transfer of a donor strain incorrectly inferred</w:t>
      </w:r>
      <w:r>
        <w:t xml:space="preserve"> to be a transfer—are infrequent.</w:t>
      </w:r>
    </w:p>
    <w:p w:rsidR="00BC6BBC" w:rsidRDefault="00F73D22">
      <w:bookmarkStart w:id="24" w:name="fig:taxa-venn"/>
      <w:r>
        <w:rPr>
          <w:noProof/>
        </w:rPr>
        <w:drawing>
          <wp:inline distT="0" distB="0" distL="0" distR="0">
            <wp:extent cx="5943600" cy="2062429"/>
            <wp:effectExtent l="0" t="0" r="0" b="0"/>
            <wp:docPr id="6" name="Picture" descr="Figure 6: Overlap between taxa detected in three donors shows that strain-level taxonomic resolution increases sensitivity and specificity of engraftment detection. Venn diagrams depict relationships between sets of taxa detected in donor samples, and numbers indicate the size of the respective sets. Taxa were considered to be detected in a donor if their mean relative abundance across that donor’s samples was greater than 0.01%. Circles are colored by donor as in Fig. 2. Species composition was estimated from metagenomes based on the mean coverage reported by GT-PRO35, and was further partitioned into strain composition based on haplotype deconvolution with Strain Finder21."/>
            <wp:cNvGraphicFramePr/>
            <a:graphic xmlns:a="http://schemas.openxmlformats.org/drawingml/2006/main">
              <a:graphicData uri="http://schemas.openxmlformats.org/drawingml/2006/picture">
                <pic:pic xmlns:pic="http://schemas.openxmlformats.org/drawingml/2006/picture">
                  <pic:nvPicPr>
                    <pic:cNvPr id="0" name="Picture" descr="fig/donor_taxa_venn_diagram_figure.w1000.png"/>
                    <pic:cNvPicPr>
                      <a:picLocks noChangeAspect="1" noChangeArrowheads="1"/>
                    </pic:cNvPicPr>
                  </pic:nvPicPr>
                  <pic:blipFill>
                    <a:blip r:embed="rId8"/>
                    <a:stretch>
                      <a:fillRect/>
                    </a:stretch>
                  </pic:blipFill>
                  <pic:spPr bwMode="auto">
                    <a:xfrm>
                      <a:off x="0" y="0"/>
                      <a:ext cx="5943600" cy="2062429"/>
                    </a:xfrm>
                    <a:prstGeom prst="rect">
                      <a:avLst/>
                    </a:prstGeom>
                    <a:noFill/>
                    <a:ln w="9525">
                      <a:noFill/>
                      <a:headEnd/>
                      <a:tailEnd/>
                    </a:ln>
                  </pic:spPr>
                </pic:pic>
              </a:graphicData>
            </a:graphic>
          </wp:inline>
        </w:drawing>
      </w:r>
      <w:bookmarkEnd w:id="24"/>
    </w:p>
    <w:p w:rsidR="00BC6BBC" w:rsidRDefault="00F73D22">
      <w:pPr>
        <w:pStyle w:val="ImageCaption"/>
      </w:pPr>
      <w:bookmarkStart w:id="25" w:name="fig6"/>
      <w:r>
        <w:t>Figure </w:t>
      </w:r>
      <w:bookmarkEnd w:id="25"/>
      <w:r w:rsidR="00B6611C">
        <w:t>S2</w:t>
      </w:r>
      <w:r>
        <w:t xml:space="preserve">: Overlap between taxa detected in three donors shows that strain-level taxonomic resolution increases sensitivity and specificity of engraftment detection. Venn diagrams depict </w:t>
      </w:r>
      <w:r>
        <w:t xml:space="preserve">relationships between sets of taxa detected in donor samples, and numbers indicate the size of the respective sets. Taxa were considered to be detected in a donor if their mean relative abundance across that donor’s samples was greater than 0.01%. Circles </w:t>
      </w:r>
      <w:r>
        <w:t>are colored by donor as in Fig. 2. Species composition was estimated from metagenomes based on the mean coverage reported by GT-PRO</w:t>
      </w:r>
      <w:hyperlink w:anchor="ref-Shi2020">
        <w:r>
          <w:rPr>
            <w:rStyle w:val="Hyperlink"/>
            <w:vertAlign w:val="superscript"/>
          </w:rPr>
          <w:t>35</w:t>
        </w:r>
      </w:hyperlink>
      <w:r>
        <w:t>, and was further partitioned into strain composition based on haplotype deconvolution wi</w:t>
      </w:r>
      <w:r>
        <w:t>th Strain Finder</w:t>
      </w:r>
      <w:hyperlink w:anchor="ref-Smillie2018">
        <w:r>
          <w:rPr>
            <w:rStyle w:val="Hyperlink"/>
            <w:vertAlign w:val="superscript"/>
          </w:rPr>
          <w:t>21</w:t>
        </w:r>
      </w:hyperlink>
      <w:r>
        <w:t>.</w:t>
      </w:r>
    </w:p>
    <w:p w:rsidR="00BC6BBC" w:rsidRDefault="00F73D22">
      <w:pPr>
        <w:pStyle w:val="Heading3"/>
      </w:pPr>
      <w:bookmarkStart w:id="26" w:name="Xd3c587319e5ac690c2c05d77b9458d9a9628443"/>
      <w:bookmarkStart w:id="27" w:name="_GoBack"/>
      <w:bookmarkEnd w:id="23"/>
      <w:r>
        <w:t>Suppleme</w:t>
      </w:r>
      <w:bookmarkEnd w:id="27"/>
      <w:r>
        <w:t>ntary Methods: Detailed Patient Inclusion/Exclusion Criteria</w:t>
      </w:r>
    </w:p>
    <w:p w:rsidR="00BC6BBC" w:rsidRDefault="00F73D22">
      <w:pPr>
        <w:pStyle w:val="Heading4"/>
      </w:pPr>
      <w:bookmarkStart w:id="28" w:name="inclusion-criteria"/>
      <w:r>
        <w:t>Inclusion Criteria</w:t>
      </w:r>
    </w:p>
    <w:p w:rsidR="00BC6BBC" w:rsidRDefault="00F73D22">
      <w:pPr>
        <w:pStyle w:val="Compact"/>
        <w:numPr>
          <w:ilvl w:val="0"/>
          <w:numId w:val="21"/>
        </w:numPr>
      </w:pPr>
      <w:r>
        <w:t>Patients with history of mild to moderate Ulcerative Colitis confirmed by endoscopy and pathology</w:t>
      </w:r>
      <w:r>
        <w:rPr>
          <w:b/>
          <w:bCs/>
        </w:rPr>
        <w:t>.</w:t>
      </w:r>
    </w:p>
    <w:p w:rsidR="00BC6BBC" w:rsidRDefault="00F73D22">
      <w:pPr>
        <w:pStyle w:val="Compact"/>
        <w:numPr>
          <w:ilvl w:val="0"/>
          <w:numId w:val="21"/>
        </w:numPr>
      </w:pPr>
      <w:r>
        <w:t xml:space="preserve">Total Mayo </w:t>
      </w:r>
      <w:r>
        <w:t>score 4-9, endoscopic subscore ≥1; patients who have not had endoscopic evaluation within one year of enrollment will have flexible sigmoidoscopy for evaluation.</w:t>
      </w:r>
    </w:p>
    <w:p w:rsidR="00BC6BBC" w:rsidRDefault="00F73D22">
      <w:pPr>
        <w:pStyle w:val="Compact"/>
        <w:numPr>
          <w:ilvl w:val="0"/>
          <w:numId w:val="21"/>
        </w:numPr>
      </w:pPr>
      <w:r>
        <w:t>Age 18 – 64 and deemed otherwise healthy at the discretion of the investigator.</w:t>
      </w:r>
    </w:p>
    <w:p w:rsidR="00BC6BBC" w:rsidRDefault="00F73D22">
      <w:pPr>
        <w:pStyle w:val="Compact"/>
        <w:numPr>
          <w:ilvl w:val="0"/>
          <w:numId w:val="21"/>
        </w:numPr>
      </w:pPr>
      <w:r>
        <w:t>Concurrent the</w:t>
      </w:r>
      <w:r>
        <w:t>rapies with mesalamine (stable x 4 weeks), immunomodulators (stable x 3 months), and biologic agents (stable x 3 months) will be allowed to continue during study.</w:t>
      </w:r>
    </w:p>
    <w:p w:rsidR="00BC6BBC" w:rsidRDefault="00F73D22">
      <w:pPr>
        <w:pStyle w:val="Compact"/>
        <w:numPr>
          <w:ilvl w:val="0"/>
          <w:numId w:val="21"/>
        </w:numPr>
      </w:pPr>
      <w:r>
        <w:t>Prednisone must be ≤ 10 mg/day at the time of treatment and will be weaned by 2.5 mg/week during the study period.</w:t>
      </w:r>
    </w:p>
    <w:p w:rsidR="00BC6BBC" w:rsidRDefault="00F73D22">
      <w:pPr>
        <w:pStyle w:val="Heading4"/>
      </w:pPr>
      <w:bookmarkStart w:id="29" w:name="exclusion-criteria"/>
      <w:bookmarkEnd w:id="28"/>
      <w:r>
        <w:t>Exclusion Criteria</w:t>
      </w:r>
    </w:p>
    <w:p w:rsidR="00BC6BBC" w:rsidRDefault="00F73D22">
      <w:pPr>
        <w:pStyle w:val="Compact"/>
        <w:numPr>
          <w:ilvl w:val="0"/>
          <w:numId w:val="22"/>
        </w:numPr>
      </w:pPr>
      <w:r>
        <w:t>Severe or refractory UC defined as Mayo score ≥10, endoscopic disease activity score 3</w:t>
      </w:r>
    </w:p>
    <w:p w:rsidR="00BC6BBC" w:rsidRDefault="00F73D22">
      <w:pPr>
        <w:pStyle w:val="Compact"/>
        <w:numPr>
          <w:ilvl w:val="0"/>
          <w:numId w:val="22"/>
        </w:numPr>
      </w:pPr>
      <w:r>
        <w:t>Untreated enteric infection (positi</w:t>
      </w:r>
      <w:r>
        <w:t>ve stool test for any of the following: Clostridium difficile, Salmonella, Shigella, Yersinia, Campylobacter, enteropathogenic E. coli or other enteric infection at the discretion of the investigator.</w:t>
      </w:r>
    </w:p>
    <w:p w:rsidR="00BC6BBC" w:rsidRDefault="00F73D22">
      <w:pPr>
        <w:pStyle w:val="Compact"/>
        <w:numPr>
          <w:ilvl w:val="0"/>
          <w:numId w:val="22"/>
        </w:numPr>
      </w:pPr>
      <w:r>
        <w:t>History of colectomy</w:t>
      </w:r>
    </w:p>
    <w:p w:rsidR="00BC6BBC" w:rsidRDefault="00F73D22">
      <w:pPr>
        <w:pStyle w:val="Compact"/>
        <w:numPr>
          <w:ilvl w:val="0"/>
          <w:numId w:val="22"/>
        </w:numPr>
      </w:pPr>
      <w:r>
        <w:t>Disease limited to distal proctiti</w:t>
      </w:r>
      <w:r>
        <w:t>s (distal 5 cm)</w:t>
      </w:r>
    </w:p>
    <w:p w:rsidR="00BC6BBC" w:rsidRDefault="00F73D22">
      <w:pPr>
        <w:pStyle w:val="Compact"/>
        <w:numPr>
          <w:ilvl w:val="0"/>
          <w:numId w:val="22"/>
        </w:numPr>
      </w:pPr>
      <w:r>
        <w:lastRenderedPageBreak/>
        <w:t>Patients taking probiotics within six weeks of planned FMT therapy.</w:t>
      </w:r>
    </w:p>
    <w:p w:rsidR="00BC6BBC" w:rsidRDefault="00F73D22">
      <w:pPr>
        <w:pStyle w:val="Compact"/>
        <w:numPr>
          <w:ilvl w:val="0"/>
          <w:numId w:val="22"/>
        </w:numPr>
      </w:pPr>
      <w:r>
        <w:t>Severe immunodeficiency, inherited or acquired (e.g. HIV, chemotherapy or radiation therapy)</w:t>
      </w:r>
    </w:p>
    <w:p w:rsidR="00BC6BBC" w:rsidRDefault="00F73D22">
      <w:pPr>
        <w:pStyle w:val="Compact"/>
        <w:numPr>
          <w:ilvl w:val="0"/>
          <w:numId w:val="22"/>
        </w:numPr>
      </w:pPr>
      <w:r>
        <w:t>Patients with the following laboratory abnormalities: absolute neutrophil count</w:t>
      </w:r>
      <w:r>
        <w:t xml:space="preserve"> (ANC) &lt; 1000 /µl, platelets &lt;50 x 10^9 /L, hemoglobin &lt;6.5 g/dL..</w:t>
      </w:r>
    </w:p>
    <w:p w:rsidR="00BC6BBC" w:rsidRDefault="00F73D22">
      <w:pPr>
        <w:pStyle w:val="Compact"/>
        <w:numPr>
          <w:ilvl w:val="0"/>
          <w:numId w:val="22"/>
        </w:numPr>
      </w:pPr>
      <w:r>
        <w:t>History of anaphylaxis (severe allergic reaction) to food allergens (e.g. tree nuts, shellfish)</w:t>
      </w:r>
    </w:p>
    <w:p w:rsidR="00BC6BBC" w:rsidRDefault="00F73D22">
      <w:pPr>
        <w:pStyle w:val="Compact"/>
        <w:numPr>
          <w:ilvl w:val="0"/>
          <w:numId w:val="22"/>
        </w:numPr>
      </w:pPr>
      <w:r>
        <w:t>Dysphagia (orophyaryngeal, esophageal, functional, neuromuscular)</w:t>
      </w:r>
    </w:p>
    <w:p w:rsidR="00BC6BBC" w:rsidRDefault="00F73D22">
      <w:pPr>
        <w:pStyle w:val="Compact"/>
        <w:numPr>
          <w:ilvl w:val="0"/>
          <w:numId w:val="22"/>
        </w:numPr>
      </w:pPr>
      <w:r>
        <w:t>History of recurrent aspiration episodes</w:t>
      </w:r>
    </w:p>
    <w:p w:rsidR="00BC6BBC" w:rsidRDefault="00F73D22">
      <w:pPr>
        <w:pStyle w:val="Compact"/>
        <w:numPr>
          <w:ilvl w:val="0"/>
          <w:numId w:val="22"/>
        </w:numPr>
      </w:pPr>
      <w:r>
        <w:t>Documented severe gastroparesis</w:t>
      </w:r>
    </w:p>
    <w:p w:rsidR="00BC6BBC" w:rsidRDefault="00F73D22">
      <w:pPr>
        <w:pStyle w:val="Compact"/>
        <w:numPr>
          <w:ilvl w:val="0"/>
          <w:numId w:val="22"/>
        </w:numPr>
      </w:pPr>
      <w:r>
        <w:t>Active intestinal obs</w:t>
      </w:r>
      <w:r>
        <w:t>truction</w:t>
      </w:r>
    </w:p>
    <w:p w:rsidR="00BC6BBC" w:rsidRDefault="00F73D22">
      <w:pPr>
        <w:pStyle w:val="Compact"/>
        <w:numPr>
          <w:ilvl w:val="0"/>
          <w:numId w:val="22"/>
        </w:numPr>
      </w:pPr>
      <w:r>
        <w:t>Patients with renal insufficiency (GFR &lt; 50 ml/min)</w:t>
      </w:r>
    </w:p>
    <w:p w:rsidR="00BC6BBC" w:rsidRDefault="00F73D22">
      <w:pPr>
        <w:pStyle w:val="Compact"/>
        <w:numPr>
          <w:ilvl w:val="0"/>
          <w:numId w:val="22"/>
        </w:numPr>
      </w:pPr>
      <w:r>
        <w:t>Allergy to the following generally regarded as safe ingredients (GRAS): glycerol, acid resistant HPMC, gellan gum, cocoa butter, titanium dioxide</w:t>
      </w:r>
    </w:p>
    <w:p w:rsidR="00BC6BBC" w:rsidRDefault="00F73D22">
      <w:pPr>
        <w:pStyle w:val="Compact"/>
        <w:numPr>
          <w:ilvl w:val="0"/>
          <w:numId w:val="22"/>
        </w:numPr>
      </w:pPr>
      <w:r>
        <w:t>Adverse event attributable to any previous FMT</w:t>
      </w:r>
    </w:p>
    <w:p w:rsidR="00BC6BBC" w:rsidRDefault="00F73D22">
      <w:pPr>
        <w:pStyle w:val="Compact"/>
        <w:numPr>
          <w:ilvl w:val="0"/>
          <w:numId w:val="22"/>
        </w:numPr>
      </w:pPr>
      <w:r>
        <w:t>Al</w:t>
      </w:r>
      <w:r>
        <w:t>lergy/intolerance to proton pump inhibitor therapy</w:t>
      </w:r>
    </w:p>
    <w:p w:rsidR="00BC6BBC" w:rsidRDefault="00F73D22">
      <w:pPr>
        <w:pStyle w:val="Compact"/>
        <w:numPr>
          <w:ilvl w:val="0"/>
          <w:numId w:val="22"/>
        </w:numPr>
      </w:pPr>
      <w:r>
        <w:t>Allergy/intolerance to vancomycin, metronidazole, or neomycin.</w:t>
      </w:r>
    </w:p>
    <w:p w:rsidR="00BC6BBC" w:rsidRDefault="00F73D22">
      <w:pPr>
        <w:pStyle w:val="Compact"/>
        <w:numPr>
          <w:ilvl w:val="0"/>
          <w:numId w:val="22"/>
        </w:numPr>
      </w:pPr>
      <w:r>
        <w:t>Non-steroidal inflammatory medications (NSAIDs) as long-term treatment, defined as use for at least 4 days a week each month.</w:t>
      </w:r>
    </w:p>
    <w:p w:rsidR="00BC6BBC" w:rsidRDefault="00F73D22">
      <w:pPr>
        <w:pStyle w:val="Compact"/>
        <w:numPr>
          <w:ilvl w:val="0"/>
          <w:numId w:val="22"/>
        </w:numPr>
      </w:pPr>
      <w:r>
        <w:t>Cholestyramine u</w:t>
      </w:r>
      <w:r>
        <w:t>se</w:t>
      </w:r>
    </w:p>
    <w:p w:rsidR="00BC6BBC" w:rsidRDefault="00F73D22">
      <w:pPr>
        <w:pStyle w:val="Compact"/>
        <w:numPr>
          <w:ilvl w:val="0"/>
          <w:numId w:val="22"/>
        </w:numPr>
      </w:pPr>
      <w:r>
        <w:t>Any condition in which the investigator thinks the FMT treatment may pose a health risk (e.g. severely immunocompromised)</w:t>
      </w:r>
    </w:p>
    <w:p w:rsidR="00BC6BBC" w:rsidRDefault="00F73D22">
      <w:pPr>
        <w:pStyle w:val="Compact"/>
        <w:numPr>
          <w:ilvl w:val="0"/>
          <w:numId w:val="22"/>
        </w:numPr>
      </w:pPr>
      <w:r>
        <w:t>Simultaneous participation in another interventional clinical trial</w:t>
      </w:r>
    </w:p>
    <w:p w:rsidR="00BC6BBC" w:rsidRDefault="00F73D22">
      <w:pPr>
        <w:pStyle w:val="Compact"/>
        <w:numPr>
          <w:ilvl w:val="0"/>
          <w:numId w:val="22"/>
        </w:numPr>
      </w:pPr>
      <w:r>
        <w:t>Patients who are pregnant, breast feeding or planning pregnancy</w:t>
      </w:r>
      <w:r>
        <w:t xml:space="preserve"> during study trial period.</w:t>
      </w:r>
    </w:p>
    <w:p w:rsidR="00BC6BBC" w:rsidRDefault="00F73D22">
      <w:pPr>
        <w:pStyle w:val="Compact"/>
        <w:numPr>
          <w:ilvl w:val="0"/>
          <w:numId w:val="22"/>
        </w:numPr>
      </w:pPr>
      <w:r>
        <w:t>During the trial period until one week after the trial end: Non-use of appropriate contraceptives in females of childbearing potential (e.g. condoms, intrauterine device (IUD), hormonal contraception, or other means considered a</w:t>
      </w:r>
      <w:r>
        <w:t>dequate by the responsible investigator) or in males with a child-fathering potential (condoms, or other means considered adequate by the responsible investigator during treatment) or well-founded doubt about the patient’s cooperation</w:t>
      </w:r>
    </w:p>
    <w:p w:rsidR="00BC6BBC" w:rsidRDefault="00F73D22">
      <w:pPr>
        <w:pStyle w:val="Compact"/>
        <w:numPr>
          <w:ilvl w:val="0"/>
          <w:numId w:val="22"/>
        </w:numPr>
      </w:pPr>
      <w:r>
        <w:t>Patients with any oth</w:t>
      </w:r>
      <w:r>
        <w:t>er significant medical condition that could confound or interfere with evaluation of safety, tolerability or prevent compliance with the study protocol at the discretion of the investigator</w:t>
      </w:r>
    </w:p>
    <w:p w:rsidR="00BC6BBC" w:rsidRDefault="00F73D22">
      <w:pPr>
        <w:pStyle w:val="Compact"/>
        <w:numPr>
          <w:ilvl w:val="0"/>
          <w:numId w:val="22"/>
        </w:numPr>
      </w:pPr>
      <w:r>
        <w:t>Life expectancy &lt;6 months</w:t>
      </w:r>
    </w:p>
    <w:p w:rsidR="00BC6BBC" w:rsidRDefault="00F73D22">
      <w:pPr>
        <w:pStyle w:val="Heading3"/>
      </w:pPr>
      <w:bookmarkStart w:id="30" w:name="X1849aae759cd45576c46156bd6058b0350b9caf"/>
      <w:bookmarkEnd w:id="26"/>
      <w:bookmarkEnd w:id="29"/>
      <w:r>
        <w:t>Supplementary Methods: Stool Sampling In</w:t>
      </w:r>
      <w:r>
        <w:t>structions to Patients</w:t>
      </w:r>
    </w:p>
    <w:p w:rsidR="00BC6BBC" w:rsidRDefault="00B6611C">
      <w:pPr>
        <w:pStyle w:val="FirstParagraph"/>
      </w:pPr>
      <w:r w:rsidRPr="00B6611C">
        <w:t>supplemental-2_v1.pdf</w:t>
      </w:r>
    </w:p>
    <w:p w:rsidR="00BC6BBC" w:rsidRDefault="00F73D22">
      <w:pPr>
        <w:pStyle w:val="Heading3"/>
      </w:pPr>
      <w:bookmarkStart w:id="31" w:name="X54f312c5f8b42efb82a82a086819f17f5c7a5c7"/>
      <w:bookmarkEnd w:id="30"/>
      <w:r>
        <w:t>Supplementary Methods: Clinical Laboratory Assessments</w:t>
      </w:r>
    </w:p>
    <w:p w:rsidR="00BC6BBC" w:rsidRDefault="00F73D22">
      <w:pPr>
        <w:pStyle w:val="TableCaption"/>
      </w:pPr>
      <w:bookmarkStart w:id="32" w:name="table8"/>
      <w:bookmarkStart w:id="33" w:name="tbl:assessments-list"/>
      <w:r>
        <w:t>Table </w:t>
      </w:r>
      <w:r w:rsidR="00B6611C">
        <w:t>S</w:t>
      </w:r>
      <w:r>
        <w:fldChar w:fldCharType="begin"/>
      </w:r>
      <w:r>
        <w:instrText xml:space="preserve">SEQ Table \* ARABIC </w:instrText>
      </w:r>
      <w:r>
        <w:fldChar w:fldCharType="separate"/>
      </w:r>
      <w:r>
        <w:t>8</w:t>
      </w:r>
      <w:r>
        <w:fldChar w:fldCharType="end"/>
      </w:r>
      <w:r>
        <w:t>:</w:t>
      </w:r>
      <w:bookmarkEnd w:id="32"/>
      <w:r>
        <w:t xml:space="preserve"> </w:t>
      </w:r>
      <w:r>
        <w:t>List of clinical laboratory assessments</w:t>
      </w:r>
    </w:p>
    <w:tbl>
      <w:tblPr>
        <w:tblW w:w="0" w:type="auto"/>
        <w:tblLook w:val="0020" w:firstRow="1" w:lastRow="0" w:firstColumn="0" w:lastColumn="0" w:noHBand="0" w:noVBand="0"/>
        <w:tblCaption w:val="Table 8: List of clinical laboratory assessments"/>
      </w:tblPr>
      <w:tblGrid>
        <w:gridCol w:w="2515"/>
      </w:tblGrid>
      <w:tr w:rsidR="00BC6BBC">
        <w:trPr>
          <w:tblHeader/>
        </w:trPr>
        <w:tc>
          <w:tcPr>
            <w:tcW w:w="0" w:type="auto"/>
          </w:tcPr>
          <w:p w:rsidR="00BC6BBC" w:rsidRDefault="00B6611C">
            <w:pPr>
              <w:pStyle w:val="Compact"/>
            </w:pPr>
            <w:r w:rsidRPr="00B6611C">
              <w:t>supplemental-3_v1.xlsx</w:t>
            </w:r>
          </w:p>
        </w:tc>
      </w:tr>
    </w:tbl>
    <w:p w:rsidR="00BC6BBC" w:rsidRDefault="00F73D22">
      <w:pPr>
        <w:pStyle w:val="Heading3"/>
      </w:pPr>
      <w:bookmarkStart w:id="34" w:name="supplementary-methods-sample-processing"/>
      <w:bookmarkEnd w:id="31"/>
      <w:bookmarkEnd w:id="33"/>
      <w:r>
        <w:t>Supplementary Methods: Sample Processing</w:t>
      </w:r>
    </w:p>
    <w:p w:rsidR="00BC6BBC" w:rsidRDefault="00F73D22">
      <w:pPr>
        <w:pStyle w:val="Heading4"/>
      </w:pPr>
      <w:bookmarkStart w:id="35" w:name="sample-collection-and-dna-extraction"/>
      <w:r>
        <w:lastRenderedPageBreak/>
        <w:t>Sample collection and DNA extraction</w:t>
      </w:r>
    </w:p>
    <w:p w:rsidR="00BC6BBC" w:rsidRDefault="00F73D22">
      <w:pPr>
        <w:pStyle w:val="FirstParagraph"/>
      </w:pPr>
      <w:r>
        <w:t>Patients were instructed to collect a stool sample into provided sample vials (Sarstedt faeces tubes cat. no. 80.734.311) before each study visit and either bring it refrigerated</w:t>
      </w:r>
      <w:r>
        <w:t xml:space="preserve"> to our clinic in-person or send it with a frozen cool pack via overnight courier. Upon delivery, stool specimens were stored at -80 °C until their analysis.</w:t>
      </w:r>
    </w:p>
    <w:p w:rsidR="00BC6BBC" w:rsidRDefault="00F73D22">
      <w:pPr>
        <w:pStyle w:val="BodyText"/>
      </w:pPr>
      <w:r>
        <w:t xml:space="preserve">DNA extraction from fecal samples was performed using the modified cetyltrimethylammonium bromide </w:t>
      </w:r>
      <w:r>
        <w:t>(CTAB) as previously described</w:t>
      </w:r>
      <w:hyperlink w:anchor="ref-Piceno2020">
        <w:r>
          <w:rPr>
            <w:rStyle w:val="Hyperlink"/>
            <w:vertAlign w:val="superscript"/>
          </w:rPr>
          <w:t>63</w:t>
        </w:r>
      </w:hyperlink>
      <w:r>
        <w:t>. In brief, ~0.3 g aliquot was taken from each frozen stool sample and suspended in 500 µL CTAB extraction buffer in a Lysing Matrix E tube (MP Biomedicals) by vortexing, followed by incu</w:t>
      </w:r>
      <w:r>
        <w:t>bation for 15 minutes at 65 °C. After adding 500 µL phenol:chloroform:isoamyl alcohol (25:24:1), the solution underwent bead-beating (5.5 m/s for 30 seconds), followed by centrifugation (16,000 g for 5 minutes at 4 °C). The resulting aqueous phase (approxi</w:t>
      </w:r>
      <w:r>
        <w:t>mately 400 µL) was transferred to a new 2 mL 96-well plate. An additional 500 µL CTAB extraction buffer was added to the fecal aliquot and both the bead-beating and centrifugation steps were repeated, resulting in approximately 800 µL. An equal volume of c</w:t>
      </w:r>
      <w:r>
        <w:t>hloroform was added and the solution was mixed and centrifuged (3,000 g for 10 minutes). The aqueous phase (approximately 600 µl) was transferred to another 2 mL 96-well plate, combined with 2-volume polyethylene glycol and stored at 4 °C overnight to prec</w:t>
      </w:r>
      <w:r>
        <w:t>ipitate DNA. Samples were then centrifuged (3,000 g for 60 minutes) to pellet DNA, washed twice with cold 70% EtOH, resuspended in sterile water and diluted to 10 ng DNA/µL (Qubit dsDNA BR Assay Kit; ThermoFisher Scientific, MA)</w:t>
      </w:r>
    </w:p>
    <w:p w:rsidR="00BC6BBC" w:rsidRDefault="00F73D22">
      <w:pPr>
        <w:pStyle w:val="Heading4"/>
      </w:pPr>
      <w:bookmarkStart w:id="36" w:name="sequencing"/>
      <w:bookmarkEnd w:id="35"/>
      <w:r>
        <w:t>Sequencing</w:t>
      </w:r>
    </w:p>
    <w:p w:rsidR="00BC6BBC" w:rsidRDefault="00F73D22">
      <w:pPr>
        <w:pStyle w:val="FirstParagraph"/>
      </w:pPr>
      <w:r>
        <w:t>For 16S rRNA gen</w:t>
      </w:r>
      <w:r>
        <w:t>e profiling, The V4 region was amplified as previously described</w:t>
      </w:r>
      <w:hyperlink w:anchor="ref-Piceno2020">
        <w:r>
          <w:rPr>
            <w:rStyle w:val="Hyperlink"/>
            <w:vertAlign w:val="superscript"/>
          </w:rPr>
          <w:t>63</w:t>
        </w:r>
      </w:hyperlink>
      <w:r>
        <w:t>. PCR reactions were performed with 0.625 U Hot Start ExTaq and 1x buffer, 200 µM dNTPs, 0.56 µL/µL BSA, 0.4 µM each forward (F515) and reverse (R806) pr</w:t>
      </w:r>
      <w:r>
        <w:t>imers in triplicate 25 µL reactions containing 10ng of template gDNA. Thermal cycling was set at: 98 °C for 2 minutes, 30 rounds of 98 °C for 20 sec, 50 °C for 30 sec, 72 °C for 45 sec, and a final extension at 72 °C for 10 minutes. Amplicons were normaliz</w:t>
      </w:r>
      <w:r>
        <w:t>ed (SequalPrep Normalization Plate Kit; ThermoFisher Scientific, MA), quantified (Qubit dsDNA BR Assay Kit; ThermoFisher Scientific, MA), pooled in equimolar concentrations, purified (Agencourt AMPure XP System; Beckman-Coulter), quantified (KAPA Library Q</w:t>
      </w:r>
      <w:r>
        <w:t>uantification Kit; KAPA Biosystems), and diluted to 2 nM. Equimolar PhiX spike-in control was added at 40% final volume, and the samples were sequenced on an Illumina NextSeq 500 Platform.</w:t>
      </w:r>
    </w:p>
    <w:p w:rsidR="00BC6BBC" w:rsidRDefault="00F73D22">
      <w:pPr>
        <w:pStyle w:val="BodyText"/>
      </w:pPr>
      <w:r>
        <w:t>For metagenomic sequencing, an aliquot of the extracted DNA was sen</w:t>
      </w:r>
      <w:r>
        <w:t>t to QB3 at the University of California, Berkeley &lt;</w:t>
      </w:r>
      <w:hyperlink r:id="rId9">
        <w:r>
          <w:rPr>
            <w:rStyle w:val="Hyperlink"/>
          </w:rPr>
          <w:t>https://qb3.berkeley.edu/</w:t>
        </w:r>
      </w:hyperlink>
      <w:r>
        <w:t>&gt; for sequencing on the NovaSeq 6000 platform using the 150PE Flow Cell S4 format.</w:t>
      </w:r>
    </w:p>
    <w:p w:rsidR="00BC6BBC" w:rsidRDefault="00F73D22">
      <w:pPr>
        <w:pStyle w:val="Heading4"/>
      </w:pPr>
      <w:bookmarkStart w:id="37" w:name="metabolomics"/>
      <w:bookmarkEnd w:id="36"/>
      <w:r>
        <w:t>Metabolomics</w:t>
      </w:r>
    </w:p>
    <w:p w:rsidR="00BC6BBC" w:rsidRDefault="00F73D22">
      <w:pPr>
        <w:pStyle w:val="FirstParagraph"/>
      </w:pPr>
      <w:r>
        <w:t>For metabolomics profiling, 112 fecal samples (200 mg) were provided to Metabolon (Durham, NC) who performed Ultrahigh Performance Liquid Chromotography/Tandem Mass Spectrometry (UPLC-MS/MS) and Gas Chromatography-Mass Spectrometry (GC-MS) based on standar</w:t>
      </w:r>
      <w:r>
        <w:t>dized published protocol &lt;</w:t>
      </w:r>
      <w:hyperlink r:id="rId10">
        <w:r>
          <w:rPr>
            <w:rStyle w:val="Hyperlink"/>
          </w:rPr>
          <w:t>http://www.metabolon.com/</w:t>
        </w:r>
      </w:hyperlink>
      <w:r>
        <w:t>&gt;. Detected molecules were identified through Metabolon’s library of purified standards, which encompasses &gt;3,300 commercially available compounds. This yielded</w:t>
      </w:r>
      <w:r>
        <w:t xml:space="preserve"> 1050 distinct metabolites among the samples, from which the 51 metabolites identified as primary and secondary bile acids were analyzed for this study. For </w:t>
      </w:r>
      <w:r>
        <w:lastRenderedPageBreak/>
        <w:t>each identified BA, peak intensities were normalized by the root mean squared intensity of that pea</w:t>
      </w:r>
      <w:r>
        <w:t>k across samples before downstream analysis.</w:t>
      </w:r>
    </w:p>
    <w:p w:rsidR="00BC6BBC" w:rsidRDefault="00F73D22">
      <w:pPr>
        <w:pStyle w:val="Heading3"/>
      </w:pPr>
      <w:bookmarkStart w:id="38" w:name="X59fbaca499e73d4948392863af17adfbafda0bc"/>
      <w:bookmarkEnd w:id="34"/>
      <w:bookmarkEnd w:id="37"/>
      <w:r>
        <w:t>Supplementary Methods: Microbiome profiling</w:t>
      </w:r>
    </w:p>
    <w:p w:rsidR="00BC6BBC" w:rsidRDefault="00F73D22">
      <w:pPr>
        <w:pStyle w:val="Heading4"/>
      </w:pPr>
      <w:bookmarkStart w:id="39" w:name="s-rrna-gene-amplicon-analysis"/>
      <w:r>
        <w:t>16S rRNA gene amplicon analysis</w:t>
      </w:r>
    </w:p>
    <w:p w:rsidR="00BC6BBC" w:rsidRDefault="00F73D22">
      <w:pPr>
        <w:pStyle w:val="FirstParagraph"/>
      </w:pPr>
      <w:r>
        <w:t>Raw amplicon sequencing data was processed as in</w:t>
      </w:r>
      <w:hyperlink w:anchor="ref-Piceno2020">
        <w:r>
          <w:rPr>
            <w:rStyle w:val="Hyperlink"/>
            <w:vertAlign w:val="superscript"/>
          </w:rPr>
          <w:t>63</w:t>
        </w:r>
      </w:hyperlink>
      <w:r>
        <w:t>. Briefly, sequencer output was converted to fas</w:t>
      </w:r>
      <w:r>
        <w:t>tq with bcl2fastq v2.16.0.10 &lt;</w:t>
      </w:r>
      <w:hyperlink r:id="rId11">
        <w:r>
          <w:rPr>
            <w:rStyle w:val="Hyperlink"/>
          </w:rPr>
          <w:t>https://support.illumina.com/sequencing/sequencing_software/bcl2fastq-conversion-software.html</w:t>
        </w:r>
      </w:hyperlink>
      <w:r>
        <w:t>&gt; and demultiplexe</w:t>
      </w:r>
      <w:r>
        <w:t>d by barcode with QIIME</w:t>
      </w:r>
      <w:hyperlink w:anchor="ref-Caporaso2010">
        <w:r>
          <w:rPr>
            <w:rStyle w:val="Hyperlink"/>
            <w:vertAlign w:val="superscript"/>
          </w:rPr>
          <w:t>64</w:t>
        </w:r>
      </w:hyperlink>
      <w:r>
        <w:t>. Quality-filtering via DADA2</w:t>
      </w:r>
      <w:hyperlink w:anchor="ref-Callahan2015">
        <w:r>
          <w:rPr>
            <w:rStyle w:val="Hyperlink"/>
            <w:vertAlign w:val="superscript"/>
          </w:rPr>
          <w:t>65</w:t>
        </w:r>
      </w:hyperlink>
      <w:r>
        <w:t xml:space="preserve"> was performed using the recommended settings with the following adjustments – maximum expected errors allowed ≤ 3, trunca</w:t>
      </w:r>
      <w:r>
        <w:t>tion length of 150 bases for R1 and 140 for R2; chimeric sequences were found using minFoldParentOverAbundance = 8. Taxonomy was assigned with SILVA database V132</w:t>
      </w:r>
      <w:hyperlink w:anchor="ref-Quast2013">
        <w:r>
          <w:rPr>
            <w:rStyle w:val="Hyperlink"/>
            <w:vertAlign w:val="superscript"/>
          </w:rPr>
          <w:t>66</w:t>
        </w:r>
      </w:hyperlink>
      <w:r>
        <w:rPr>
          <w:vertAlign w:val="superscript"/>
        </w:rPr>
        <w:t>,</w:t>
      </w:r>
      <w:hyperlink w:anchor="ref-Yilmaz2014">
        <w:r>
          <w:rPr>
            <w:rStyle w:val="Hyperlink"/>
            <w:vertAlign w:val="superscript"/>
          </w:rPr>
          <w:t>67</w:t>
        </w:r>
      </w:hyperlink>
      <w:r>
        <w:t xml:space="preserve"> to amplicon seq</w:t>
      </w:r>
      <w:r>
        <w:t>uence variants (ASV). Contaminant ASV were identified with the decontam</w:t>
      </w:r>
      <w:hyperlink w:anchor="ref-Davis2018">
        <w:r>
          <w:rPr>
            <w:rStyle w:val="Hyperlink"/>
            <w:vertAlign w:val="superscript"/>
          </w:rPr>
          <w:t>68</w:t>
        </w:r>
      </w:hyperlink>
      <w:r>
        <w:t xml:space="preserve"> package for R. ASV with &gt;2% of total read sums contributed by controls and those with &lt; 0.001% total read count across all samples were excluded. </w:t>
      </w:r>
      <w:r>
        <w:t>A phylogenetic tree was constructed using the phangorn</w:t>
      </w:r>
      <w:hyperlink w:anchor="ref-Schliep2011">
        <w:r>
          <w:rPr>
            <w:rStyle w:val="Hyperlink"/>
            <w:vertAlign w:val="superscript"/>
          </w:rPr>
          <w:t>69</w:t>
        </w:r>
      </w:hyperlink>
      <w:r>
        <w:rPr>
          <w:vertAlign w:val="superscript"/>
        </w:rPr>
        <w:t>,</w:t>
      </w:r>
      <w:hyperlink w:anchor="ref-Schliep2016">
        <w:r>
          <w:rPr>
            <w:rStyle w:val="Hyperlink"/>
            <w:vertAlign w:val="superscript"/>
          </w:rPr>
          <w:t>70</w:t>
        </w:r>
      </w:hyperlink>
      <w:r>
        <w:t>, msa</w:t>
      </w:r>
      <w:hyperlink w:anchor="ref-Bodenhofer2015">
        <w:r>
          <w:rPr>
            <w:rStyle w:val="Hyperlink"/>
            <w:vertAlign w:val="superscript"/>
          </w:rPr>
          <w:t>71</w:t>
        </w:r>
      </w:hyperlink>
      <w:r>
        <w:t>, and DECIPHER</w:t>
      </w:r>
      <w:hyperlink w:anchor="ref-Wright2016">
        <w:r>
          <w:rPr>
            <w:rStyle w:val="Hyperlink"/>
            <w:vertAlign w:val="superscript"/>
          </w:rPr>
          <w:t>72</w:t>
        </w:r>
      </w:hyperlink>
      <w:r>
        <w:t xml:space="preserve"> packages for R. Amp</w:t>
      </w:r>
      <w:r>
        <w:t>licon sequencing resulted in an average of 3.4e5 paired reads per sample after processing.</w:t>
      </w:r>
    </w:p>
    <w:p w:rsidR="00BC6BBC" w:rsidRDefault="00F73D22">
      <w:pPr>
        <w:pStyle w:val="Heading4"/>
      </w:pPr>
      <w:bookmarkStart w:id="40" w:name="metagenomic-reads-pre-processing"/>
      <w:bookmarkEnd w:id="39"/>
      <w:r>
        <w:t>Metagenomic reads pre-processing</w:t>
      </w:r>
    </w:p>
    <w:p w:rsidR="00BC6BBC" w:rsidRDefault="00F73D22">
      <w:pPr>
        <w:pStyle w:val="FirstParagraph"/>
      </w:pPr>
      <w:r>
        <w:t>Metagenomic sequences were deduplicated using FastUniq</w:t>
      </w:r>
      <w:hyperlink w:anchor="ref-Xu2012">
        <w:r>
          <w:rPr>
            <w:rStyle w:val="Hyperlink"/>
            <w:vertAlign w:val="superscript"/>
          </w:rPr>
          <w:t>73</w:t>
        </w:r>
      </w:hyperlink>
      <w:r>
        <w:t>, any contaminating adapter sequence remove</w:t>
      </w:r>
      <w:r>
        <w:t>d using Scythe</w:t>
      </w:r>
      <w:hyperlink w:anchor="ref-Buffalo2018">
        <w:r>
          <w:rPr>
            <w:rStyle w:val="Hyperlink"/>
            <w:vertAlign w:val="superscript"/>
          </w:rPr>
          <w:t>74</w:t>
        </w:r>
      </w:hyperlink>
      <w:r>
        <w:t>, and then quality trimmed with Sickle</w:t>
      </w:r>
      <w:hyperlink w:anchor="ref-Joshi2011">
        <w:r>
          <w:rPr>
            <w:rStyle w:val="Hyperlink"/>
            <w:vertAlign w:val="superscript"/>
          </w:rPr>
          <w:t>75</w:t>
        </w:r>
      </w:hyperlink>
      <w:r>
        <w:t>. Any cleaned reads that mapped to the human reference genome (GRCh38</w:t>
      </w:r>
      <w:hyperlink w:anchor="ref-Schneider2017">
        <w:r>
          <w:rPr>
            <w:rStyle w:val="Hyperlink"/>
            <w:vertAlign w:val="superscript"/>
          </w:rPr>
          <w:t>76</w:t>
        </w:r>
      </w:hyperlink>
      <w:r>
        <w:t>) using Bowtie2</w:t>
      </w:r>
      <w:hyperlink w:anchor="ref-Langmead2012">
        <w:r>
          <w:rPr>
            <w:rStyle w:val="Hyperlink"/>
            <w:vertAlign w:val="superscript"/>
          </w:rPr>
          <w:t>77</w:t>
        </w:r>
      </w:hyperlink>
      <w:r>
        <w:t xml:space="preserve"> were removed. Shotgun metagenomic sequencing resulted in 4.9e7 paired reads per sample after processing.</w:t>
      </w:r>
    </w:p>
    <w:p w:rsidR="00BC6BBC" w:rsidRDefault="00F73D22">
      <w:pPr>
        <w:pStyle w:val="Heading4"/>
      </w:pPr>
      <w:bookmarkStart w:id="41" w:name="functional-gene-profiling"/>
      <w:bookmarkEnd w:id="40"/>
      <w:r>
        <w:t>Functional gene profiling</w:t>
      </w:r>
    </w:p>
    <w:p w:rsidR="00BC6BBC" w:rsidRDefault="00F73D22">
      <w:pPr>
        <w:pStyle w:val="FirstParagraph"/>
      </w:pPr>
      <w:r>
        <w:t>Reads were annotated with presumed functions by first identifying homology to the U</w:t>
      </w:r>
      <w:r>
        <w:t>HGP-50 (50% identity clusters,</w:t>
      </w:r>
      <w:hyperlink w:anchor="ref-Almeida2021">
        <w:r>
          <w:rPr>
            <w:rStyle w:val="Hyperlink"/>
            <w:vertAlign w:val="superscript"/>
          </w:rPr>
          <w:t>58</w:t>
        </w:r>
      </w:hyperlink>
      <w:r>
        <w:t>) reference database using DIAMOND</w:t>
      </w:r>
      <w:hyperlink w:anchor="ref-Buchfink2014">
        <w:r>
          <w:rPr>
            <w:rStyle w:val="Hyperlink"/>
            <w:vertAlign w:val="superscript"/>
          </w:rPr>
          <w:t>78</w:t>
        </w:r>
      </w:hyperlink>
      <w:r>
        <w:t>, a fast implementation of the BLASTX algorithm</w:t>
      </w:r>
      <w:hyperlink w:anchor="ref-Altschul1990">
        <w:r>
          <w:rPr>
            <w:rStyle w:val="Hyperlink"/>
            <w:vertAlign w:val="superscript"/>
          </w:rPr>
          <w:t>79</w:t>
        </w:r>
      </w:hyperlink>
      <w:r>
        <w:t xml:space="preserve">. All top hits to this </w:t>
      </w:r>
      <w:r>
        <w:t>database were tallied for each sample. UHGP-50 hits were subsequently annotated with KEGG Orthology (KO) numbers based on assignments previously generated for the UHGP using EggNOG-mapper</w:t>
      </w:r>
      <w:hyperlink w:anchor="ref-Huerta-Cepas2017">
        <w:r>
          <w:rPr>
            <w:rStyle w:val="Hyperlink"/>
            <w:vertAlign w:val="superscript"/>
          </w:rPr>
          <w:t>80</w:t>
        </w:r>
      </w:hyperlink>
      <w:r>
        <w:t>. Tallies of reads mappi</w:t>
      </w:r>
      <w:r>
        <w:t>ng to these annotations were not corrected for gene length.</w:t>
      </w:r>
    </w:p>
    <w:p w:rsidR="00BC6BBC" w:rsidRDefault="00F73D22">
      <w:pPr>
        <w:pStyle w:val="Heading2"/>
      </w:pPr>
      <w:bookmarkStart w:id="42" w:name="references"/>
      <w:bookmarkEnd w:id="0"/>
      <w:bookmarkEnd w:id="38"/>
      <w:bookmarkEnd w:id="41"/>
      <w:r>
        <w:t>References</w:t>
      </w:r>
    </w:p>
    <w:p w:rsidR="00BC6BBC" w:rsidRDefault="00F73D22">
      <w:pPr>
        <w:pStyle w:val="Bibliography"/>
      </w:pPr>
      <w:bookmarkStart w:id="43" w:name="refs"/>
      <w:bookmarkStart w:id="44" w:name="ref-Piceno2020"/>
      <w:r>
        <w:t xml:space="preserve">63. </w:t>
      </w:r>
      <w:r>
        <w:tab/>
        <w:t xml:space="preserve">Piceno, Y. M. </w:t>
      </w:r>
      <w:r>
        <w:rPr>
          <w:i/>
          <w:iCs/>
        </w:rPr>
        <w:t>et al.</w:t>
      </w:r>
      <w:r>
        <w:t xml:space="preserve"> Reduced Mucosal Inflammation and Select Alterations in the Viable Mucosa-Associated Microbiota Observed in Clinically-Responsive Ulcerative Colitis Patients Following A Single Fecal Microb</w:t>
      </w:r>
      <w:r>
        <w:t xml:space="preserve">iota Transplantation in a Pilot Study Evaluating Safety and Efficacy. </w:t>
      </w:r>
      <w:r>
        <w:rPr>
          <w:b/>
          <w:bCs/>
        </w:rPr>
        <w:t>3</w:t>
      </w:r>
      <w:r>
        <w:t>, 27 (2020).</w:t>
      </w:r>
    </w:p>
    <w:p w:rsidR="00BC6BBC" w:rsidRDefault="00F73D22">
      <w:pPr>
        <w:pStyle w:val="Bibliography"/>
      </w:pPr>
      <w:bookmarkStart w:id="45" w:name="ref-Caporaso2010"/>
      <w:bookmarkEnd w:id="44"/>
      <w:r>
        <w:t xml:space="preserve">64. </w:t>
      </w:r>
      <w:r>
        <w:tab/>
        <w:t xml:space="preserve">Caporaso, J. G. </w:t>
      </w:r>
      <w:r>
        <w:rPr>
          <w:i/>
          <w:iCs/>
        </w:rPr>
        <w:t>et al.</w:t>
      </w:r>
      <w:r>
        <w:t xml:space="preserve"> QIIME allows analysis of high-throughput community sequencing data. </w:t>
      </w:r>
      <w:r>
        <w:rPr>
          <w:i/>
          <w:iCs/>
        </w:rPr>
        <w:t>Nat. Methods</w:t>
      </w:r>
      <w:r>
        <w:t xml:space="preserve"> </w:t>
      </w:r>
      <w:r>
        <w:rPr>
          <w:b/>
          <w:bCs/>
        </w:rPr>
        <w:t>7</w:t>
      </w:r>
      <w:r>
        <w:t>, 335–336 (2010).</w:t>
      </w:r>
    </w:p>
    <w:p w:rsidR="00BC6BBC" w:rsidRDefault="00F73D22">
      <w:pPr>
        <w:pStyle w:val="Bibliography"/>
      </w:pPr>
      <w:bookmarkStart w:id="46" w:name="ref-Callahan2015"/>
      <w:bookmarkEnd w:id="45"/>
      <w:r>
        <w:t xml:space="preserve">65. </w:t>
      </w:r>
      <w:r>
        <w:tab/>
        <w:t xml:space="preserve">Callahan, B. J. </w:t>
      </w:r>
      <w:r>
        <w:rPr>
          <w:i/>
          <w:iCs/>
        </w:rPr>
        <w:t>et al.</w:t>
      </w:r>
      <w:r>
        <w:t xml:space="preserve"> DADA2 : High </w:t>
      </w:r>
      <w:r>
        <w:t xml:space="preserve">resolution sample inference from amplicon data. </w:t>
      </w:r>
      <w:r>
        <w:rPr>
          <w:i/>
          <w:iCs/>
        </w:rPr>
        <w:t>bioRxiv</w:t>
      </w:r>
      <w:r>
        <w:t xml:space="preserve"> </w:t>
      </w:r>
      <w:r>
        <w:rPr>
          <w:b/>
          <w:bCs/>
        </w:rPr>
        <w:t>13</w:t>
      </w:r>
      <w:r>
        <w:t>, 0–14 (2015).</w:t>
      </w:r>
    </w:p>
    <w:p w:rsidR="00BC6BBC" w:rsidRDefault="00F73D22">
      <w:pPr>
        <w:pStyle w:val="Bibliography"/>
      </w:pPr>
      <w:bookmarkStart w:id="47" w:name="ref-Quast2013"/>
      <w:bookmarkEnd w:id="46"/>
      <w:r>
        <w:lastRenderedPageBreak/>
        <w:t xml:space="preserve">66. </w:t>
      </w:r>
      <w:r>
        <w:tab/>
        <w:t xml:space="preserve">Quast, C. </w:t>
      </w:r>
      <w:r>
        <w:rPr>
          <w:i/>
          <w:iCs/>
        </w:rPr>
        <w:t>et al.</w:t>
      </w:r>
      <w:r>
        <w:t xml:space="preserve"> The SILVA ribosomal RNA gene database project: Improved data processing and web-based tools. </w:t>
      </w:r>
      <w:r>
        <w:rPr>
          <w:i/>
          <w:iCs/>
        </w:rPr>
        <w:t>Nucleic Acids Res.</w:t>
      </w:r>
      <w:r>
        <w:t xml:space="preserve"> </w:t>
      </w:r>
      <w:r>
        <w:rPr>
          <w:b/>
          <w:bCs/>
        </w:rPr>
        <w:t>41</w:t>
      </w:r>
      <w:r>
        <w:t>, D590–D596 (2013).</w:t>
      </w:r>
    </w:p>
    <w:p w:rsidR="00BC6BBC" w:rsidRDefault="00F73D22">
      <w:pPr>
        <w:pStyle w:val="Bibliography"/>
      </w:pPr>
      <w:bookmarkStart w:id="48" w:name="ref-Yilmaz2014"/>
      <w:bookmarkEnd w:id="47"/>
      <w:r>
        <w:t xml:space="preserve">67. </w:t>
      </w:r>
      <w:r>
        <w:tab/>
        <w:t xml:space="preserve">Yilmaz, P. </w:t>
      </w:r>
      <w:r>
        <w:rPr>
          <w:i/>
          <w:iCs/>
        </w:rPr>
        <w:t>et al.</w:t>
      </w:r>
      <w:r>
        <w:t xml:space="preserve"> The </w:t>
      </w:r>
      <w:r>
        <w:t xml:space="preserve">SILVA and "all-species Living Tree Project (LTP)" taxonomic frameworks. </w:t>
      </w:r>
      <w:r>
        <w:rPr>
          <w:i/>
          <w:iCs/>
        </w:rPr>
        <w:t>Nucleic Acids Res.</w:t>
      </w:r>
      <w:r>
        <w:t xml:space="preserve"> </w:t>
      </w:r>
      <w:r>
        <w:rPr>
          <w:b/>
          <w:bCs/>
        </w:rPr>
        <w:t>42</w:t>
      </w:r>
      <w:r>
        <w:t>, 643–648 (2014).</w:t>
      </w:r>
    </w:p>
    <w:p w:rsidR="00BC6BBC" w:rsidRDefault="00F73D22">
      <w:pPr>
        <w:pStyle w:val="Bibliography"/>
      </w:pPr>
      <w:bookmarkStart w:id="49" w:name="ref-Davis2018"/>
      <w:bookmarkEnd w:id="48"/>
      <w:r>
        <w:t xml:space="preserve">68. </w:t>
      </w:r>
      <w:r>
        <w:tab/>
        <w:t>Davis, N. M., Proctor, D. M., Holmes, S. P., Relman, D. A. &amp; Callahan, B. J. Simple statistical identification and removal of contaminant se</w:t>
      </w:r>
      <w:r>
        <w:t xml:space="preserve">quences in marker-gene and metagenomics data. </w:t>
      </w:r>
      <w:r>
        <w:rPr>
          <w:i/>
          <w:iCs/>
        </w:rPr>
        <w:t>Microbiome</w:t>
      </w:r>
      <w:r>
        <w:t xml:space="preserve"> </w:t>
      </w:r>
      <w:r>
        <w:rPr>
          <w:b/>
          <w:bCs/>
        </w:rPr>
        <w:t>6</w:t>
      </w:r>
      <w:r>
        <w:t>, 226 (2018).</w:t>
      </w:r>
    </w:p>
    <w:p w:rsidR="00BC6BBC" w:rsidRDefault="00F73D22">
      <w:pPr>
        <w:pStyle w:val="Bibliography"/>
      </w:pPr>
      <w:bookmarkStart w:id="50" w:name="ref-Schliep2011"/>
      <w:bookmarkEnd w:id="49"/>
      <w:r>
        <w:t xml:space="preserve">69. </w:t>
      </w:r>
      <w:r>
        <w:tab/>
        <w:t xml:space="preserve">Schliep, K. P. Phangorn: Phylogenetic analysis in R. </w:t>
      </w:r>
      <w:r>
        <w:rPr>
          <w:i/>
          <w:iCs/>
        </w:rPr>
        <w:t>Bioinformatics</w:t>
      </w:r>
      <w:r>
        <w:t xml:space="preserve"> </w:t>
      </w:r>
      <w:r>
        <w:rPr>
          <w:b/>
          <w:bCs/>
        </w:rPr>
        <w:t>27</w:t>
      </w:r>
      <w:r>
        <w:t>, 592–593 (2011).</w:t>
      </w:r>
    </w:p>
    <w:p w:rsidR="00BC6BBC" w:rsidRDefault="00F73D22">
      <w:pPr>
        <w:pStyle w:val="Bibliography"/>
      </w:pPr>
      <w:bookmarkStart w:id="51" w:name="ref-Schliep2016"/>
      <w:bookmarkEnd w:id="50"/>
      <w:r>
        <w:t xml:space="preserve">70. </w:t>
      </w:r>
      <w:r>
        <w:tab/>
        <w:t xml:space="preserve">Schliep, K., Potts, A. A., Morrison, D. A. &amp; Grimm, G. W. </w:t>
      </w:r>
      <w:r>
        <w:rPr>
          <w:i/>
          <w:iCs/>
        </w:rPr>
        <w:t>Intertwining phylogenetic tr</w:t>
      </w:r>
      <w:r>
        <w:rPr>
          <w:i/>
          <w:iCs/>
        </w:rPr>
        <w:t>ees and networks</w:t>
      </w:r>
      <w:r>
        <w:t xml:space="preserve">. </w:t>
      </w:r>
      <w:hyperlink r:id="rId12">
        <w:r>
          <w:rPr>
            <w:rStyle w:val="Hyperlink"/>
          </w:rPr>
          <w:t>https://peerj.com/preprints/2054v1</w:t>
        </w:r>
      </w:hyperlink>
      <w:r>
        <w:t xml:space="preserve"> (2016) doi:</w:t>
      </w:r>
      <w:hyperlink r:id="rId13">
        <w:r>
          <w:rPr>
            <w:rStyle w:val="Hyperlink"/>
          </w:rPr>
          <w:t>10.7287/peerj.preprints.2054v1</w:t>
        </w:r>
      </w:hyperlink>
      <w:r>
        <w:t>.</w:t>
      </w:r>
    </w:p>
    <w:p w:rsidR="00BC6BBC" w:rsidRDefault="00F73D22">
      <w:pPr>
        <w:pStyle w:val="Bibliography"/>
      </w:pPr>
      <w:bookmarkStart w:id="52" w:name="ref-Bodenhofer2015"/>
      <w:bookmarkEnd w:id="51"/>
      <w:r>
        <w:t xml:space="preserve">71. </w:t>
      </w:r>
      <w:r>
        <w:tab/>
      </w:r>
      <w:r>
        <w:t xml:space="preserve">Bodenhofer, U., Bonatesta, E., Horejš-Kainrath, C. &amp; Hochreiter, S. Msa: An R package for multiple sequence alignment. </w:t>
      </w:r>
      <w:r>
        <w:rPr>
          <w:i/>
          <w:iCs/>
        </w:rPr>
        <w:t>Bioinformatics</w:t>
      </w:r>
      <w:r>
        <w:t xml:space="preserve"> </w:t>
      </w:r>
      <w:r>
        <w:rPr>
          <w:b/>
          <w:bCs/>
        </w:rPr>
        <w:t>31</w:t>
      </w:r>
      <w:r>
        <w:t>, 3997–3999 (2015).</w:t>
      </w:r>
    </w:p>
    <w:p w:rsidR="00BC6BBC" w:rsidRDefault="00F73D22">
      <w:pPr>
        <w:pStyle w:val="Bibliography"/>
      </w:pPr>
      <w:bookmarkStart w:id="53" w:name="ref-Wright2016"/>
      <w:bookmarkEnd w:id="52"/>
      <w:r>
        <w:t xml:space="preserve">72. </w:t>
      </w:r>
      <w:r>
        <w:tab/>
        <w:t xml:space="preserve">Wright, E., S. Using DECIPHER v2.0 to Analyze Big Biological Sequence Data in R. </w:t>
      </w:r>
      <w:r>
        <w:rPr>
          <w:i/>
          <w:iCs/>
        </w:rPr>
        <w:t>The R Journal</w:t>
      </w:r>
      <w:r>
        <w:t xml:space="preserve"> </w:t>
      </w:r>
      <w:r>
        <w:rPr>
          <w:b/>
          <w:bCs/>
        </w:rPr>
        <w:t>8</w:t>
      </w:r>
      <w:r>
        <w:t>, 352 (2016).</w:t>
      </w:r>
    </w:p>
    <w:p w:rsidR="00BC6BBC" w:rsidRDefault="00F73D22">
      <w:pPr>
        <w:pStyle w:val="Bibliography"/>
      </w:pPr>
      <w:bookmarkStart w:id="54" w:name="ref-Xu2012"/>
      <w:bookmarkEnd w:id="53"/>
      <w:r>
        <w:t xml:space="preserve">73. </w:t>
      </w:r>
      <w:r>
        <w:tab/>
        <w:t xml:space="preserve">Xu, H. </w:t>
      </w:r>
      <w:r>
        <w:rPr>
          <w:i/>
          <w:iCs/>
        </w:rPr>
        <w:t>et al.</w:t>
      </w:r>
      <w:r>
        <w:t xml:space="preserve"> FastUniq: A fast </w:t>
      </w:r>
      <w:r>
        <w:rPr>
          <w:i/>
          <w:iCs/>
        </w:rPr>
        <w:t>de novo</w:t>
      </w:r>
      <w:r>
        <w:t xml:space="preserve"> duplicates removal tool for paired short reads. </w:t>
      </w:r>
      <w:r>
        <w:rPr>
          <w:i/>
          <w:iCs/>
        </w:rPr>
        <w:t>PLoS ONE</w:t>
      </w:r>
      <w:r>
        <w:t xml:space="preserve"> </w:t>
      </w:r>
      <w:r>
        <w:rPr>
          <w:b/>
          <w:bCs/>
        </w:rPr>
        <w:t>7</w:t>
      </w:r>
      <w:r>
        <w:t>, 1–6 (2012).</w:t>
      </w:r>
    </w:p>
    <w:p w:rsidR="00BC6BBC" w:rsidRDefault="00F73D22">
      <w:pPr>
        <w:pStyle w:val="Bibliography"/>
      </w:pPr>
      <w:bookmarkStart w:id="55" w:name="ref-Buffalo2018"/>
      <w:bookmarkEnd w:id="54"/>
      <w:r>
        <w:t xml:space="preserve">74. </w:t>
      </w:r>
      <w:r>
        <w:tab/>
        <w:t xml:space="preserve">Buffalo, V. </w:t>
      </w:r>
      <w:r>
        <w:rPr>
          <w:i/>
          <w:iCs/>
        </w:rPr>
        <w:t>Scythe - A Bayesian adapter trimmer</w:t>
      </w:r>
      <w:r>
        <w:t>. (2018).</w:t>
      </w:r>
    </w:p>
    <w:p w:rsidR="00BC6BBC" w:rsidRDefault="00F73D22">
      <w:pPr>
        <w:pStyle w:val="Bibliography"/>
      </w:pPr>
      <w:bookmarkStart w:id="56" w:name="ref-Joshi2011"/>
      <w:bookmarkEnd w:id="55"/>
      <w:r>
        <w:t xml:space="preserve">75. </w:t>
      </w:r>
      <w:r>
        <w:tab/>
        <w:t>Joshi, N. A. &amp; Fass, J. N. Sickle: A sliding-window, adapt</w:t>
      </w:r>
      <w:r>
        <w:t xml:space="preserve">ive, quality-based trimming tool for FastQ files (Version 1.33). </w:t>
      </w:r>
      <w:hyperlink r:id="rId14">
        <w:r>
          <w:rPr>
            <w:rStyle w:val="Hyperlink"/>
          </w:rPr>
          <w:t>https://github.com/najoshi/sickle</w:t>
        </w:r>
      </w:hyperlink>
      <w:r>
        <w:t xml:space="preserve"> (2011).</w:t>
      </w:r>
    </w:p>
    <w:p w:rsidR="00BC6BBC" w:rsidRDefault="00F73D22">
      <w:pPr>
        <w:pStyle w:val="Bibliography"/>
      </w:pPr>
      <w:bookmarkStart w:id="57" w:name="ref-Schneider2017"/>
      <w:bookmarkEnd w:id="56"/>
      <w:r>
        <w:t xml:space="preserve">76. </w:t>
      </w:r>
      <w:r>
        <w:tab/>
        <w:t xml:space="preserve">Schneider, V. A. </w:t>
      </w:r>
      <w:r>
        <w:rPr>
          <w:i/>
          <w:iCs/>
        </w:rPr>
        <w:t>et al.</w:t>
      </w:r>
      <w:r>
        <w:t xml:space="preserve"> Evaluation of GRCh38 and de novo haploid genome assemblies demonstr</w:t>
      </w:r>
      <w:r>
        <w:t xml:space="preserve">ates the enduring quality of the reference assembly. </w:t>
      </w:r>
      <w:r>
        <w:rPr>
          <w:i/>
          <w:iCs/>
        </w:rPr>
        <w:t>Genome Res.</w:t>
      </w:r>
      <w:r>
        <w:t xml:space="preserve"> </w:t>
      </w:r>
      <w:r>
        <w:rPr>
          <w:b/>
          <w:bCs/>
        </w:rPr>
        <w:t>27</w:t>
      </w:r>
      <w:r>
        <w:t>, 849–864 (2017).</w:t>
      </w:r>
    </w:p>
    <w:p w:rsidR="00BC6BBC" w:rsidRDefault="00F73D22">
      <w:pPr>
        <w:pStyle w:val="Bibliography"/>
      </w:pPr>
      <w:bookmarkStart w:id="58" w:name="ref-Langmead2012"/>
      <w:bookmarkEnd w:id="57"/>
      <w:r>
        <w:t xml:space="preserve">77. </w:t>
      </w:r>
      <w:r>
        <w:tab/>
        <w:t xml:space="preserve">Langmead, B. &amp; Salzberg, S. L. Fast gapped-read alignment with Bowtie 2. </w:t>
      </w:r>
      <w:r>
        <w:rPr>
          <w:i/>
          <w:iCs/>
        </w:rPr>
        <w:t>Nat. Methods</w:t>
      </w:r>
      <w:r>
        <w:t xml:space="preserve"> </w:t>
      </w:r>
      <w:r>
        <w:rPr>
          <w:b/>
          <w:bCs/>
        </w:rPr>
        <w:t>9</w:t>
      </w:r>
      <w:r>
        <w:t>, 357–359 (2012).</w:t>
      </w:r>
    </w:p>
    <w:p w:rsidR="00BC6BBC" w:rsidRDefault="00F73D22">
      <w:pPr>
        <w:pStyle w:val="Bibliography"/>
      </w:pPr>
      <w:bookmarkStart w:id="59" w:name="ref-Buchfink2014"/>
      <w:bookmarkEnd w:id="58"/>
      <w:r>
        <w:t xml:space="preserve">78. </w:t>
      </w:r>
      <w:r>
        <w:tab/>
        <w:t xml:space="preserve">Buchfink, B., Xie, C. &amp; Huson, D. H. Fast and sensitive </w:t>
      </w:r>
      <w:r>
        <w:t xml:space="preserve">protein alignment using DIAMOND. </w:t>
      </w:r>
      <w:r>
        <w:rPr>
          <w:i/>
          <w:iCs/>
        </w:rPr>
        <w:t>Nat. Methods</w:t>
      </w:r>
      <w:r>
        <w:t xml:space="preserve"> </w:t>
      </w:r>
      <w:r>
        <w:rPr>
          <w:b/>
          <w:bCs/>
        </w:rPr>
        <w:t>12</w:t>
      </w:r>
      <w:r>
        <w:t>, 59–60 (2014).</w:t>
      </w:r>
    </w:p>
    <w:p w:rsidR="00BC6BBC" w:rsidRDefault="00F73D22">
      <w:pPr>
        <w:pStyle w:val="Bibliography"/>
      </w:pPr>
      <w:bookmarkStart w:id="60" w:name="ref-Altschul1990"/>
      <w:bookmarkEnd w:id="59"/>
      <w:r>
        <w:t xml:space="preserve">79. </w:t>
      </w:r>
      <w:r>
        <w:tab/>
        <w:t xml:space="preserve">Altschul, S. F., Gish, W., Miller, W., Myers, E. W. &amp; Lipman, D. J. Basic local alignment search tool. </w:t>
      </w:r>
      <w:r>
        <w:rPr>
          <w:i/>
          <w:iCs/>
        </w:rPr>
        <w:t>J. Mol. Biol.</w:t>
      </w:r>
      <w:r>
        <w:t xml:space="preserve"> </w:t>
      </w:r>
      <w:r>
        <w:rPr>
          <w:b/>
          <w:bCs/>
        </w:rPr>
        <w:t>215</w:t>
      </w:r>
      <w:r>
        <w:t>, 403–410 (1990).</w:t>
      </w:r>
    </w:p>
    <w:p w:rsidR="00BC6BBC" w:rsidRDefault="00F73D22">
      <w:pPr>
        <w:pStyle w:val="Bibliography"/>
      </w:pPr>
      <w:bookmarkStart w:id="61" w:name="ref-Huerta-Cepas2017"/>
      <w:bookmarkEnd w:id="60"/>
      <w:r>
        <w:t xml:space="preserve">80. </w:t>
      </w:r>
      <w:r>
        <w:tab/>
        <w:t xml:space="preserve">Huerta-Cepas, J. </w:t>
      </w:r>
      <w:r>
        <w:rPr>
          <w:i/>
          <w:iCs/>
        </w:rPr>
        <w:t>et al.</w:t>
      </w:r>
      <w:r>
        <w:t xml:space="preserve"> Fast Genome-Wide Fun</w:t>
      </w:r>
      <w:r>
        <w:t xml:space="preserve">ctional Annotation through Orthology Assignment by eggNOG-Mapper. </w:t>
      </w:r>
      <w:r>
        <w:rPr>
          <w:i/>
          <w:iCs/>
        </w:rPr>
        <w:t>Molecular Biology and Evolution</w:t>
      </w:r>
      <w:r>
        <w:t xml:space="preserve"> </w:t>
      </w:r>
      <w:r>
        <w:rPr>
          <w:b/>
          <w:bCs/>
        </w:rPr>
        <w:t>34</w:t>
      </w:r>
      <w:r>
        <w:t>, 2115–2122 (2017).</w:t>
      </w:r>
      <w:bookmarkEnd w:id="42"/>
      <w:bookmarkEnd w:id="43"/>
      <w:bookmarkEnd w:id="61"/>
    </w:p>
    <w:sectPr w:rsidR="00BC6BBC" w:rsidSect="00A56714">
      <w:headerReference w:type="even" r:id="rId15"/>
      <w:headerReference w:type="defaul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3D22" w:rsidRDefault="00F73D22">
      <w:pPr>
        <w:spacing w:before="0" w:after="0" w:line="240" w:lineRule="auto"/>
      </w:pPr>
      <w:r>
        <w:separator/>
      </w:r>
    </w:p>
  </w:endnote>
  <w:endnote w:type="continuationSeparator" w:id="0">
    <w:p w:rsidR="00F73D22" w:rsidRDefault="00F73D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3D22" w:rsidRDefault="00F73D22">
      <w:r>
        <w:separator/>
      </w:r>
    </w:p>
  </w:footnote>
  <w:footnote w:type="continuationSeparator" w:id="0">
    <w:p w:rsidR="00F73D22" w:rsidRDefault="00F73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F73D22" w:rsidP="00603E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F73D22" w:rsidP="00F705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Default="00F73D22" w:rsidP="00603E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7051E" w:rsidRDefault="00F73D22" w:rsidP="00F705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2442827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B5E065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192357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342765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33E2D0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5CE3F1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85EA0A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0E0829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C8E3F9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EAA50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FA611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2A8F0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BC"/>
    <w:rsid w:val="001805D2"/>
    <w:rsid w:val="00284E8F"/>
    <w:rsid w:val="00297C60"/>
    <w:rsid w:val="002F4A71"/>
    <w:rsid w:val="00B6611C"/>
    <w:rsid w:val="00BC6BBC"/>
    <w:rsid w:val="00CC7C25"/>
    <w:rsid w:val="00D2213E"/>
    <w:rsid w:val="00E11998"/>
    <w:rsid w:val="00E31B07"/>
    <w:rsid w:val="00F73D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591784"/>
  <w15:docId w15:val="{6D5CCA88-0EF7-5443-A640-3CB2087E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CF3"/>
    <w:pPr>
      <w:spacing w:before="180" w:after="180" w:line="360" w:lineRule="auto"/>
    </w:pPr>
    <w:rPr>
      <w:sz w:val="22"/>
      <w:szCs w:val="22"/>
    </w:rPr>
  </w:style>
  <w:style w:type="paragraph" w:styleId="Heading1">
    <w:name w:val="heading 1"/>
    <w:basedOn w:val="Normal"/>
    <w:next w:val="BodyText"/>
    <w:uiPriority w:val="9"/>
    <w:qFormat/>
    <w:rsid w:val="00BD6E7F"/>
    <w:pPr>
      <w:keepNext/>
      <w:keepLines/>
      <w:spacing w:before="480" w:after="0"/>
      <w:outlineLvl w:val="0"/>
    </w:pPr>
    <w:rPr>
      <w:rFonts w:ascii="Arial" w:eastAsiaTheme="majorEastAsia" w:hAnsi="Arial" w:cs="Arial"/>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ascii="Arial" w:eastAsiaTheme="majorEastAsia" w:hAnsi="Arial" w:cs="Arial"/>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ascii="Arial" w:eastAsiaTheme="majorEastAsia" w:hAnsi="Arial" w:cs="Arial"/>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pPr>
      <w:spacing w:line="240" w:lineRule="auto"/>
    </w:pPr>
    <w:rPr>
      <w:rFonts w:ascii="Arial" w:hAnsi="Arial" w:cs="Arial"/>
    </w:rPr>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pPr>
      <w:spacing w:line="240" w:lineRule="auto"/>
    </w:pPr>
    <w:rPr>
      <w:rFonts w:ascii="Arial" w:hAnsi="Arial"/>
    </w:rPr>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rFonts w:ascii="Arial" w:hAnsi="Arial"/>
      <w:i/>
      <w:sz w:val="20"/>
    </w:rPr>
  </w:style>
  <w:style w:type="paragraph" w:customStyle="1" w:styleId="TableCaption">
    <w:name w:val="Table Caption"/>
    <w:basedOn w:val="Caption"/>
    <w:rsid w:val="00A81C6E"/>
    <w:pPr>
      <w:keepNext/>
      <w:spacing w:after="180" w:line="240" w:lineRule="auto"/>
    </w:pPr>
  </w:style>
  <w:style w:type="paragraph" w:customStyle="1" w:styleId="ImageCaption">
    <w:name w:val="Image Caption"/>
    <w:basedOn w:val="Caption"/>
    <w:rsid w:val="00BD6E7F"/>
    <w:pPr>
      <w:spacing w:after="180" w:line="240" w:lineRule="auto"/>
    </w:pPr>
    <w:rPr>
      <w:rFonts w:cs="Arial"/>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Pr>
      <w:rFonts w:ascii="Consolas" w:hAnsi="Consolas"/>
      <w:i/>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Pr>
      <w:rFonts w:ascii="Arial" w:hAnsi="Arial"/>
      <w:i/>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szCs w:val="22"/>
    </w:rPr>
  </w:style>
  <w:style w:type="character" w:customStyle="1" w:styleId="DataTypeTok">
    <w:name w:val="DataTypeTok"/>
    <w:basedOn w:val="VerbatimChar"/>
    <w:rPr>
      <w:rFonts w:ascii="Consolas" w:hAnsi="Consolas"/>
      <w:i/>
      <w:color w:val="902000"/>
      <w:sz w:val="22"/>
      <w:szCs w:val="22"/>
    </w:rPr>
  </w:style>
  <w:style w:type="character" w:customStyle="1" w:styleId="DecValTok">
    <w:name w:val="DecValTok"/>
    <w:basedOn w:val="VerbatimChar"/>
    <w:rPr>
      <w:rFonts w:ascii="Consolas" w:hAnsi="Consolas"/>
      <w:i/>
      <w:color w:val="40A070"/>
      <w:sz w:val="22"/>
      <w:szCs w:val="22"/>
    </w:rPr>
  </w:style>
  <w:style w:type="character" w:customStyle="1" w:styleId="BaseNTok">
    <w:name w:val="BaseNTok"/>
    <w:basedOn w:val="VerbatimChar"/>
    <w:rPr>
      <w:rFonts w:ascii="Consolas" w:hAnsi="Consolas"/>
      <w:i/>
      <w:color w:val="40A070"/>
      <w:sz w:val="22"/>
      <w:szCs w:val="22"/>
    </w:rPr>
  </w:style>
  <w:style w:type="character" w:customStyle="1" w:styleId="FloatTok">
    <w:name w:val="FloatTok"/>
    <w:basedOn w:val="VerbatimChar"/>
    <w:rPr>
      <w:rFonts w:ascii="Consolas" w:hAnsi="Consolas"/>
      <w:i/>
      <w:color w:val="40A070"/>
      <w:sz w:val="22"/>
      <w:szCs w:val="22"/>
    </w:rPr>
  </w:style>
  <w:style w:type="character" w:customStyle="1" w:styleId="ConstantTok">
    <w:name w:val="ConstantTok"/>
    <w:basedOn w:val="VerbatimChar"/>
    <w:rPr>
      <w:rFonts w:ascii="Consolas" w:hAnsi="Consolas"/>
      <w:i/>
      <w:color w:val="880000"/>
      <w:sz w:val="22"/>
      <w:szCs w:val="22"/>
    </w:rPr>
  </w:style>
  <w:style w:type="character" w:customStyle="1" w:styleId="CharTok">
    <w:name w:val="CharTok"/>
    <w:basedOn w:val="VerbatimChar"/>
    <w:rPr>
      <w:rFonts w:ascii="Consolas" w:hAnsi="Consolas"/>
      <w:i/>
      <w:color w:val="4070A0"/>
      <w:sz w:val="22"/>
      <w:szCs w:val="22"/>
    </w:rPr>
  </w:style>
  <w:style w:type="character" w:customStyle="1" w:styleId="SpecialCharTok">
    <w:name w:val="SpecialCharTok"/>
    <w:basedOn w:val="VerbatimChar"/>
    <w:rPr>
      <w:rFonts w:ascii="Consolas" w:hAnsi="Consolas"/>
      <w:i/>
      <w:color w:val="4070A0"/>
      <w:sz w:val="22"/>
      <w:szCs w:val="22"/>
    </w:rPr>
  </w:style>
  <w:style w:type="character" w:customStyle="1" w:styleId="StringTok">
    <w:name w:val="StringTok"/>
    <w:basedOn w:val="VerbatimChar"/>
    <w:rPr>
      <w:rFonts w:ascii="Consolas" w:hAnsi="Consolas"/>
      <w:i/>
      <w:color w:val="4070A0"/>
      <w:sz w:val="22"/>
      <w:szCs w:val="22"/>
    </w:rPr>
  </w:style>
  <w:style w:type="character" w:customStyle="1" w:styleId="VerbatimStringTok">
    <w:name w:val="VerbatimStringTok"/>
    <w:basedOn w:val="VerbatimChar"/>
    <w:rPr>
      <w:rFonts w:ascii="Consolas" w:hAnsi="Consolas"/>
      <w:i/>
      <w:color w:val="4070A0"/>
      <w:sz w:val="22"/>
      <w:szCs w:val="22"/>
    </w:rPr>
  </w:style>
  <w:style w:type="character" w:customStyle="1" w:styleId="SpecialStringTok">
    <w:name w:val="SpecialStringTok"/>
    <w:basedOn w:val="VerbatimChar"/>
    <w:rPr>
      <w:rFonts w:ascii="Consolas" w:hAnsi="Consolas"/>
      <w:i/>
      <w:color w:val="BB6688"/>
      <w:sz w:val="22"/>
      <w:szCs w:val="22"/>
    </w:rPr>
  </w:style>
  <w:style w:type="character" w:customStyle="1" w:styleId="ImportTok">
    <w:name w:val="ImportTok"/>
    <w:basedOn w:val="VerbatimChar"/>
    <w:rPr>
      <w:rFonts w:ascii="Consolas" w:hAnsi="Consolas"/>
      <w:i/>
      <w:sz w:val="22"/>
      <w:szCs w:val="22"/>
    </w:rPr>
  </w:style>
  <w:style w:type="character" w:customStyle="1" w:styleId="CommentTok">
    <w:name w:val="CommentTok"/>
    <w:basedOn w:val="VerbatimChar"/>
    <w:rPr>
      <w:rFonts w:ascii="Consolas" w:hAnsi="Consolas"/>
      <w:i w:val="0"/>
      <w:color w:val="60A0B0"/>
      <w:sz w:val="22"/>
      <w:szCs w:val="22"/>
    </w:rPr>
  </w:style>
  <w:style w:type="character" w:customStyle="1" w:styleId="DocumentationTok">
    <w:name w:val="DocumentationTok"/>
    <w:basedOn w:val="VerbatimChar"/>
    <w:rPr>
      <w:rFonts w:ascii="Consolas" w:hAnsi="Consolas"/>
      <w:i w:val="0"/>
      <w:color w:val="BA2121"/>
      <w:sz w:val="22"/>
      <w:szCs w:val="22"/>
    </w:rPr>
  </w:style>
  <w:style w:type="character" w:customStyle="1" w:styleId="AnnotationTok">
    <w:name w:val="AnnotationTok"/>
    <w:basedOn w:val="VerbatimChar"/>
    <w:rPr>
      <w:rFonts w:ascii="Consolas" w:hAnsi="Consolas"/>
      <w:b/>
      <w:i w:val="0"/>
      <w:color w:val="60A0B0"/>
      <w:sz w:val="22"/>
      <w:szCs w:val="22"/>
    </w:rPr>
  </w:style>
  <w:style w:type="character" w:customStyle="1" w:styleId="CommentVarTok">
    <w:name w:val="CommentVarTok"/>
    <w:basedOn w:val="VerbatimChar"/>
    <w:rPr>
      <w:rFonts w:ascii="Consolas" w:hAnsi="Consolas"/>
      <w:b/>
      <w:i w:val="0"/>
      <w:color w:val="60A0B0"/>
      <w:sz w:val="22"/>
      <w:szCs w:val="22"/>
    </w:rPr>
  </w:style>
  <w:style w:type="character" w:customStyle="1" w:styleId="OtherTok">
    <w:name w:val="OtherTok"/>
    <w:basedOn w:val="VerbatimChar"/>
    <w:rPr>
      <w:rFonts w:ascii="Consolas" w:hAnsi="Consolas"/>
      <w:i/>
      <w:color w:val="007020"/>
      <w:sz w:val="22"/>
      <w:szCs w:val="22"/>
    </w:rPr>
  </w:style>
  <w:style w:type="character" w:customStyle="1" w:styleId="FunctionTok">
    <w:name w:val="FunctionTok"/>
    <w:basedOn w:val="VerbatimChar"/>
    <w:rPr>
      <w:rFonts w:ascii="Consolas" w:hAnsi="Consolas"/>
      <w:i/>
      <w:color w:val="06287E"/>
      <w:sz w:val="22"/>
      <w:szCs w:val="22"/>
    </w:rPr>
  </w:style>
  <w:style w:type="character" w:customStyle="1" w:styleId="VariableTok">
    <w:name w:val="VariableTok"/>
    <w:basedOn w:val="VerbatimChar"/>
    <w:rPr>
      <w:rFonts w:ascii="Consolas" w:hAnsi="Consolas"/>
      <w:i/>
      <w:color w:val="19177C"/>
      <w:sz w:val="22"/>
      <w:szCs w:val="22"/>
    </w:rPr>
  </w:style>
  <w:style w:type="character" w:customStyle="1" w:styleId="ControlFlowTok">
    <w:name w:val="ControlFlowTok"/>
    <w:basedOn w:val="VerbatimChar"/>
    <w:rPr>
      <w:rFonts w:ascii="Consolas" w:hAnsi="Consolas"/>
      <w:b/>
      <w:i/>
      <w:color w:val="007020"/>
      <w:sz w:val="22"/>
      <w:szCs w:val="22"/>
    </w:rPr>
  </w:style>
  <w:style w:type="character" w:customStyle="1" w:styleId="OperatorTok">
    <w:name w:val="OperatorTok"/>
    <w:basedOn w:val="VerbatimChar"/>
    <w:rPr>
      <w:rFonts w:ascii="Consolas" w:hAnsi="Consolas"/>
      <w:i/>
      <w:color w:val="666666"/>
      <w:sz w:val="22"/>
      <w:szCs w:val="22"/>
    </w:rPr>
  </w:style>
  <w:style w:type="character" w:customStyle="1" w:styleId="BuiltInTok">
    <w:name w:val="BuiltInTok"/>
    <w:basedOn w:val="VerbatimChar"/>
    <w:rPr>
      <w:rFonts w:ascii="Consolas" w:hAnsi="Consolas"/>
      <w:i/>
      <w:sz w:val="22"/>
      <w:szCs w:val="22"/>
    </w:rPr>
  </w:style>
  <w:style w:type="character" w:customStyle="1" w:styleId="ExtensionTok">
    <w:name w:val="ExtensionTok"/>
    <w:basedOn w:val="VerbatimChar"/>
    <w:rPr>
      <w:rFonts w:ascii="Consolas" w:hAnsi="Consolas"/>
      <w:i/>
      <w:sz w:val="22"/>
      <w:szCs w:val="22"/>
    </w:rPr>
  </w:style>
  <w:style w:type="character" w:customStyle="1" w:styleId="PreprocessorTok">
    <w:name w:val="PreprocessorTok"/>
    <w:basedOn w:val="VerbatimChar"/>
    <w:rPr>
      <w:rFonts w:ascii="Consolas" w:hAnsi="Consolas"/>
      <w:i/>
      <w:color w:val="BC7A00"/>
      <w:sz w:val="22"/>
      <w:szCs w:val="22"/>
    </w:rPr>
  </w:style>
  <w:style w:type="character" w:customStyle="1" w:styleId="AttributeTok">
    <w:name w:val="AttributeTok"/>
    <w:basedOn w:val="VerbatimChar"/>
    <w:rPr>
      <w:rFonts w:ascii="Consolas" w:hAnsi="Consolas"/>
      <w:i/>
      <w:color w:val="7D9029"/>
      <w:sz w:val="22"/>
      <w:szCs w:val="22"/>
    </w:rPr>
  </w:style>
  <w:style w:type="character" w:customStyle="1" w:styleId="RegionMarkerTok">
    <w:name w:val="RegionMarkerTok"/>
    <w:basedOn w:val="VerbatimChar"/>
    <w:rPr>
      <w:rFonts w:ascii="Consolas" w:hAnsi="Consolas"/>
      <w:i/>
      <w:sz w:val="22"/>
      <w:szCs w:val="22"/>
    </w:rPr>
  </w:style>
  <w:style w:type="character" w:customStyle="1" w:styleId="InformationTok">
    <w:name w:val="InformationTok"/>
    <w:basedOn w:val="VerbatimChar"/>
    <w:rPr>
      <w:rFonts w:ascii="Consolas" w:hAnsi="Consolas"/>
      <w:b/>
      <w:i w:val="0"/>
      <w:color w:val="60A0B0"/>
      <w:sz w:val="22"/>
      <w:szCs w:val="22"/>
    </w:rPr>
  </w:style>
  <w:style w:type="character" w:customStyle="1" w:styleId="WarningTok">
    <w:name w:val="WarningTok"/>
    <w:basedOn w:val="VerbatimChar"/>
    <w:rPr>
      <w:rFonts w:ascii="Consolas" w:hAnsi="Consolas"/>
      <w:b/>
      <w:i w:val="0"/>
      <w:color w:val="60A0B0"/>
      <w:sz w:val="22"/>
      <w:szCs w:val="22"/>
    </w:rPr>
  </w:style>
  <w:style w:type="character" w:customStyle="1" w:styleId="AlertTok">
    <w:name w:val="AlertTok"/>
    <w:basedOn w:val="VerbatimChar"/>
    <w:rPr>
      <w:rFonts w:ascii="Consolas" w:hAnsi="Consolas"/>
      <w:b/>
      <w:i/>
      <w:color w:val="FF0000"/>
      <w:sz w:val="22"/>
      <w:szCs w:val="22"/>
    </w:rPr>
  </w:style>
  <w:style w:type="character" w:customStyle="1" w:styleId="ErrorTok">
    <w:name w:val="ErrorTok"/>
    <w:basedOn w:val="VerbatimChar"/>
    <w:rPr>
      <w:rFonts w:ascii="Consolas" w:hAnsi="Consolas"/>
      <w:b/>
      <w:i/>
      <w:color w:val="FF0000"/>
      <w:sz w:val="22"/>
      <w:szCs w:val="22"/>
    </w:rPr>
  </w:style>
  <w:style w:type="character" w:customStyle="1" w:styleId="NormalTok">
    <w:name w:val="NormalTok"/>
    <w:basedOn w:val="VerbatimChar"/>
    <w:rPr>
      <w:rFonts w:ascii="Consolas" w:hAnsi="Consolas"/>
      <w:i/>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line="240" w:lineRule="auto"/>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7287/peerj.preprints.2054v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eerj.com/preprints/2054v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illumina.com/sequencing/sequencing_software/bcl2fastq-conversion-softwar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metabolon.com/" TargetMode="External"/><Relationship Id="rId4" Type="http://schemas.openxmlformats.org/officeDocument/2006/relationships/webSettings" Target="webSettings.xml"/><Relationship Id="rId9" Type="http://schemas.openxmlformats.org/officeDocument/2006/relationships/hyperlink" Target="https://qb3.berkeley.edu/" TargetMode="External"/><Relationship Id="rId14" Type="http://schemas.openxmlformats.org/officeDocument/2006/relationships/hyperlink" Target="https://github.com/najoshi/sick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efficacy and increased donor strain engraftment after antibiotic pretreatment in ulcerative colitis patients receiving fecal microbiota transplant</dc:title>
  <dc:creator>Byron J. SmithA,B; Yvette PicenoC; Martin ZydekD; Bing ZhangD; Lara Aboud SyrianiE; Jonathan P. TerdimanD; Zain KassamF; Averil MaG; Susan V. LynchD,H; Katherine S. PollardA,B,I; Najwa El-NachefD</dc:creator>
  <cp:keywords/>
  <cp:lastModifiedBy>Byron J. Smith</cp:lastModifiedBy>
  <cp:revision>5</cp:revision>
  <dcterms:created xsi:type="dcterms:W3CDTF">2021-07-29T18:52:00Z</dcterms:created>
  <dcterms:modified xsi:type="dcterms:W3CDTF">2021-07-29T19:03:00Z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