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79CE" w:rsidRDefault="00FA79CE" w:rsidP="00FA79CE">
      <w:pPr>
        <w:pStyle w:val="Title"/>
      </w:pPr>
      <w:bookmarkStart w:id="0" w:name="abstract"/>
      <w:r>
        <w:t>Clinical efficacy and increased donor strain engraftment after antibiotic pretreatment in a randomized trial of ulcerative colitis patients receiving fecal microbiota transplant</w:t>
      </w:r>
    </w:p>
    <w:p w:rsidR="00FA79CE" w:rsidRPr="008E1CF1" w:rsidRDefault="00FA79CE" w:rsidP="00FA79CE">
      <w:pPr>
        <w:pStyle w:val="Author"/>
      </w:pPr>
      <w:r>
        <w:t xml:space="preserve">Byron J. Smith </w:t>
      </w:r>
      <w:r>
        <w:rPr>
          <w:vertAlign w:val="superscript"/>
        </w:rPr>
        <w:t>A,B</w:t>
      </w:r>
      <w:r>
        <w:t xml:space="preserve"> </w:t>
      </w:r>
      <w:r w:rsidRPr="008E1CF1">
        <w:t>(ORCID: 0000-0002-0182-404X)</w:t>
      </w:r>
    </w:p>
    <w:p w:rsidR="00FA79CE" w:rsidRPr="008E1CF1" w:rsidRDefault="00FA79CE" w:rsidP="00FA79CE">
      <w:pPr>
        <w:pStyle w:val="Author"/>
      </w:pPr>
      <w:r>
        <w:t xml:space="preserve">Yvette Piceno </w:t>
      </w:r>
      <w:r>
        <w:rPr>
          <w:vertAlign w:val="superscript"/>
        </w:rPr>
        <w:t>C</w:t>
      </w:r>
      <w:r w:rsidRPr="008E1CF1">
        <w:t xml:space="preserve"> (ORCID: 0000-0002-7915-4699)</w:t>
      </w:r>
    </w:p>
    <w:p w:rsidR="00FA79CE" w:rsidRDefault="00FA79CE" w:rsidP="00FA79CE">
      <w:pPr>
        <w:pStyle w:val="Author"/>
      </w:pPr>
      <w:r>
        <w:t xml:space="preserve">Martin </w:t>
      </w:r>
      <w:proofErr w:type="spellStart"/>
      <w:r>
        <w:t>Zydek</w:t>
      </w:r>
      <w:proofErr w:type="spellEnd"/>
      <w:r>
        <w:t xml:space="preserve"> </w:t>
      </w:r>
      <w:r>
        <w:rPr>
          <w:vertAlign w:val="superscript"/>
        </w:rPr>
        <w:t>D</w:t>
      </w:r>
    </w:p>
    <w:p w:rsidR="00FA79CE" w:rsidRPr="008E1CF1" w:rsidRDefault="00FA79CE" w:rsidP="00FA79CE">
      <w:pPr>
        <w:pStyle w:val="Author"/>
      </w:pPr>
      <w:r>
        <w:t xml:space="preserve">Bing Zhang </w:t>
      </w:r>
      <w:r>
        <w:rPr>
          <w:vertAlign w:val="superscript"/>
        </w:rPr>
        <w:t>D</w:t>
      </w:r>
      <w:r>
        <w:t xml:space="preserve"> </w:t>
      </w:r>
      <w:r w:rsidRPr="008E1CF1">
        <w:t>(ORCID: 0000-0002-3377-0963)</w:t>
      </w:r>
    </w:p>
    <w:p w:rsidR="00FA79CE" w:rsidRDefault="00FA79CE" w:rsidP="00FA79CE">
      <w:pPr>
        <w:pStyle w:val="Author"/>
      </w:pPr>
      <w:r>
        <w:t xml:space="preserve">Lara </w:t>
      </w:r>
      <w:proofErr w:type="spellStart"/>
      <w:r>
        <w:t>Aboud</w:t>
      </w:r>
      <w:proofErr w:type="spellEnd"/>
      <w:r>
        <w:t xml:space="preserve"> </w:t>
      </w:r>
      <w:proofErr w:type="spellStart"/>
      <w:r>
        <w:t>Syriani</w:t>
      </w:r>
      <w:proofErr w:type="spellEnd"/>
      <w:r>
        <w:t xml:space="preserve"> </w:t>
      </w:r>
      <w:r>
        <w:rPr>
          <w:vertAlign w:val="superscript"/>
        </w:rPr>
        <w:t>E</w:t>
      </w:r>
    </w:p>
    <w:p w:rsidR="00FA79CE" w:rsidRDefault="00FA79CE" w:rsidP="00FA79CE">
      <w:pPr>
        <w:pStyle w:val="Author"/>
      </w:pPr>
      <w:r>
        <w:t xml:space="preserve">Jonathan P. </w:t>
      </w:r>
      <w:proofErr w:type="spellStart"/>
      <w:r>
        <w:t>Terdiman</w:t>
      </w:r>
      <w:proofErr w:type="spellEnd"/>
      <w:r>
        <w:t xml:space="preserve"> </w:t>
      </w:r>
      <w:r>
        <w:rPr>
          <w:vertAlign w:val="superscript"/>
        </w:rPr>
        <w:t>D</w:t>
      </w:r>
    </w:p>
    <w:p w:rsidR="00FA79CE" w:rsidRDefault="00FA79CE" w:rsidP="00FA79CE">
      <w:pPr>
        <w:pStyle w:val="Author"/>
      </w:pPr>
      <w:r>
        <w:t xml:space="preserve">Zain Kassam </w:t>
      </w:r>
      <w:r>
        <w:rPr>
          <w:vertAlign w:val="superscript"/>
        </w:rPr>
        <w:t>F</w:t>
      </w:r>
    </w:p>
    <w:p w:rsidR="00FA79CE" w:rsidRPr="008E1CF1" w:rsidRDefault="00FA79CE" w:rsidP="00FA79CE">
      <w:pPr>
        <w:pStyle w:val="Author"/>
      </w:pPr>
      <w:proofErr w:type="spellStart"/>
      <w:r>
        <w:t>Averil</w:t>
      </w:r>
      <w:proofErr w:type="spellEnd"/>
      <w:r>
        <w:t xml:space="preserve"> Ma </w:t>
      </w:r>
      <w:r>
        <w:rPr>
          <w:vertAlign w:val="superscript"/>
        </w:rPr>
        <w:t>G</w:t>
      </w:r>
      <w:r w:rsidRPr="008E1CF1">
        <w:t xml:space="preserve"> (ORCID: 0000-0003-4817-1258)</w:t>
      </w:r>
    </w:p>
    <w:p w:rsidR="00FA79CE" w:rsidRPr="008E1CF1" w:rsidRDefault="00FA79CE" w:rsidP="00FA79CE">
      <w:pPr>
        <w:pStyle w:val="Author"/>
      </w:pPr>
      <w:r>
        <w:t xml:space="preserve">Susan V. Lynch </w:t>
      </w:r>
      <w:r>
        <w:rPr>
          <w:vertAlign w:val="superscript"/>
        </w:rPr>
        <w:t>D,H</w:t>
      </w:r>
      <w:r w:rsidRPr="008E1CF1">
        <w:t xml:space="preserve"> (ORCID: 0000-0001-5695-7336)</w:t>
      </w:r>
    </w:p>
    <w:p w:rsidR="00FA79CE" w:rsidRPr="008E1CF1" w:rsidRDefault="00FA79CE" w:rsidP="00FA79CE">
      <w:pPr>
        <w:pStyle w:val="Author"/>
      </w:pPr>
      <w:r>
        <w:t xml:space="preserve">Katherine S. Pollard </w:t>
      </w:r>
      <w:r>
        <w:rPr>
          <w:vertAlign w:val="superscript"/>
        </w:rPr>
        <w:t>A,B,I,*</w:t>
      </w:r>
      <w:r w:rsidRPr="008E1CF1">
        <w:t xml:space="preserve"> (ORCID: 0000-0002-9870-6196)</w:t>
      </w:r>
    </w:p>
    <w:p w:rsidR="00FA79CE" w:rsidRDefault="00FA79CE" w:rsidP="00FA79CE">
      <w:pPr>
        <w:pStyle w:val="Author"/>
      </w:pPr>
      <w:r>
        <w:t>Najwa El-</w:t>
      </w:r>
      <w:proofErr w:type="spellStart"/>
      <w:r>
        <w:t>Nachef</w:t>
      </w:r>
      <w:proofErr w:type="spellEnd"/>
      <w:r>
        <w:t xml:space="preserve"> </w:t>
      </w:r>
      <w:r>
        <w:rPr>
          <w:vertAlign w:val="superscript"/>
        </w:rPr>
        <w:t>D,*</w:t>
      </w:r>
    </w:p>
    <w:p w:rsidR="00FA79CE" w:rsidRDefault="00FA79CE" w:rsidP="00FA79CE">
      <w:pPr>
        <w:pStyle w:val="FirstParagraph"/>
      </w:pPr>
      <w:r>
        <w:rPr>
          <w:vertAlign w:val="superscript"/>
        </w:rPr>
        <w:t>A</w:t>
      </w:r>
      <w:r>
        <w:t xml:space="preserve"> The Gladstone Institute of </w:t>
      </w:r>
      <w:proofErr w:type="spellStart"/>
      <w:r>
        <w:t>Datascience</w:t>
      </w:r>
      <w:proofErr w:type="spellEnd"/>
      <w:r>
        <w:t xml:space="preserv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w:t>
      </w:r>
      <w:proofErr w:type="spellStart"/>
      <w:r>
        <w:t>Symbiome</w:t>
      </w:r>
      <w:proofErr w:type="spellEnd"/>
      <w:r>
        <w:t>,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w:t>
      </w:r>
      <w:proofErr w:type="spellStart"/>
      <w:r>
        <w:t>Biohub</w:t>
      </w:r>
      <w:proofErr w:type="spellEnd"/>
      <w:r>
        <w:t>, San Francisco, CA</w:t>
      </w:r>
      <w:r>
        <w:br/>
      </w:r>
    </w:p>
    <w:p w:rsidR="00FA79CE" w:rsidRDefault="00FA79CE" w:rsidP="00FA79CE">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FA79CE" w:rsidRDefault="00FA79CE">
      <w:pPr>
        <w:spacing w:before="0" w:after="200"/>
        <w:rPr>
          <w:rFonts w:eastAsiaTheme="majorEastAsia"/>
          <w:b/>
          <w:bCs/>
          <w:color w:val="000000" w:themeColor="text1"/>
          <w:sz w:val="28"/>
          <w:szCs w:val="28"/>
        </w:rPr>
      </w:pPr>
      <w:r>
        <w:br w:type="page"/>
      </w:r>
    </w:p>
    <w:p w:rsidR="00BC6DF9" w:rsidRDefault="00CC41B4">
      <w:pPr>
        <w:pStyle w:val="Heading2"/>
      </w:pPr>
      <w:r>
        <w:lastRenderedPageBreak/>
        <w:t>Abstract</w:t>
      </w:r>
    </w:p>
    <w:p w:rsidR="00BC6DF9" w:rsidRDefault="00CC41B4">
      <w:pPr>
        <w:pStyle w:val="FirstParagraph"/>
      </w:pPr>
      <w:r>
        <w:t>Fecal microbiota transplant is a promising therapy for ulcerative colitis. Parameters maximizing effectiveness and tolerability are not yet clear, and it is not known to what degree the transmission of donor microbes to patients is important. Here (clinicaltrails.gov: NCT03006809) we have tested the effects of antibiotic pretreatment (neomycin, vancomycin, and metronidazole, 500 mg twice a day for 5 days) and compared two modes of maintenance dose delivery, capsules versus enema, in a randomized, pilot, open-label, 2x2 factorial design with 22 patients analyzed (30 patients randomized) with mild to moderate UC (total Mayo score 4-9). Clinically, the treatment was well-tolerated with favorable safety profile. Patients receiving antibiotic pretreatment trended toward greater remission after six weeks of treatment (55% vs. 18%, p=0.18), and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C6DF9" w:rsidRDefault="00CC41B4">
      <w:pPr>
        <w:pStyle w:val="Heading2"/>
      </w:pPr>
      <w:bookmarkStart w:id="1" w:name="introduction"/>
      <w:bookmarkEnd w:id="0"/>
      <w:r>
        <w:t>Introduction</w:t>
      </w:r>
    </w:p>
    <w:p w:rsidR="00BC6DF9" w:rsidRDefault="00CC41B4">
      <w:pPr>
        <w:pStyle w:val="FirstParagraph"/>
      </w:pPr>
      <w:r>
        <w:t>Fecal microbiota transplant (FMT) is recognized as a promising therapy for inflammatory bowel disease, in particular ulcerative colitis (UC) (</w:t>
      </w:r>
      <w:hyperlink w:anchor="ref-Yalchin2019">
        <w:r>
          <w:rPr>
            <w:rStyle w:val="Hyperlink"/>
          </w:rPr>
          <w:t>1</w:t>
        </w:r>
      </w:hyperlink>
      <w:r>
        <w:t xml:space="preserve">, </w:t>
      </w:r>
      <w:hyperlink w:anchor="ref-Lopetuso2020">
        <w:r>
          <w:rPr>
            <w:rStyle w:val="Hyperlink"/>
          </w:rPr>
          <w:t>2</w:t>
        </w:r>
      </w:hyperlink>
      <w:r>
        <w:t>). According to meta-analyses, half of the UC patients receiving FMT display a response to treatment, and one third achieve clinical remission of their symptoms. (</w:t>
      </w:r>
      <w:hyperlink w:anchor="ref-Paramsothy2017d">
        <w:r>
          <w:rPr>
            <w:rStyle w:val="Hyperlink"/>
          </w:rPr>
          <w:t>3</w:t>
        </w:r>
      </w:hyperlink>
      <w:r>
        <w:t>–</w:t>
      </w:r>
      <w:hyperlink w:anchor="ref-Mocanu2021">
        <w:r>
          <w:rPr>
            <w:rStyle w:val="Hyperlink"/>
          </w:rPr>
          <w:t>6</w:t>
        </w:r>
      </w:hyperlink>
      <w:r>
        <w:t>) after FMT.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 xml:space="preserve">, </w:t>
      </w:r>
      <w:hyperlink w:anchor="ref-Khan2019">
        <w:r>
          <w:rPr>
            <w:rStyle w:val="Hyperlink"/>
          </w:rPr>
          <w:t>12</w:t>
        </w:r>
      </w:hyperlink>
      <w:r>
        <w:t>). Understanding how FMT facilitates remission may shed light on the underlying biology of UC and potentially enable the development of novel therapies.</w:t>
      </w:r>
    </w:p>
    <w:p w:rsidR="00BC6DF9" w:rsidRDefault="00CC41B4">
      <w:pPr>
        <w:pStyle w:val="BodyText"/>
      </w:pPr>
      <w:r>
        <w:t xml:space="preserve">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 xml:space="preserve">, </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rsidR="00BC6DF9" w:rsidRDefault="00CC41B4">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w:t>
      </w:r>
      <w:r>
        <w:lastRenderedPageBreak/>
        <w:t xml:space="preserve">have been shown to be no less effective for the treatment of recurrent </w:t>
      </w:r>
      <w:r>
        <w:rPr>
          <w:i/>
          <w:iCs/>
        </w:rPr>
        <w:t>Clostridioides difficile</w:t>
      </w:r>
      <w:r>
        <w:t xml:space="preserve"> infections (</w:t>
      </w:r>
      <w:hyperlink w:anchor="ref-Kao2017">
        <w:r>
          <w:rPr>
            <w:rStyle w:val="Hyperlink"/>
          </w:rPr>
          <w:t>15</w:t>
        </w:r>
      </w:hyperlink>
      <w:r>
        <w:t xml:space="preserve">, </w:t>
      </w:r>
      <w:hyperlink w:anchor="ref-Cold2019">
        <w:r>
          <w:rPr>
            <w:rStyle w:val="Hyperlink"/>
          </w:rPr>
          <w:t>18</w:t>
        </w:r>
      </w:hyperlink>
      <w:r>
        <w:t>), it is not yet clear whether they have equivalent efficacy for UC.</w:t>
      </w:r>
    </w:p>
    <w:p w:rsidR="00BC6DF9" w:rsidRDefault="00CC41B4">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 xml:space="preserve">, </w:t>
      </w:r>
      <w:hyperlink w:anchor="ref-Chu2019">
        <w:r>
          <w:rPr>
            <w:rStyle w:val="Hyperlink"/>
          </w:rPr>
          <w:t>23</w:t>
        </w:r>
      </w:hyperlink>
      <w:r>
        <w:t>). 16S rRNA gene surveys and most tools that operate on shotgun metagenomic libraries cannot differentiate between donor and patient populations of the same species, due to limited taxonomic resolution (</w:t>
      </w:r>
      <w:hyperlink w:anchor="ref-Johnson2019a">
        <w:r>
          <w:rPr>
            <w:rStyle w:val="Hyperlink"/>
          </w:rPr>
          <w:t>24</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C6DF9" w:rsidRDefault="00CC41B4">
      <w:pPr>
        <w:pStyle w:val="BodyText"/>
      </w:pPr>
      <w:r>
        <w:t>Furthermore, recent work has attempted to identify a link between the metabolic function of the gut microbiota and UC (</w:t>
      </w:r>
      <w:hyperlink w:anchor="ref-Paramsothy2019">
        <w:r>
          <w:rPr>
            <w:rStyle w:val="Hyperlink"/>
          </w:rPr>
          <w:t>25</w:t>
        </w:r>
      </w:hyperlink>
      <w:r>
        <w:t>). Numerous results indicate involvement of bile acids (BAs) in IBD and recovery, in particular their transformation to secondary BAs by microbes (</w:t>
      </w:r>
      <w:hyperlink w:anchor="ref-Labbe2014">
        <w:r>
          <w:rPr>
            <w:rStyle w:val="Hyperlink"/>
          </w:rPr>
          <w:t>26</w:t>
        </w:r>
      </w:hyperlink>
      <w:r>
        <w:t>–</w:t>
      </w:r>
      <w:hyperlink w:anchor="ref-Yang2021">
        <w:r>
          <w:rPr>
            <w:rStyle w:val="Hyperlink"/>
          </w:rPr>
          <w:t>34</w:t>
        </w:r>
      </w:hyperlink>
      <w:r>
        <w:t>). Paired BA metabolomics with metagenomic sequencing before, during, and after FMT might help to elucidate the importance of these signalling compounds in UC treatment (</w:t>
      </w:r>
      <w:hyperlink w:anchor="ref-Yalchin2019">
        <w:r>
          <w:rPr>
            <w:rStyle w:val="Hyperlink"/>
          </w:rPr>
          <w:t>1</w:t>
        </w:r>
      </w:hyperlink>
      <w:r>
        <w:t xml:space="preserve">, </w:t>
      </w:r>
      <w:hyperlink w:anchor="ref-Paramsothy2019">
        <w:r>
          <w:rPr>
            <w:rStyle w:val="Hyperlink"/>
          </w:rPr>
          <w:t>25</w:t>
        </w:r>
      </w:hyperlink>
      <w:r>
        <w:t>).</w:t>
      </w:r>
    </w:p>
    <w:p w:rsidR="00BC6DF9" w:rsidRDefault="00CC41B4">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C6DF9" w:rsidRDefault="00CC41B4">
      <w:pPr>
        <w:pStyle w:val="Heading2"/>
      </w:pPr>
      <w:bookmarkStart w:id="2" w:name="results"/>
      <w:bookmarkEnd w:id="1"/>
      <w:r>
        <w:t>Results</w:t>
      </w:r>
    </w:p>
    <w:p w:rsidR="004B7B3B" w:rsidRDefault="00CC41B4">
      <w:pPr>
        <w:pStyle w:val="Heading3"/>
      </w:pPr>
      <w:bookmarkStart w:id="3" w:name="Xca59363a8266ddda25ac5708ba027dd4975f5fd"/>
      <w:r>
        <w:t>Study design and patient demographics</w:t>
      </w:r>
    </w:p>
    <w:p w:rsidR="00BC6DF9" w:rsidRDefault="00CC41B4" w:rsidP="004B7B3B">
      <w:pPr>
        <w:pStyle w:val="FirstParagraph"/>
      </w:pPr>
      <w:r>
        <w:t>We conducted a prospective trial of</w:t>
      </w:r>
      <w:r w:rsidR="004B7B3B">
        <w:t xml:space="preserve"> </w:t>
      </w:r>
      <w:r>
        <w:t>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C6DF9" w:rsidRDefault="00CC41B4">
      <w:pPr>
        <w:pStyle w:val="BodyText"/>
      </w:pPr>
      <w:r>
        <w:t xml:space="preserve">Patients sampled their own stools before the initiation of therapy (baseline sample, B), after the end of antibiotic pretreatment, before each of the six maintenance doses (D1-6), and before each of the three follow-up appointments (F1-3). Maintenance doses were administered weekly, </w:t>
      </w:r>
      <w:r>
        <w:lastRenderedPageBreak/>
        <w:t>and follow-up appointments scheduled approximately 2 weeks, 6 weeks, and 14 weeks after the last maintenance dose.</w:t>
      </w:r>
    </w:p>
    <w:p w:rsidR="00BC6DF9" w:rsidRDefault="00CC41B4">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2.</w:t>
      </w:r>
    </w:p>
    <w:p w:rsidR="00FA79CE" w:rsidRDefault="00FA79CE">
      <w:pPr>
        <w:pStyle w:val="BodyText"/>
      </w:pPr>
    </w:p>
    <w:p w:rsidR="00BC6DF9" w:rsidRDefault="00CC41B4">
      <w:bookmarkStart w:id="4" w:name="fig:design-and-efficacy"/>
      <w:r>
        <w:rPr>
          <w:noProof/>
        </w:rPr>
        <w:drawing>
          <wp:inline distT="0" distB="0" distL="0" distR="0">
            <wp:extent cx="5943600" cy="4695444"/>
            <wp:effectExtent l="0" t="0" r="0" b="0"/>
            <wp:docPr id="1" name="Picture" descr="Figure 1: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ama (ENMA) for maintenance dosing. (A)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B)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
            <wp:cNvGraphicFramePr/>
            <a:graphic xmlns:a="http://schemas.openxmlformats.org/drawingml/2006/main">
              <a:graphicData uri="http://schemas.openxmlformats.org/drawingml/2006/picture">
                <pic:pic xmlns:pic="http://schemas.openxmlformats.org/drawingml/2006/picture">
                  <pic:nvPicPr>
                    <pic:cNvPr id="0" name="Picture" descr="fig/design_and_efficacy_figure.w1000.png"/>
                    <pic:cNvPicPr>
                      <a:picLocks noChangeAspect="1" noChangeArrowheads="1"/>
                    </pic:cNvPicPr>
                  </pic:nvPicPr>
                  <pic:blipFill>
                    <a:blip r:embed="rId9"/>
                    <a:stretch>
                      <a:fillRect/>
                    </a:stretch>
                  </pic:blipFill>
                  <pic:spPr bwMode="auto">
                    <a:xfrm>
                      <a:off x="0" y="0"/>
                      <a:ext cx="5943600" cy="4695444"/>
                    </a:xfrm>
                    <a:prstGeom prst="rect">
                      <a:avLst/>
                    </a:prstGeom>
                    <a:noFill/>
                    <a:ln w="9525">
                      <a:noFill/>
                      <a:headEnd/>
                      <a:tailEnd/>
                    </a:ln>
                  </pic:spPr>
                </pic:pic>
              </a:graphicData>
            </a:graphic>
          </wp:inline>
        </w:drawing>
      </w:r>
      <w:bookmarkEnd w:id="4"/>
    </w:p>
    <w:p w:rsidR="00BC6DF9" w:rsidRDefault="00CC41B4">
      <w:pPr>
        <w:pStyle w:val="ImageCaption"/>
      </w:pPr>
      <w:bookmarkStart w:id="5" w:name="fig1"/>
      <w:r>
        <w:t>Figure </w:t>
      </w:r>
      <w:r>
        <w:fldChar w:fldCharType="begin"/>
      </w:r>
      <w:r>
        <w:instrText xml:space="preserve">SEQ Figure \* ARABIC </w:instrText>
      </w:r>
      <w:r>
        <w:fldChar w:fldCharType="separate"/>
      </w:r>
      <w:r>
        <w:t>1</w:t>
      </w:r>
      <w:r>
        <w:fldChar w:fldCharType="end"/>
      </w:r>
      <w:r>
        <w:t xml:space="preserve">: </w:t>
      </w:r>
      <w:bookmarkEnd w:id="5"/>
      <w:r>
        <w:t xml:space="preserve">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enama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w:t>
      </w:r>
      <w:r>
        <w:lastRenderedPageBreak/>
        <w:t xml:space="preserve">(purple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BC6DF9" w:rsidRDefault="00CC41B4">
      <w:pPr>
        <w:pStyle w:val="Heading3"/>
      </w:pPr>
      <w:bookmarkStart w:id="6" w:name="X0f73846c07ba995ebcdf89ffadc80100013b18e"/>
      <w:bookmarkEnd w:id="3"/>
      <w:r>
        <w:t>Antibiotic pretreatment may increase FMT efficacy</w:t>
      </w:r>
    </w:p>
    <w:p w:rsidR="00BC6DF9" w:rsidRDefault="00CC41B4">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35</w:t>
        </w:r>
      </w:hyperlink>
      <w:r>
        <w:t>). Clinical remission, defined as a total Mayo score ≤2 at the first follow-up (time-point F1) and endoscopic improvement by ≥1, was reached in a total of 8 patients out of the 20 who received a follow-up colonoscopy, consistent with past studies of FMT for UC (</w:t>
      </w:r>
      <w:hyperlink w:anchor="ref-Mocanu2021">
        <w:r>
          <w:rPr>
            <w:rStyle w:val="Hyperlink"/>
          </w:rPr>
          <w:t>6</w:t>
        </w:r>
      </w:hyperlink>
      <w:r>
        <w:t>). Of these, 6 of 9 (67%) ABX+ patients achieved remission, while only 2 of 11 (18%) did in the ABX- arms (p=0.065 by two-sided Fisher exact test). While short of a traditional significance threshold, our results nonetheless suggest increased remission in patients receiving antibiotic pretreatment.</w:t>
      </w:r>
    </w:p>
    <w:p w:rsidR="00BC6DF9" w:rsidRDefault="00CC41B4">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C6DF9" w:rsidRDefault="00CC41B4">
      <w:pPr>
        <w:pStyle w:val="BodyText"/>
      </w:pPr>
      <w:r>
        <w:t>Overall, Mayo scores decreased from initial FMT (D0 time point)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C6DF9" w:rsidRDefault="00CC41B4">
      <w:pPr>
        <w:pStyle w:val="Heading3"/>
      </w:pPr>
      <w:bookmarkStart w:id="7" w:name="Xf1cf3edf6f86a16bb26fdc54f0f71518af20cb2"/>
      <w:bookmarkEnd w:id="6"/>
      <w:r>
        <w:t>Metagenomics and metabolomics generate complementary representations of patients’ microbiomes before, during, and after treatment</w:t>
      </w:r>
    </w:p>
    <w:p w:rsidR="00BC6DF9" w:rsidRDefault="00CC41B4">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3-6.</w:t>
      </w:r>
    </w:p>
    <w:p w:rsidR="00BC6DF9" w:rsidRDefault="00CC41B4">
      <w:pPr>
        <w:pStyle w:val="BodyText"/>
      </w:pPr>
      <w:r>
        <w:lastRenderedPageBreak/>
        <w:t>Sequencing surveys of the 16S rRNA gene revealed 857 unique amplicon sequence variants (ASVs). In addition, shotgun metagenomic libraries metagenotyped with GT-PRO (</w:t>
      </w:r>
      <w:hyperlink w:anchor="ref-Shi2020">
        <w:r>
          <w:rPr>
            <w:rStyle w:val="Hyperlink"/>
          </w:rPr>
          <w:t>36</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C6DF9" w:rsidRDefault="00CC41B4">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C6DF9" w:rsidRDefault="00CC41B4">
      <w:pPr>
        <w:pStyle w:val="Heading3"/>
      </w:pPr>
      <w:bookmarkStart w:id="8" w:name="X77a78e3c472556329e53410b4a0e74299a2b693"/>
      <w:bookmarkEnd w:id="7"/>
      <w:r>
        <w:t>Microbiome features cluster by both patient and donor after FMT</w:t>
      </w:r>
    </w:p>
    <w:p w:rsidR="00BC6DF9" w:rsidRDefault="00CC41B4">
      <w:pPr>
        <w:pStyle w:val="FirstParagraph"/>
      </w:pPr>
      <w:r>
        <w:t>To determine the extent to which FMT modified the patients’ microbiomes, we examined the clustering of genomic and metabolic profiles by patient and by donor during and after FMT treatment (see Fig. 2).</w:t>
      </w:r>
    </w:p>
    <w:p w:rsidR="00BC6DF9" w:rsidRDefault="00CC41B4">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C6DF9" w:rsidRDefault="00CC41B4">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w:t>
      </w:r>
    </w:p>
    <w:p w:rsidR="004B7B3B" w:rsidRDefault="00CC41B4" w:rsidP="004B7B3B">
      <w:pPr>
        <w:pStyle w:val="BodyText"/>
      </w:pPr>
      <w:r>
        <w:t>Despite the perturbation of FMT treatment, clustering by patient across time points was observed for all four microbiome profiles (Fig. 2F, Supplementary Fig. 5).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4B7B3B" w:rsidRDefault="004B7B3B" w:rsidP="004B7B3B">
      <w:pPr>
        <w:pStyle w:val="ImageCaption"/>
      </w:pPr>
      <w:bookmarkStart w:id="9" w:name="fig:multiomics"/>
      <w:r>
        <w:rPr>
          <w:noProof/>
        </w:rPr>
        <w:lastRenderedPageBreak/>
        <w:drawing>
          <wp:inline distT="0" distB="0" distL="0" distR="0" wp14:anchorId="2CF17A29" wp14:editId="46E833F6">
            <wp:extent cx="5943600" cy="8249716"/>
            <wp:effectExtent l="0" t="0" r="0" b="0"/>
            <wp:docPr id="2" name="Picture" descr="Figure 2: Samples cluster within patient and donor groups during and after FMT treatment. (A-D)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5. (E, F)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
            <wp:cNvGraphicFramePr/>
            <a:graphic xmlns:a="http://schemas.openxmlformats.org/drawingml/2006/main">
              <a:graphicData uri="http://schemas.openxmlformats.org/drawingml/2006/picture">
                <pic:pic xmlns:pic="http://schemas.openxmlformats.org/drawingml/2006/picture">
                  <pic:nvPicPr>
                    <pic:cNvPr id="0" name="Picture" descr="fig/multiomics_clustering_optionA_figure.w1000.png"/>
                    <pic:cNvPicPr>
                      <a:picLocks noChangeAspect="1" noChangeArrowheads="1"/>
                    </pic:cNvPicPr>
                  </pic:nvPicPr>
                  <pic:blipFill>
                    <a:blip r:embed="rId10"/>
                    <a:stretch>
                      <a:fillRect/>
                    </a:stretch>
                  </pic:blipFill>
                  <pic:spPr bwMode="auto">
                    <a:xfrm>
                      <a:off x="0" y="0"/>
                      <a:ext cx="5943600" cy="8249716"/>
                    </a:xfrm>
                    <a:prstGeom prst="rect">
                      <a:avLst/>
                    </a:prstGeom>
                    <a:noFill/>
                    <a:ln w="9525">
                      <a:noFill/>
                      <a:headEnd/>
                      <a:tailEnd/>
                    </a:ln>
                  </pic:spPr>
                </pic:pic>
              </a:graphicData>
            </a:graphic>
          </wp:inline>
        </w:drawing>
      </w:r>
      <w:bookmarkStart w:id="10" w:name="fig2"/>
      <w:bookmarkEnd w:id="9"/>
      <w:r w:rsidRPr="004B7B3B">
        <w:t xml:space="preserve"> </w:t>
      </w:r>
      <w:r>
        <w:lastRenderedPageBreak/>
        <w:t>Figure </w:t>
      </w:r>
      <w:r>
        <w:fldChar w:fldCharType="begin"/>
      </w:r>
      <w:r>
        <w:instrText xml:space="preserve">SEQ Figure \* ARABIC </w:instrText>
      </w:r>
      <w:r>
        <w:fldChar w:fldCharType="separate"/>
      </w:r>
      <w:r>
        <w:t>2</w:t>
      </w:r>
      <w:r>
        <w:fldChar w:fldCharType="end"/>
      </w:r>
      <w:r>
        <w:t xml:space="preserve">: </w:t>
      </w:r>
      <w:bookmarkEnd w:id="10"/>
      <w:r>
        <w:t xml:space="preserve">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5.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4B7B3B" w:rsidRDefault="004B7B3B" w:rsidP="004B7B3B">
      <w:pPr>
        <w:pStyle w:val="BodyText"/>
      </w:pPr>
    </w:p>
    <w:p w:rsidR="00BC6DF9" w:rsidRDefault="00CC41B4">
      <w:pPr>
        <w:pStyle w:val="Heading3"/>
      </w:pPr>
      <w:bookmarkStart w:id="11" w:name="X3a4a656af43a09d1be816f2f4e5ee0e3745e7cd"/>
      <w:bookmarkEnd w:id="8"/>
      <w:r>
        <w:t>Taxonomic analysis reveals rapid and extensive transfer of donor species and strains to patients</w:t>
      </w:r>
    </w:p>
    <w:p w:rsidR="00BC6DF9" w:rsidRDefault="00CC41B4">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C6DF9" w:rsidRDefault="00CC41B4">
      <w:pPr>
        <w:pStyle w:val="BodyText"/>
      </w:pPr>
      <w:r>
        <w:t>By contrast, only a median of 24% of strains were shared at baseline. Using strains therefore creates more opportunities to infer transfer and engraftment and greatly improves the taxonomic resolution of our analyses (see Fig. 3).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FA79CE" w:rsidRDefault="00FA79CE" w:rsidP="00FA79CE">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C6DF9" w:rsidRDefault="00CC41B4">
      <w:bookmarkStart w:id="12" w:name="fig:engraftment"/>
      <w:r>
        <w:rPr>
          <w:noProof/>
        </w:rPr>
        <w:lastRenderedPageBreak/>
        <w:drawing>
          <wp:inline distT="0" distB="0" distL="0" distR="0">
            <wp:extent cx="5943600" cy="7185812"/>
            <wp:effectExtent l="0" t="0" r="0" b="0"/>
            <wp:docPr id="3" name="Picture" descr="Figure 3: Greater community perturbation and engraftment of donor strains following FMT treatment in antibiotic-pretreated patients. (A, C) Abundance of strains specific to each patient’s baseline sample (A) or specific to each donor sample (C) relative to the patient’s total strain populations over the course of treatment. (B, D) BC similarity (1 - BC dissimilarity) between each patient’s sample and that patient’s own baseline (B) or their assigned donor (D). (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
            <wp:cNvGraphicFramePr/>
            <a:graphic xmlns:a="http://schemas.openxmlformats.org/drawingml/2006/main">
              <a:graphicData uri="http://schemas.openxmlformats.org/drawingml/2006/picture">
                <pic:pic xmlns:pic="http://schemas.openxmlformats.org/drawingml/2006/picture">
                  <pic:nvPicPr>
                    <pic:cNvPr id="0" name="Picture" descr="fig/engraftment_figure.w1000.png"/>
                    <pic:cNvPicPr>
                      <a:picLocks noChangeAspect="1" noChangeArrowheads="1"/>
                    </pic:cNvPicPr>
                  </pic:nvPicPr>
                  <pic:blipFill>
                    <a:blip r:embed="rId11"/>
                    <a:stretch>
                      <a:fillRect/>
                    </a:stretch>
                  </pic:blipFill>
                  <pic:spPr bwMode="auto">
                    <a:xfrm>
                      <a:off x="0" y="0"/>
                      <a:ext cx="5943600" cy="7185812"/>
                    </a:xfrm>
                    <a:prstGeom prst="rect">
                      <a:avLst/>
                    </a:prstGeom>
                    <a:noFill/>
                    <a:ln w="9525">
                      <a:noFill/>
                      <a:headEnd/>
                      <a:tailEnd/>
                    </a:ln>
                  </pic:spPr>
                </pic:pic>
              </a:graphicData>
            </a:graphic>
          </wp:inline>
        </w:drawing>
      </w:r>
      <w:bookmarkEnd w:id="12"/>
    </w:p>
    <w:p w:rsidR="00BC6DF9" w:rsidRDefault="00CC41B4">
      <w:pPr>
        <w:pStyle w:val="ImageCaption"/>
      </w:pPr>
      <w:bookmarkStart w:id="13" w:name="fig3"/>
      <w:r>
        <w:t>Figure </w:t>
      </w:r>
      <w:r>
        <w:fldChar w:fldCharType="begin"/>
      </w:r>
      <w:r>
        <w:instrText xml:space="preserve">SEQ Figure \* ARABIC </w:instrText>
      </w:r>
      <w:r>
        <w:fldChar w:fldCharType="separate"/>
      </w:r>
      <w:r>
        <w:t>3</w:t>
      </w:r>
      <w:r>
        <w:fldChar w:fldCharType="end"/>
      </w:r>
      <w:r>
        <w:t xml:space="preserve">: </w:t>
      </w:r>
      <w:bookmarkEnd w:id="13"/>
      <w:r>
        <w:t xml:space="preserve">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t>
      </w:r>
      <w:r>
        <w:lastRenderedPageBreak/>
        <w:t>with the median also marked (dotted line). In all panels, symbols indicate individual time points (A-D) and taxa (E) with p-values less than 0.1 (•) or 0.05 (*) by MWU test for differences between patients who did or did not receive antibiotic pretreatment.</w:t>
      </w:r>
    </w:p>
    <w:p w:rsidR="004B7B3B" w:rsidRDefault="004B7B3B" w:rsidP="004B7B3B">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37</w:t>
        </w:r>
      </w:hyperlink>
      <w:r>
        <w:t xml:space="preserve">, </w:t>
      </w:r>
      <w:hyperlink w:anchor="ref-Parks2020">
        <w:r>
          <w:rPr>
            <w:rStyle w:val="Hyperlink"/>
          </w:rPr>
          <w:t>38</w:t>
        </w:r>
      </w:hyperlink>
      <w:r>
        <w:t xml:space="preserve">)—from 29% for </w:t>
      </w:r>
      <w:proofErr w:type="spellStart"/>
      <w:r>
        <w:t>Actinobacteriota</w:t>
      </w:r>
      <w:proofErr w:type="spellEnd"/>
      <w:r>
        <w:t xml:space="preserve"> (98 of 339 opportunities) and 26% for Firmicutes A (1138 of 4305 opportunities) to 34% for </w:t>
      </w:r>
      <w:proofErr w:type="spellStart"/>
      <w:r>
        <w:t>Bacteroidota</w:t>
      </w:r>
      <w:proofErr w:type="spellEnd"/>
      <w:r>
        <w:t xml:space="preserve"> (362 of 1062 opportunities, significantly different from Firmicutes A, p&lt;0.001, by two-sided Fisher exact test). Interestingly, the </w:t>
      </w:r>
      <w:proofErr w:type="spellStart"/>
      <w:r>
        <w:t>Verrucomicrobiota</w:t>
      </w:r>
      <w:proofErr w:type="spellEnd"/>
      <w:r>
        <w:t xml:space="preserve">, represented exclusively by strains of </w:t>
      </w:r>
      <w:proofErr w:type="spellStart"/>
      <w:r>
        <w:rPr>
          <w:i/>
          <w:iCs/>
        </w:rPr>
        <w:t>Akkermansia</w:t>
      </w:r>
      <w:proofErr w:type="spellEnd"/>
      <w:r>
        <w:rPr>
          <w:i/>
          <w:iCs/>
        </w:rPr>
        <w:t xml:space="preserve"> </w:t>
      </w:r>
      <w:proofErr w:type="spellStart"/>
      <w:r>
        <w:rPr>
          <w:i/>
          <w:iCs/>
        </w:rPr>
        <w:t>muciniphila</w:t>
      </w:r>
      <w:proofErr w:type="spellEnd"/>
      <w:r>
        <w:t xml:space="preserve">, had by far the lowest transfer rate at 2.9% (1 of 35 opportunities). Even taking into account the small number of donor-specific strains from the species, this was significantly below the rate for other phyla (p=0.002, 0.035, and 0.011 for </w:t>
      </w:r>
      <w:proofErr w:type="spellStart"/>
      <w:r>
        <w:t>Actinobacteriota</w:t>
      </w:r>
      <w:proofErr w:type="spellEnd"/>
      <w:r>
        <w:t xml:space="preserve">, Firmicutes A, and Proteobacteria, respectively, and &lt;0.001 for </w:t>
      </w:r>
      <w:proofErr w:type="spellStart"/>
      <w:r>
        <w:t>Bacteroidota</w:t>
      </w:r>
      <w:proofErr w:type="spellEnd"/>
      <w:r>
        <w:t xml:space="preserve">). </w:t>
      </w:r>
      <w:r>
        <w:rPr>
          <w:i/>
          <w:iCs/>
        </w:rPr>
        <w:t xml:space="preserve">A. </w:t>
      </w:r>
      <w:proofErr w:type="spellStart"/>
      <w:r>
        <w:rPr>
          <w:i/>
          <w:iCs/>
        </w:rPr>
        <w:t>muciniphila</w:t>
      </w:r>
      <w:proofErr w:type="spellEnd"/>
      <w:r>
        <w:t xml:space="preserve"> has been shown to be depleted in UC patients relative to healthy subjects (</w:t>
      </w:r>
      <w:hyperlink w:anchor="ref-Earley2019">
        <w:r>
          <w:rPr>
            <w:rStyle w:val="Hyperlink"/>
          </w:rPr>
          <w:t>39</w:t>
        </w:r>
      </w:hyperlink>
      <w:r>
        <w:t>), and to ameliorate colitis in a chemically induced mouse model (</w:t>
      </w:r>
      <w:hyperlink w:anchor="ref-Bian2019">
        <w:r>
          <w:rPr>
            <w:rStyle w:val="Hyperlink"/>
          </w:rPr>
          <w:t>40</w:t>
        </w:r>
      </w:hyperlink>
      <w:r>
        <w:t xml:space="preserve">). While we are hesitant to speculate based on this observation alone, FMT protocols optimized to transfer </w:t>
      </w:r>
      <w:r>
        <w:rPr>
          <w:i/>
          <w:iCs/>
        </w:rPr>
        <w:t xml:space="preserve">A. </w:t>
      </w:r>
      <w:proofErr w:type="spellStart"/>
      <w:r>
        <w:rPr>
          <w:i/>
          <w:iCs/>
        </w:rPr>
        <w:t>muciniphila</w:t>
      </w:r>
      <w:proofErr w:type="spellEnd"/>
      <w:r>
        <w:t xml:space="preserve"> might show increased remissions rates if the species indeed plays a role in recovery.</w:t>
      </w:r>
    </w:p>
    <w:p w:rsidR="00BC6DF9" w:rsidRDefault="00CC41B4">
      <w:pPr>
        <w:pStyle w:val="Heading3"/>
      </w:pPr>
      <w:bookmarkStart w:id="14" w:name="Xd09d4dd2eaa6401e23371ede10fcfa7627c0f0f"/>
      <w:bookmarkEnd w:id="11"/>
      <w:r>
        <w:t>Antibiotics modulate effects of FMT on the microbiome</w:t>
      </w:r>
    </w:p>
    <w:p w:rsidR="00BC6DF9" w:rsidRDefault="00CC41B4">
      <w:pPr>
        <w:pStyle w:val="FirstParagraph"/>
      </w:pPr>
      <w:r>
        <w:t>We next examined whether maintenance method, donor, and antibiotic pretreatment affected the outcomes of FMT.</w:t>
      </w:r>
    </w:p>
    <w:p w:rsidR="00BC6DF9" w:rsidRDefault="00CC41B4">
      <w:pPr>
        <w:pStyle w:val="BodyText"/>
      </w:pPr>
      <w:r>
        <w:t>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C6DF9" w:rsidRDefault="00CC41B4">
      <w:pPr>
        <w:pStyle w:val="BodyText"/>
      </w:pPr>
      <w:r>
        <w:t xml:space="preserve">Overall, a slightly larger fraction of donor-specific bacterial strains were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w:t>
      </w:r>
      <w:r>
        <w:lastRenderedPageBreak/>
        <w:t>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C6DF9" w:rsidRDefault="00CC41B4">
      <w:pPr>
        <w:pStyle w:val="Heading3"/>
      </w:pPr>
      <w:bookmarkStart w:id="15" w:name="X9c5e029272321f2d63ef88ceae72f7068b362bf"/>
      <w:bookmarkEnd w:id="14"/>
      <w:r>
        <w:t>Changes in taxonomic profiles after FMT correlate with changes in functional gene and BA profiles.</w:t>
      </w:r>
    </w:p>
    <w:p w:rsidR="00BC6DF9" w:rsidRDefault="00CC41B4">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C6DF9" w:rsidRDefault="00CC41B4">
      <w:bookmarkStart w:id="16" w:name="fig:mantel"/>
      <w:r>
        <w:rPr>
          <w:noProof/>
        </w:rPr>
        <w:drawing>
          <wp:inline distT="0" distB="0" distL="0" distR="0">
            <wp:extent cx="4762500" cy="5510212"/>
            <wp:effectExtent l="0" t="0" r="0" b="0"/>
            <wp:docPr id="4" name="Picture" descr="Figure 4: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A) each pairwise comparison between taxonomic and functional gene profiles with BA and functional gene profiles, or (B) BAs, specifically, compared across taxonomic profiles at different resolutions (X-axis) and phylum-level subsets (Y-axis). Hatched cells indicate comparisons where p-values are &gt;0.05 by Mantel permutation test (n=9999); all other comparisons are significant at or below this threshold."/>
            <wp:cNvGraphicFramePr/>
            <a:graphic xmlns:a="http://schemas.openxmlformats.org/drawingml/2006/main">
              <a:graphicData uri="http://schemas.openxmlformats.org/drawingml/2006/picture">
                <pic:pic xmlns:pic="http://schemas.openxmlformats.org/drawingml/2006/picture">
                  <pic:nvPicPr>
                    <pic:cNvPr id="0" name="Picture" descr="fig/correlated_multiomics_figure.w1000.png"/>
                    <pic:cNvPicPr>
                      <a:picLocks noChangeAspect="1" noChangeArrowheads="1"/>
                    </pic:cNvPicPr>
                  </pic:nvPicPr>
                  <pic:blipFill>
                    <a:blip r:embed="rId12"/>
                    <a:stretch>
                      <a:fillRect/>
                    </a:stretch>
                  </pic:blipFill>
                  <pic:spPr bwMode="auto">
                    <a:xfrm>
                      <a:off x="0" y="0"/>
                      <a:ext cx="4762500" cy="5510212"/>
                    </a:xfrm>
                    <a:prstGeom prst="rect">
                      <a:avLst/>
                    </a:prstGeom>
                    <a:noFill/>
                    <a:ln w="9525">
                      <a:noFill/>
                      <a:headEnd/>
                      <a:tailEnd/>
                    </a:ln>
                  </pic:spPr>
                </pic:pic>
              </a:graphicData>
            </a:graphic>
          </wp:inline>
        </w:drawing>
      </w:r>
      <w:bookmarkEnd w:id="16"/>
    </w:p>
    <w:p w:rsidR="00BC6DF9" w:rsidRDefault="00CC41B4">
      <w:pPr>
        <w:pStyle w:val="ImageCaption"/>
      </w:pPr>
      <w:bookmarkStart w:id="17" w:name="fig4"/>
      <w:r>
        <w:t>Figure </w:t>
      </w:r>
      <w:r>
        <w:fldChar w:fldCharType="begin"/>
      </w:r>
      <w:r>
        <w:instrText xml:space="preserve">SEQ Figure \* ARABIC </w:instrText>
      </w:r>
      <w:r>
        <w:fldChar w:fldCharType="separate"/>
      </w:r>
      <w:r>
        <w:t>4</w:t>
      </w:r>
      <w:r>
        <w:fldChar w:fldCharType="end"/>
      </w:r>
      <w:r>
        <w:t xml:space="preserve">: </w:t>
      </w:r>
      <w:bookmarkEnd w:id="17"/>
      <w:r>
        <w:t xml:space="preserve">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w:t>
      </w:r>
      <w:r>
        <w:lastRenderedPageBreak/>
        <w:t xml:space="preserve">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BC6DF9" w:rsidRDefault="00CC41B4">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C6DF9" w:rsidRDefault="00CC41B4">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C6DF9" w:rsidRDefault="00CC41B4">
      <w:pPr>
        <w:pStyle w:val="BodyText"/>
      </w:pPr>
      <w:r>
        <w:t>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 (</w:t>
      </w:r>
      <w:hyperlink w:anchor="ref-Vital2019">
        <w:r>
          <w:rPr>
            <w:rStyle w:val="Hyperlink"/>
          </w:rPr>
          <w:t>41</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42</w:t>
        </w:r>
      </w:hyperlink>
      <w:r>
        <w:t>). This result further highlights the importance of strain-level analysis for understanding the drivers of functional differences in microbiomes during FMT.</w:t>
      </w:r>
    </w:p>
    <w:p w:rsidR="00BC6DF9" w:rsidRDefault="00CC41B4">
      <w:pPr>
        <w:pStyle w:val="Heading2"/>
      </w:pPr>
      <w:bookmarkStart w:id="18" w:name="discussion"/>
      <w:bookmarkEnd w:id="2"/>
      <w:bookmarkEnd w:id="15"/>
      <w:r>
        <w:t>Discussion</w:t>
      </w:r>
    </w:p>
    <w:p w:rsidR="00BC6DF9" w:rsidRDefault="00CC41B4">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BC6DF9" w:rsidRDefault="00CC41B4">
      <w:pPr>
        <w:pStyle w:val="BodyText"/>
      </w:pPr>
      <w:r>
        <w:lastRenderedPageBreak/>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 xml:space="preserve">, </w:t>
      </w:r>
      <w:hyperlink w:anchor="ref-Cold2019">
        <w:r>
          <w:rPr>
            <w:rStyle w:val="Hyperlink"/>
          </w:rPr>
          <w:t>18</w:t>
        </w:r>
      </w:hyperlink>
      <w:r>
        <w:t xml:space="preserve">, </w:t>
      </w:r>
      <w:hyperlink w:anchor="ref-Rao2017">
        <w:r>
          <w:rPr>
            <w:rStyle w:val="Hyperlink"/>
          </w:rPr>
          <w:t>43</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C6DF9" w:rsidRDefault="00CC41B4">
      <w:pPr>
        <w:pStyle w:val="BodyText"/>
      </w:pPr>
      <w:r>
        <w:t xml:space="preserve">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44</w:t>
        </w:r>
      </w:hyperlink>
      <w:r>
        <w:t>), although our study was not designed to find subtle effects of this type if they do exist.</w:t>
      </w:r>
    </w:p>
    <w:p w:rsidR="00BC6DF9" w:rsidRDefault="00CC41B4">
      <w:pPr>
        <w:pStyle w:val="BodyText"/>
      </w:pPr>
      <w:r>
        <w:t>This pilot study was limited by the small number of participants completing the full protocol, as well as the large number of primary and exploratory analyses. Reported statistical significance was not 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C6DF9" w:rsidRDefault="00CC41B4">
      <w:pPr>
        <w:pStyle w:val="BodyText"/>
      </w:pPr>
      <w:r>
        <w:t>We find that the use of strain haplotypes inferred from SNP profiles (</w:t>
      </w:r>
      <w:hyperlink w:anchor="ref-Smillie2018">
        <w:r>
          <w:rPr>
            <w:rStyle w:val="Hyperlink"/>
          </w:rPr>
          <w:t>22</w:t>
        </w:r>
      </w:hyperlink>
      <w:r>
        <w:t xml:space="preserve">)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45</w:t>
        </w:r>
      </w:hyperlink>
      <w:r>
        <w:t>) either require high quality strain reference sets (</w:t>
      </w:r>
      <w:hyperlink w:anchor="ref-Albanese2017">
        <w:r>
          <w:rPr>
            <w:rStyle w:val="Hyperlink"/>
          </w:rPr>
          <w:t>46</w:t>
        </w:r>
      </w:hyperlink>
      <w:r>
        <w:t>), or use heuristics based on dissimilarities between metagenotypes that assume species have one dominant strain per sample (</w:t>
      </w:r>
      <w:hyperlink w:anchor="ref-Truong2017">
        <w:r>
          <w:rPr>
            <w:rStyle w:val="Hyperlink"/>
          </w:rPr>
          <w:t>47</w:t>
        </w:r>
      </w:hyperlink>
      <w:r>
        <w:t xml:space="preserve">) or ignore the possibility of rare strains (e.g. less than 10% in </w:t>
      </w:r>
      <w:hyperlink w:anchor="ref-Podlesny2020">
        <w:r>
          <w:rPr>
            <w:rStyle w:val="Hyperlink"/>
          </w:rPr>
          <w:t>48</w:t>
        </w:r>
      </w:hyperlink>
      <w:r>
        <w:t>). None of these alternative approaches is optimal for the tracking of discrete strains in a study where donor and recipient communities are intentionally mixed through FMT. Continued development of haplotype deconvolution methods will empower further studies of strain-specific functions and ecological dynamics in FMT.</w:t>
      </w:r>
    </w:p>
    <w:p w:rsidR="00BC6DF9" w:rsidRDefault="00CC41B4">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 (</w:t>
      </w:r>
      <w:hyperlink w:anchor="ref-Allegretti2018">
        <w:r>
          <w:rPr>
            <w:rStyle w:val="Hyperlink"/>
          </w:rPr>
          <w:t>49</w:t>
        </w:r>
      </w:hyperlink>
      <w:r>
        <w:t xml:space="preserve">), and indicates that both host and microbial processing of BAs are remarkably stable; despite robust transfer of donor microbes, our protocol was unable to systematically modulate the concentrations of these metabolites. Second, we nonetheless saw </w:t>
      </w:r>
      <w:r>
        <w:lastRenderedPageBreak/>
        <w:t>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C6DF9" w:rsidRDefault="00CC41B4">
      <w:pPr>
        <w:pStyle w:val="Heading2"/>
      </w:pPr>
      <w:bookmarkStart w:id="19" w:name="conclusions"/>
      <w:bookmarkEnd w:id="18"/>
      <w:r>
        <w:t>Conclusions</w:t>
      </w:r>
    </w:p>
    <w:p w:rsidR="00BC6DF9" w:rsidRDefault="00CC41B4">
      <w:pPr>
        <w:pStyle w:val="FirstParagraph"/>
      </w:pPr>
      <w:r>
        <w:t>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C6DF9" w:rsidRDefault="00CC41B4">
      <w:pPr>
        <w:pStyle w:val="Heading2"/>
      </w:pPr>
      <w:bookmarkStart w:id="20" w:name="methods"/>
      <w:bookmarkEnd w:id="19"/>
      <w:r>
        <w:t>Methods</w:t>
      </w:r>
    </w:p>
    <w:p w:rsidR="00BC6DF9" w:rsidRDefault="00CC41B4">
      <w:pPr>
        <w:pStyle w:val="Heading3"/>
      </w:pPr>
      <w:bookmarkStart w:id="21" w:name="X7dba8dd1311a6d849f79a9aaf1fd032c8a5bc2d"/>
      <w:r>
        <w:t>Patient recruitment, ethics approval, and concurrent therapies</w:t>
      </w:r>
    </w:p>
    <w:p w:rsidR="00BC6DF9" w:rsidRDefault="00CC41B4">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BC6DF9" w:rsidRDefault="00CC41B4">
      <w:pPr>
        <w:pStyle w:val="BodyText"/>
      </w:pPr>
      <w:r>
        <w:t>All participants were recruited between March 2017 and March 2020 and provided written informed consent for voluntary participation in this institutional review board-approved protocol (UCSF IRB study number: 16-20066). FMT was approved for use for this indication under FDA Investigational New Drug application (IND 16467). This study was registered at Clinicaltrials.gov (NCT03006809).</w:t>
      </w:r>
    </w:p>
    <w:p w:rsidR="00BC6DF9" w:rsidRDefault="00CC41B4">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BC6DF9" w:rsidRDefault="00CC41B4">
      <w:pPr>
        <w:pStyle w:val="Heading3"/>
      </w:pPr>
      <w:bookmarkStart w:id="22" w:name="study-design-and-clinical-details"/>
      <w:bookmarkEnd w:id="21"/>
      <w:r>
        <w:t>Study design and clinical details</w:t>
      </w:r>
    </w:p>
    <w:p w:rsidR="00BC6DF9" w:rsidRDefault="00CC41B4">
      <w:pPr>
        <w:pStyle w:val="FirstParagraph"/>
      </w:pPr>
      <w:r>
        <w:t xml:space="preserve">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w:t>
      </w:r>
      <w:r>
        <w:lastRenderedPageBreak/>
        <w:t>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50</w:t>
        </w:r>
      </w:hyperlink>
      <w:r>
        <w:t>). Participants were assigned a single donor for all doses throughout the study period. Deviations from the prescribed design are detailed in Supplementary Table 7.</w:t>
      </w:r>
    </w:p>
    <w:p w:rsidR="00BC6DF9" w:rsidRDefault="00CC41B4">
      <w:pPr>
        <w:pStyle w:val="BodyText"/>
      </w:pPr>
      <w:r>
        <w:t>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51</w:t>
        </w:r>
      </w:hyperlink>
      <w:r>
        <w:t>–</w:t>
      </w:r>
      <w:hyperlink w:anchor="ref-Mantzaris2001">
        <w:r>
          <w:rPr>
            <w:rStyle w:val="Hyperlink"/>
          </w:rPr>
          <w:t>54</w:t>
        </w:r>
      </w:hyperlink>
      <w:r>
        <w:t>), and due to the short duration of antibiotic treatment in this study.</w:t>
      </w:r>
    </w:p>
    <w:p w:rsidR="00BC6DF9" w:rsidRDefault="00CC41B4">
      <w:pPr>
        <w:pStyle w:val="BodyText"/>
      </w:pPr>
      <w:r>
        <w:t>Baseline data including serum inflammatory markers, infectious stool studies and fecal calprotectin were obtained prior to D0 (the initial FMT) and F1. A full list of clinical assessments is available in Supplementary Table 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BC6DF9" w:rsidRDefault="00CC41B4">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3-6, respectively.</w:t>
      </w:r>
    </w:p>
    <w:p w:rsidR="00BC6DF9" w:rsidRDefault="00CC41B4">
      <w:pPr>
        <w:pStyle w:val="Heading3"/>
      </w:pPr>
      <w:bookmarkStart w:id="23" w:name="data-processing-and-reproducibility"/>
      <w:bookmarkEnd w:id="22"/>
      <w:r>
        <w:t>Data processing and reproducibility</w:t>
      </w:r>
    </w:p>
    <w:p w:rsidR="00BC6DF9" w:rsidRDefault="00CC41B4">
      <w:pPr>
        <w:pStyle w:val="Heading4"/>
      </w:pPr>
      <w:bookmarkStart w:id="24" w:name="environment-and-pipeline"/>
      <w:r>
        <w:t>Environment and pipeline</w:t>
      </w:r>
    </w:p>
    <w:p w:rsidR="00BC6DF9" w:rsidRDefault="00CC41B4">
      <w:pPr>
        <w:pStyle w:val="FirstParagraph"/>
      </w:pPr>
      <w:r>
        <w:t>Sequence and metabolite data were analyzed using a reproducible pipeline implemented with the Snakemake workflow manager (</w:t>
      </w:r>
      <w:hyperlink w:anchor="ref-Koster2012">
        <w:r>
          <w:rPr>
            <w:rStyle w:val="Hyperlink"/>
          </w:rPr>
          <w:t>55</w:t>
        </w:r>
      </w:hyperlink>
      <w:r>
        <w:t>). Our computational environment is available as a Docker container &lt;</w:t>
      </w:r>
      <w:hyperlink r:id="rId13">
        <w:r>
          <w:rPr>
            <w:rStyle w:val="Hyperlink"/>
          </w:rPr>
          <w:t>https://hub.docker.com/repository/docker/bsmith89/compbio</w:t>
        </w:r>
      </w:hyperlink>
      <w:r>
        <w:t>&gt; (</w:t>
      </w:r>
      <w:hyperlink w:anchor="ref-Merkel2014">
        <w:r>
          <w:rPr>
            <w:rStyle w:val="Hyperlink"/>
          </w:rPr>
          <w:t>56</w:t>
        </w:r>
      </w:hyperlink>
      <w:r>
        <w:t>) and uses Conda (</w:t>
      </w:r>
      <w:hyperlink w:anchor="ref-anaconda">
        <w:r>
          <w:rPr>
            <w:rStyle w:val="Hyperlink"/>
          </w:rPr>
          <w:t>57</w:t>
        </w:r>
      </w:hyperlink>
      <w:r>
        <w:t>) for most software installations. Final analyses were performed and visualized in Python and R using the Jupyter Notebook environment (</w:t>
      </w:r>
      <w:hyperlink w:anchor="ref-Kluyver2016">
        <w:r>
          <w:rPr>
            <w:rStyle w:val="Hyperlink"/>
          </w:rPr>
          <w:t>58</w:t>
        </w:r>
      </w:hyperlink>
      <w:r>
        <w:t>), and a rendering of our analysis notebook is available as a Supplementary Note. Where randomization was used, random number generators were seeded with a fixed value for reproducibility. Detailed descriptions of the data analysis pipeline is included in the Supplementary Methods.</w:t>
      </w:r>
    </w:p>
    <w:p w:rsidR="00BC6DF9" w:rsidRDefault="00CC41B4">
      <w:pPr>
        <w:pStyle w:val="Heading4"/>
      </w:pPr>
      <w:bookmarkStart w:id="25" w:name="taxonomic-profiling"/>
      <w:bookmarkEnd w:id="24"/>
      <w:r>
        <w:t>Taxonomic profiling</w:t>
      </w:r>
    </w:p>
    <w:p w:rsidR="00BC6DF9" w:rsidRDefault="00CC41B4">
      <w:pPr>
        <w:pStyle w:val="FirstParagraph"/>
      </w:pPr>
      <w:r>
        <w:t>We applied GT-PRO (</w:t>
      </w:r>
      <w:hyperlink w:anchor="ref-Shi2020">
        <w:r>
          <w:rPr>
            <w:rStyle w:val="Hyperlink"/>
          </w:rPr>
          <w:t>36</w:t>
        </w:r>
      </w:hyperlink>
      <w:r>
        <w:t>) to count the occurences of reads containing exact k-mers representative of previously identified, per-species, bi-allelic positions in the UHGG (</w:t>
      </w:r>
      <w:hyperlink w:anchor="ref-Almeida2021">
        <w:r>
          <w:rPr>
            <w:rStyle w:val="Hyperlink"/>
          </w:rPr>
          <w:t>59</w:t>
        </w:r>
      </w:hyperlink>
      <w:r>
        <w:t xml:space="preserve">),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t>
      </w:r>
      <w:r>
        <w:lastRenderedPageBreak/>
        <w:t>were then calculated as the coverage of each species divided by the total coverage of all species estimated for that sample.</w:t>
      </w:r>
    </w:p>
    <w:p w:rsidR="00BC6DF9" w:rsidRDefault="00CC41B4">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rsidR="00BC6DF9" w:rsidRDefault="00CC41B4">
      <w:pPr>
        <w:pStyle w:val="BodyText"/>
      </w:pPr>
      <w:r>
        <w:t>We demonstrate improvements in sensitivity to transfer events using this approach in a Supplementary Note.</w:t>
      </w:r>
    </w:p>
    <w:p w:rsidR="00BC6DF9" w:rsidRDefault="00CC41B4">
      <w:pPr>
        <w:pStyle w:val="Heading3"/>
      </w:pPr>
      <w:bookmarkStart w:id="26" w:name="statistical-analysis"/>
      <w:bookmarkEnd w:id="23"/>
      <w:bookmarkEnd w:id="25"/>
      <w:r>
        <w:t>Statistical analysis</w:t>
      </w:r>
    </w:p>
    <w:p w:rsidR="00BC6DF9" w:rsidRDefault="00CC41B4">
      <w:pPr>
        <w:pStyle w:val="Heading4"/>
      </w:pPr>
      <w:bookmarkStart w:id="27" w:name="Xce877760c4c4962b30d435bc41d05e3e8ac4036"/>
      <w:r>
        <w:t>Patient/sample exclusion and efficacy statistics</w:t>
      </w:r>
    </w:p>
    <w:p w:rsidR="00BC6DF9" w:rsidRDefault="00CC41B4">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3-6.</w:t>
      </w:r>
    </w:p>
    <w:p w:rsidR="00BC6DF9" w:rsidRDefault="00CC41B4">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C6DF9" w:rsidRDefault="00CC41B4">
      <w:pPr>
        <w:pStyle w:val="BodyText"/>
      </w:pPr>
      <w:r>
        <w:t>Given the small sample size and exploratory analyses, statistical significance was not corrected for multiple testing, throughout.</w:t>
      </w:r>
    </w:p>
    <w:p w:rsidR="00BC6DF9" w:rsidRDefault="00CC41B4">
      <w:pPr>
        <w:pStyle w:val="Heading4"/>
      </w:pPr>
      <w:bookmarkStart w:id="28" w:name="X5acd4262891c8c4349f12b5f1b2a0d9b1ceaf87"/>
      <w:bookmarkEnd w:id="27"/>
      <w:r>
        <w:t>Profile comparisons: Dissimilarities, ordination, clustering analysis</w:t>
      </w:r>
    </w:p>
    <w:p w:rsidR="00BC6DF9" w:rsidRDefault="00CC41B4">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 (</w:t>
      </w:r>
      <w:hyperlink w:anchor="ref-Parks2018">
        <w:r>
          <w:rPr>
            <w:rStyle w:val="Hyperlink"/>
          </w:rPr>
          <w:t>37</w:t>
        </w:r>
      </w:hyperlink>
      <w:r>
        <w:t xml:space="preserve">, </w:t>
      </w:r>
      <w:hyperlink w:anchor="ref-Parks2020">
        <w:r>
          <w:rPr>
            <w:rStyle w:val="Hyperlink"/>
          </w:rPr>
          <w:t>38</w:t>
        </w:r>
      </w:hyperlink>
      <w:r>
        <w:t xml:space="preserve">).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t>
      </w:r>
      <w:r>
        <w:lastRenderedPageBreak/>
        <w:t>were performed using non-metric multidimensional scaling as implemented in the Scikit-Learn package for Python (</w:t>
      </w:r>
      <w:hyperlink w:anchor="ref-Pedregosa2012">
        <w:r>
          <w:rPr>
            <w:rStyle w:val="Hyperlink"/>
          </w:rPr>
          <w:t>60</w:t>
        </w:r>
      </w:hyperlink>
      <w:r>
        <w:t>). Clustering of profiles by donor and patient was tested with ANOSIM using 9999 permutations to calculate a p-value.</w:t>
      </w:r>
    </w:p>
    <w:p w:rsidR="00BC6DF9" w:rsidRDefault="00CC41B4">
      <w:pPr>
        <w:pStyle w:val="Heading4"/>
      </w:pPr>
      <w:bookmarkStart w:id="29" w:name="longitudinal-data-analysis"/>
      <w:bookmarkEnd w:id="28"/>
      <w:r>
        <w:t>Longitudinal data analysis</w:t>
      </w:r>
    </w:p>
    <w:p w:rsidR="00BC6DF9" w:rsidRDefault="00CC41B4">
      <w:pPr>
        <w:pStyle w:val="FirstParagraph"/>
      </w:pPr>
      <w:r>
        <w:t>For response variables with repeated measures on the same patients, the effects of treatment parameters were tested under the general estimating equations framework (implemented in the geepack package for R (</w:t>
      </w:r>
      <w:hyperlink w:anchor="ref-Hojsgaard2005">
        <w:r>
          <w:rPr>
            <w:rStyle w:val="Hyperlink"/>
          </w:rPr>
          <w:t>61</w:t>
        </w:r>
      </w:hyperlink>
      <w:r>
        <w:t>))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to test for effects of treatment parameters above and beyond this sometimes confounding random effect.</w:t>
      </w:r>
    </w:p>
    <w:p w:rsidR="00BC6DF9" w:rsidRDefault="00CC41B4">
      <w:pPr>
        <w:pStyle w:val="Heading4"/>
      </w:pPr>
      <w:bookmarkStart w:id="30" w:name="mantel-tests"/>
      <w:bookmarkEnd w:id="29"/>
      <w:r>
        <w:t>Mantel tests</w:t>
      </w:r>
    </w:p>
    <w:p w:rsidR="00BC6DF9" w:rsidRDefault="00CC41B4">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62</w:t>
        </w:r>
      </w:hyperlink>
      <w:r>
        <w:t>), the method has been applied in past studies linking different features of the microbiome (</w:t>
      </w:r>
      <w:hyperlink w:anchor="ref-Lloyd-Price2019">
        <w:r>
          <w:rPr>
            <w:rStyle w:val="Hyperlink"/>
          </w:rPr>
          <w:t>63</w:t>
        </w:r>
      </w:hyperlink>
      <w:r>
        <w:t>). In addition, spatial and temporal autocorrelation is expected to result in decreased power, making this approach a conservative measure of associations across data types.</w:t>
      </w:r>
    </w:p>
    <w:p w:rsidR="00BC6DF9" w:rsidRDefault="00CC41B4">
      <w:pPr>
        <w:pStyle w:val="Heading2"/>
      </w:pPr>
      <w:bookmarkStart w:id="31" w:name="endmatter"/>
      <w:bookmarkEnd w:id="20"/>
      <w:bookmarkEnd w:id="26"/>
      <w:bookmarkEnd w:id="30"/>
      <w:r>
        <w:t>Endmatter</w:t>
      </w:r>
    </w:p>
    <w:p w:rsidR="00BC6DF9" w:rsidRDefault="00CC41B4">
      <w:pPr>
        <w:pStyle w:val="Heading3"/>
      </w:pPr>
      <w:bookmarkStart w:id="32" w:name="author-contributions"/>
      <w:r>
        <w:t>Author Contributions</w:t>
      </w:r>
    </w:p>
    <w:p w:rsidR="00BC6DF9" w:rsidRDefault="00CC41B4">
      <w:pPr>
        <w:pStyle w:val="Compact"/>
        <w:numPr>
          <w:ilvl w:val="0"/>
          <w:numId w:val="16"/>
        </w:numPr>
      </w:pPr>
      <w:r>
        <w:t>BJS: conceptualization, data curation, formal analysis, methodology, software, visualization, writing - original draft, writing - review &amp; editing.</w:t>
      </w:r>
    </w:p>
    <w:p w:rsidR="00BC6DF9" w:rsidRDefault="00CC41B4">
      <w:pPr>
        <w:pStyle w:val="Compact"/>
        <w:numPr>
          <w:ilvl w:val="0"/>
          <w:numId w:val="16"/>
        </w:numPr>
      </w:pPr>
      <w:r>
        <w:t>YMP: methodology, investigation, writing - review &amp; editing.</w:t>
      </w:r>
    </w:p>
    <w:p w:rsidR="00BC6DF9" w:rsidRDefault="00CC41B4">
      <w:pPr>
        <w:pStyle w:val="Compact"/>
        <w:numPr>
          <w:ilvl w:val="0"/>
          <w:numId w:val="16"/>
        </w:numPr>
      </w:pPr>
      <w:r>
        <w:t>KSP: conceptualization, methodology, writing - review &amp; editing, funding acquisition, supervision</w:t>
      </w:r>
    </w:p>
    <w:p w:rsidR="00BC6DF9" w:rsidRDefault="00CC41B4">
      <w:pPr>
        <w:pStyle w:val="Compact"/>
        <w:numPr>
          <w:ilvl w:val="0"/>
          <w:numId w:val="16"/>
        </w:numPr>
      </w:pPr>
      <w:r>
        <w:t>LAS: Project administration, investigation, resources, writing - review and editing</w:t>
      </w:r>
    </w:p>
    <w:p w:rsidR="00BC6DF9" w:rsidRDefault="00CC41B4">
      <w:pPr>
        <w:pStyle w:val="Compact"/>
        <w:numPr>
          <w:ilvl w:val="0"/>
          <w:numId w:val="16"/>
        </w:numPr>
      </w:pPr>
      <w:r>
        <w:t>NE: conceptualization, patient recruitment/enrollment, methodology, supervision, funding acquisition, writing- review and editing</w:t>
      </w:r>
    </w:p>
    <w:p w:rsidR="00BC6DF9" w:rsidRDefault="00CC41B4">
      <w:pPr>
        <w:pStyle w:val="Compact"/>
        <w:numPr>
          <w:ilvl w:val="0"/>
          <w:numId w:val="16"/>
        </w:numPr>
      </w:pPr>
      <w:r>
        <w:t>MZ: project administration, data collection, writing - review and editing</w:t>
      </w:r>
    </w:p>
    <w:p w:rsidR="00BC6DF9" w:rsidRDefault="00CC41B4">
      <w:pPr>
        <w:pStyle w:val="Compact"/>
        <w:numPr>
          <w:ilvl w:val="0"/>
          <w:numId w:val="16"/>
        </w:numPr>
      </w:pPr>
      <w:r>
        <w:t>ZK: conceptualization, methodology, writing - review and editing</w:t>
      </w:r>
    </w:p>
    <w:p w:rsidR="00BC6DF9" w:rsidRDefault="00CC41B4">
      <w:pPr>
        <w:pStyle w:val="Compact"/>
        <w:numPr>
          <w:ilvl w:val="0"/>
          <w:numId w:val="16"/>
        </w:numPr>
      </w:pPr>
      <w:r>
        <w:t>JPT: patient recruitment, review and editing</w:t>
      </w:r>
    </w:p>
    <w:p w:rsidR="00BC6DF9" w:rsidRDefault="00CC41B4">
      <w:pPr>
        <w:pStyle w:val="Compact"/>
        <w:numPr>
          <w:ilvl w:val="0"/>
          <w:numId w:val="16"/>
        </w:numPr>
      </w:pPr>
      <w:r>
        <w:t>AM: funding acquisition, conceptualization</w:t>
      </w:r>
    </w:p>
    <w:p w:rsidR="00BC6DF9" w:rsidRDefault="00CC41B4">
      <w:pPr>
        <w:pStyle w:val="Compact"/>
        <w:numPr>
          <w:ilvl w:val="0"/>
          <w:numId w:val="16"/>
        </w:numPr>
      </w:pPr>
      <w:r>
        <w:t>BZ: data curation, methodology, formal analysis, writing - original draft, writing - review and editing</w:t>
      </w:r>
    </w:p>
    <w:p w:rsidR="00BC6DF9" w:rsidRDefault="00CC41B4">
      <w:pPr>
        <w:pStyle w:val="Compact"/>
        <w:numPr>
          <w:ilvl w:val="0"/>
          <w:numId w:val="16"/>
        </w:numPr>
      </w:pPr>
      <w:r>
        <w:t>SVL: funding acquisition, conceptualization, supervision, writing - review and editing</w:t>
      </w:r>
    </w:p>
    <w:p w:rsidR="00BC6DF9" w:rsidRDefault="00CC41B4">
      <w:pPr>
        <w:pStyle w:val="Heading3"/>
      </w:pPr>
      <w:bookmarkStart w:id="33" w:name="acknowledgements"/>
      <w:bookmarkEnd w:id="32"/>
      <w:r>
        <w:t>Acknowledgements</w:t>
      </w:r>
    </w:p>
    <w:p w:rsidR="00BC6DF9" w:rsidRDefault="00CC41B4">
      <w:pPr>
        <w:pStyle w:val="Compact"/>
        <w:numPr>
          <w:ilvl w:val="0"/>
          <w:numId w:val="17"/>
        </w:numPr>
      </w:pPr>
      <w:r>
        <w:lastRenderedPageBreak/>
        <w:t>BJS and BZ are supported by funding from the National Institutes of Health grant number 5T32DK007007.</w:t>
      </w:r>
    </w:p>
    <w:p w:rsidR="00BC6DF9" w:rsidRDefault="00CC41B4">
      <w:pPr>
        <w:pStyle w:val="Compact"/>
        <w:numPr>
          <w:ilvl w:val="0"/>
          <w:numId w:val="17"/>
        </w:numPr>
      </w:pPr>
      <w:r>
        <w:t>KSP and BJS were supported by funding from National Science Foundation grant number 1563159, Chan Zuckerberg Biohub, and Gladstone Institutes.</w:t>
      </w:r>
    </w:p>
    <w:p w:rsidR="00BC6DF9" w:rsidRDefault="00CC41B4">
      <w:pPr>
        <w:pStyle w:val="Compact"/>
        <w:numPr>
          <w:ilvl w:val="0"/>
          <w:numId w:val="17"/>
        </w:numPr>
      </w:pPr>
      <w:r>
        <w:t>NE, MZ and YMP were supported by funding from the Kenneth Rainin Foundation</w:t>
      </w:r>
    </w:p>
    <w:p w:rsidR="00BC6DF9" w:rsidRDefault="00CC41B4">
      <w:pPr>
        <w:pStyle w:val="Compact"/>
        <w:numPr>
          <w:ilvl w:val="0"/>
          <w:numId w:val="17"/>
        </w:numPr>
      </w:pPr>
      <w:r>
        <w:t>Kole Lynch and Doug Fadrosh prepared libraries and sequenced 16S rRNA gene amplicons.</w:t>
      </w:r>
    </w:p>
    <w:p w:rsidR="00BC6DF9" w:rsidRDefault="00CC41B4">
      <w:pPr>
        <w:pStyle w:val="Compact"/>
        <w:numPr>
          <w:ilvl w:val="0"/>
          <w:numId w:val="17"/>
        </w:numPr>
      </w:pPr>
      <w:r>
        <w:t>Françoise Chanut provided editorial support.</w:t>
      </w:r>
    </w:p>
    <w:p w:rsidR="00BC6DF9" w:rsidRDefault="00CC41B4">
      <w:pPr>
        <w:pStyle w:val="Heading3"/>
      </w:pPr>
      <w:bookmarkStart w:id="34" w:name="competing-interests"/>
      <w:bookmarkEnd w:id="33"/>
      <w:r>
        <w:t>Competing Interests</w:t>
      </w:r>
    </w:p>
    <w:p w:rsidR="00BC6DF9" w:rsidRDefault="00CC41B4">
      <w:pPr>
        <w:pStyle w:val="Compact"/>
        <w:numPr>
          <w:ilvl w:val="0"/>
          <w:numId w:val="18"/>
        </w:numPr>
      </w:pPr>
      <w:r>
        <w:t>YMP is an employee of Symbiome, Inc.</w:t>
      </w:r>
    </w:p>
    <w:p w:rsidR="00BC6DF9" w:rsidRDefault="00CC41B4">
      <w:pPr>
        <w:pStyle w:val="Compact"/>
        <w:numPr>
          <w:ilvl w:val="0"/>
          <w:numId w:val="18"/>
        </w:numPr>
      </w:pPr>
      <w:r>
        <w:t>ZK is an employee/shareholder at Finch Therapeutics</w:t>
      </w:r>
    </w:p>
    <w:p w:rsidR="00BC6DF9" w:rsidRDefault="00CC41B4">
      <w:pPr>
        <w:pStyle w:val="Compact"/>
        <w:numPr>
          <w:ilvl w:val="0"/>
          <w:numId w:val="18"/>
        </w:numPr>
      </w:pPr>
      <w:r>
        <w:t>SVL is co-founder and shareholder of Siolta Therapeutics, Inc. and serves as both a consultant and a member of its Board of Directors.</w:t>
      </w:r>
    </w:p>
    <w:p w:rsidR="00BC6DF9" w:rsidRDefault="00CC41B4">
      <w:pPr>
        <w:pStyle w:val="Compact"/>
        <w:numPr>
          <w:ilvl w:val="0"/>
          <w:numId w:val="18"/>
        </w:numPr>
      </w:pPr>
      <w:r>
        <w:t>KSP is on the scientific advisory board of Phylagen.</w:t>
      </w:r>
    </w:p>
    <w:p w:rsidR="00BC6DF9" w:rsidRDefault="00CC41B4">
      <w:pPr>
        <w:pStyle w:val="Compact"/>
        <w:numPr>
          <w:ilvl w:val="0"/>
          <w:numId w:val="18"/>
        </w:numPr>
      </w:pPr>
      <w:r>
        <w:t>NE has received research support from Finch Therapeutics and Assembly Biosciences, and has been a consultant for Federation Bio and Ferring Pharmaceuticals.</w:t>
      </w:r>
    </w:p>
    <w:p w:rsidR="00BC6DF9" w:rsidRDefault="00CC41B4">
      <w:pPr>
        <w:pStyle w:val="Compact"/>
        <w:numPr>
          <w:ilvl w:val="0"/>
          <w:numId w:val="18"/>
        </w:numPr>
      </w:pPr>
      <w:r>
        <w:t>All other authors declare no competing interests</w:t>
      </w:r>
    </w:p>
    <w:p w:rsidR="00BC6DF9" w:rsidRDefault="00CC41B4">
      <w:pPr>
        <w:pStyle w:val="Heading3"/>
      </w:pPr>
      <w:bookmarkStart w:id="35" w:name="data-availability"/>
      <w:bookmarkEnd w:id="34"/>
      <w:r>
        <w:t>Data availability</w:t>
      </w:r>
    </w:p>
    <w:p w:rsidR="00BC6DF9" w:rsidRDefault="00CC41B4">
      <w:pPr>
        <w:pStyle w:val="FirstParagraph"/>
      </w:pPr>
      <w:r>
        <w:t>Amplicon sequences from the 16S rRNA gene and metagenomic sequences with human reads removed were uploaded to the SRA under BioProject PRJNA737472. All code and metadata needed to reproduce our results are available at &lt;</w:t>
      </w:r>
      <w:hyperlink r:id="rId14">
        <w:r>
          <w:rPr>
            <w:rStyle w:val="Hyperlink"/>
          </w:rPr>
          <w:t>https://github.com/bsmith89/ucfmt2</w:t>
        </w:r>
      </w:hyperlink>
      <w:r>
        <w:t>&gt;.</w:t>
      </w:r>
    </w:p>
    <w:p w:rsidR="004B7B3B" w:rsidRDefault="004B7B3B">
      <w:pPr>
        <w:spacing w:before="0" w:after="200"/>
        <w:rPr>
          <w:rFonts w:eastAsiaTheme="majorEastAsia"/>
          <w:b/>
          <w:bCs/>
          <w:color w:val="000000" w:themeColor="text1"/>
          <w:sz w:val="28"/>
          <w:szCs w:val="28"/>
        </w:rPr>
      </w:pPr>
      <w:bookmarkStart w:id="36" w:name="supplementary-information"/>
      <w:bookmarkEnd w:id="31"/>
      <w:bookmarkEnd w:id="35"/>
      <w:r>
        <w:br w:type="page"/>
      </w:r>
    </w:p>
    <w:p w:rsidR="00BC6DF9" w:rsidRDefault="00CC41B4">
      <w:pPr>
        <w:pStyle w:val="Heading2"/>
      </w:pPr>
      <w:r>
        <w:lastRenderedPageBreak/>
        <w:t>Supplementary Information</w:t>
      </w:r>
    </w:p>
    <w:p w:rsidR="00BC6DF9" w:rsidRDefault="00CC41B4">
      <w:pPr>
        <w:pStyle w:val="Heading3"/>
      </w:pPr>
      <w:bookmarkStart w:id="37" w:name="supplementary-note-analysis-notebook"/>
      <w:r>
        <w:t>Supplementary Note: Analysis Notebook</w:t>
      </w:r>
    </w:p>
    <w:p w:rsidR="00BC6DF9" w:rsidRDefault="00CC41B4">
      <w:pPr>
        <w:pStyle w:val="FirstParagraph"/>
      </w:pPr>
      <w:r>
        <w:t>Static rendering of Jupyter notebook with analysis/plotting of relevant results.</w:t>
      </w:r>
    </w:p>
    <w:p w:rsidR="00BC6DF9" w:rsidRDefault="00CC41B4">
      <w:pPr>
        <w:pStyle w:val="BodyText"/>
      </w:pPr>
      <w:r>
        <w:rPr>
          <w:rStyle w:val="VerbatimChar"/>
        </w:rPr>
        <w:t>CodeNotebook.html</w:t>
      </w:r>
    </w:p>
    <w:p w:rsidR="00BC6DF9" w:rsidRDefault="00CC41B4">
      <w:pPr>
        <w:pStyle w:val="Heading3"/>
      </w:pPr>
      <w:bookmarkStart w:id="38" w:name="X4b6eb7af5d35fb2942769ee9e167210a27b6ed1"/>
      <w:bookmarkEnd w:id="37"/>
      <w:r>
        <w:t>Supplementary Results: Patient Demographics</w:t>
      </w:r>
    </w:p>
    <w:p w:rsidR="00BC6DF9" w:rsidRDefault="00CC41B4">
      <w:pPr>
        <w:pStyle w:val="TableCaption"/>
      </w:pPr>
      <w:bookmarkStart w:id="39" w:name="table1"/>
      <w:bookmarkStart w:id="40" w:name="tbl:demographics"/>
      <w:r>
        <w:t>Table </w:t>
      </w:r>
      <w:r>
        <w:fldChar w:fldCharType="begin"/>
      </w:r>
      <w:r>
        <w:instrText xml:space="preserve">SEQ Table \* ARABIC </w:instrText>
      </w:r>
      <w:r>
        <w:fldChar w:fldCharType="separate"/>
      </w:r>
      <w:r>
        <w:t>1</w:t>
      </w:r>
      <w:r>
        <w:fldChar w:fldCharType="end"/>
      </w:r>
      <w:r>
        <w:t>:</w:t>
      </w:r>
      <w:bookmarkEnd w:id="39"/>
      <w:r>
        <w:t xml:space="preserve"> Summary of demographics for 22 patients included in efficacy statistics</w:t>
      </w:r>
    </w:p>
    <w:tbl>
      <w:tblPr>
        <w:tblW w:w="0" w:type="auto"/>
        <w:tblLook w:val="0020" w:firstRow="1" w:lastRow="0" w:firstColumn="0" w:lastColumn="0" w:noHBand="0" w:noVBand="0"/>
        <w:tblCaption w:val="Table 1: Summary of demographics for 22 patients included in efficacy statistics"/>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Heading3"/>
      </w:pPr>
      <w:bookmarkStart w:id="41" w:name="supplementary-results-adverse-events"/>
      <w:bookmarkEnd w:id="38"/>
      <w:bookmarkEnd w:id="40"/>
      <w:r>
        <w:t>Supplementary Results: Adverse Events</w:t>
      </w:r>
    </w:p>
    <w:p w:rsidR="00BC6DF9" w:rsidRDefault="00CC41B4">
      <w:pPr>
        <w:pStyle w:val="TableCaption"/>
      </w:pPr>
      <w:bookmarkStart w:id="42" w:name="table2"/>
      <w:bookmarkStart w:id="43" w:name="tbl:adverse-events"/>
      <w:r>
        <w:t>Table </w:t>
      </w:r>
      <w:r>
        <w:fldChar w:fldCharType="begin"/>
      </w:r>
      <w:r>
        <w:instrText xml:space="preserve">SEQ Table \* ARABIC </w:instrText>
      </w:r>
      <w:r>
        <w:fldChar w:fldCharType="separate"/>
      </w:r>
      <w:r>
        <w:t>2</w:t>
      </w:r>
      <w:r>
        <w:fldChar w:fldCharType="end"/>
      </w:r>
      <w:r>
        <w:t>:</w:t>
      </w:r>
      <w:bookmarkEnd w:id="42"/>
      <w:r>
        <w:t xml:space="preserve"> Summary of adverse events for all patients enrolled. Numbers indicate number of patients experiencing one or more events of each type. Where events are on a three point scale, higher values mean more severe events.</w:t>
      </w:r>
    </w:p>
    <w:tbl>
      <w:tblPr>
        <w:tblW w:w="0" w:type="auto"/>
        <w:tblLook w:val="0020" w:firstRow="1" w:lastRow="0" w:firstColumn="0" w:lastColumn="0" w:noHBand="0" w:noVBand="0"/>
        <w:tblCaption w:val="Table 2: Summary of adverse events for all patients enrolled. Numbers indicate number of patients experiencing one or more events of each type. Where events are on a three point scale, higher values mean more severe events."/>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Heading3"/>
      </w:pPr>
      <w:bookmarkStart w:id="44" w:name="X33f00579c034ba83899995d4db65b33dafd9e69"/>
      <w:bookmarkEnd w:id="41"/>
      <w:bookmarkEnd w:id="43"/>
      <w:r>
        <w:t>Supplementary Table: Samples and Microbiome Profiles Collected by Patient</w:t>
      </w:r>
    </w:p>
    <w:p w:rsidR="00BC6DF9" w:rsidRDefault="00CC41B4">
      <w:pPr>
        <w:pStyle w:val="TableCaption"/>
      </w:pPr>
      <w:bookmarkStart w:id="45" w:name="table3"/>
      <w:bookmarkStart w:id="46" w:name="tbl:samples-avail"/>
      <w:r>
        <w:t>Table </w:t>
      </w:r>
      <w:r>
        <w:fldChar w:fldCharType="begin"/>
      </w:r>
      <w:r>
        <w:instrText xml:space="preserve">SEQ Table \* ARABIC </w:instrText>
      </w:r>
      <w:r>
        <w:fldChar w:fldCharType="separate"/>
      </w:r>
      <w:r>
        <w:t>3</w:t>
      </w:r>
      <w:r>
        <w:fldChar w:fldCharType="end"/>
      </w:r>
      <w:r>
        <w:t>:</w:t>
      </w:r>
      <w:bookmarkEnd w:id="45"/>
      <w:r>
        <w:t xml:space="preserve"> List of fecal samples collected.</w:t>
      </w:r>
    </w:p>
    <w:tbl>
      <w:tblPr>
        <w:tblW w:w="0" w:type="auto"/>
        <w:tblLook w:val="0020" w:firstRow="1" w:lastRow="0" w:firstColumn="0" w:lastColumn="0" w:noHBand="0" w:noVBand="0"/>
        <w:tblCaption w:val="Table 3: List of fecal samples collected."/>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TableCaption"/>
      </w:pPr>
      <w:bookmarkStart w:id="47" w:name="table4"/>
      <w:bookmarkStart w:id="48" w:name="tbl:16S-avail"/>
      <w:bookmarkEnd w:id="46"/>
      <w:r>
        <w:t>Table </w:t>
      </w:r>
      <w:r>
        <w:fldChar w:fldCharType="begin"/>
      </w:r>
      <w:r>
        <w:instrText xml:space="preserve">SEQ Table \* ARABIC </w:instrText>
      </w:r>
      <w:r>
        <w:fldChar w:fldCharType="separate"/>
      </w:r>
      <w:r>
        <w:t>4</w:t>
      </w:r>
      <w:r>
        <w:fldChar w:fldCharType="end"/>
      </w:r>
      <w:r>
        <w:t>:</w:t>
      </w:r>
      <w:bookmarkEnd w:id="47"/>
      <w:r>
        <w:t xml:space="preserve"> List of 16S rRNA gene libraries sequenced.</w:t>
      </w:r>
    </w:p>
    <w:tbl>
      <w:tblPr>
        <w:tblW w:w="0" w:type="auto"/>
        <w:tblLook w:val="0020" w:firstRow="1" w:lastRow="0" w:firstColumn="0" w:lastColumn="0" w:noHBand="0" w:noVBand="0"/>
        <w:tblCaption w:val="Table 4: List of 16S rRNA gene libraries sequenced."/>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TableCaption"/>
      </w:pPr>
      <w:bookmarkStart w:id="49" w:name="table5"/>
      <w:bookmarkStart w:id="50" w:name="tbl:mgen-avail"/>
      <w:bookmarkEnd w:id="48"/>
      <w:r>
        <w:t>Table </w:t>
      </w:r>
      <w:r>
        <w:fldChar w:fldCharType="begin"/>
      </w:r>
      <w:r>
        <w:instrText xml:space="preserve">SEQ Table \* ARABIC </w:instrText>
      </w:r>
      <w:r>
        <w:fldChar w:fldCharType="separate"/>
      </w:r>
      <w:r>
        <w:t>5</w:t>
      </w:r>
      <w:r>
        <w:fldChar w:fldCharType="end"/>
      </w:r>
      <w:r>
        <w:t>:</w:t>
      </w:r>
      <w:bookmarkEnd w:id="49"/>
      <w:r>
        <w:t xml:space="preserve"> List of shotgun metagenomic libraries sequenced.</w:t>
      </w:r>
    </w:p>
    <w:tbl>
      <w:tblPr>
        <w:tblW w:w="0" w:type="auto"/>
        <w:tblLook w:val="0020" w:firstRow="1" w:lastRow="0" w:firstColumn="0" w:lastColumn="0" w:noHBand="0" w:noVBand="0"/>
        <w:tblCaption w:val="Table 5: List of shotgun metagenomic libraries sequenced."/>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TableCaption"/>
      </w:pPr>
      <w:bookmarkStart w:id="51" w:name="table6"/>
      <w:bookmarkStart w:id="52" w:name="tbl:metab-avail"/>
      <w:bookmarkEnd w:id="50"/>
      <w:r>
        <w:t>Table </w:t>
      </w:r>
      <w:r>
        <w:fldChar w:fldCharType="begin"/>
      </w:r>
      <w:r>
        <w:instrText xml:space="preserve">SEQ Table \* ARABIC </w:instrText>
      </w:r>
      <w:r>
        <w:fldChar w:fldCharType="separate"/>
      </w:r>
      <w:r>
        <w:t>6</w:t>
      </w:r>
      <w:r>
        <w:fldChar w:fldCharType="end"/>
      </w:r>
      <w:r>
        <w:t>:</w:t>
      </w:r>
      <w:bookmarkEnd w:id="51"/>
      <w:r>
        <w:t xml:space="preserve"> List of metabolomic profiles collected.</w:t>
      </w:r>
    </w:p>
    <w:tbl>
      <w:tblPr>
        <w:tblW w:w="0" w:type="auto"/>
        <w:tblLook w:val="0020" w:firstRow="1" w:lastRow="0" w:firstColumn="0" w:lastColumn="0" w:noHBand="0" w:noVBand="0"/>
        <w:tblCaption w:val="Table 6: List of metabolomic profiles collected."/>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Heading3"/>
      </w:pPr>
      <w:bookmarkStart w:id="53" w:name="Xa59f4e54fa9672b41fb7685373443f02c5aa002"/>
      <w:bookmarkEnd w:id="44"/>
      <w:bookmarkEnd w:id="52"/>
      <w:r>
        <w:t>Supplementary Results: Patients Deviating from Initial Study Design</w:t>
      </w:r>
    </w:p>
    <w:p w:rsidR="00BC6DF9" w:rsidRDefault="00CC41B4">
      <w:pPr>
        <w:pStyle w:val="TableCaption"/>
      </w:pPr>
      <w:bookmarkStart w:id="54" w:name="table7"/>
      <w:bookmarkStart w:id="55" w:name="tbl:protocol-deviations"/>
      <w:r>
        <w:t>Table </w:t>
      </w:r>
      <w:r>
        <w:fldChar w:fldCharType="begin"/>
      </w:r>
      <w:r>
        <w:instrText xml:space="preserve">SEQ Table \* ARABIC </w:instrText>
      </w:r>
      <w:r>
        <w:fldChar w:fldCharType="separate"/>
      </w:r>
      <w:r>
        <w:t>7</w:t>
      </w:r>
      <w:r>
        <w:fldChar w:fldCharType="end"/>
      </w:r>
      <w:r>
        <w:t>:</w:t>
      </w:r>
      <w:bookmarkEnd w:id="54"/>
      <w:r>
        <w:t xml:space="preserve"> Summary of relevant deviations from main protocol.</w:t>
      </w:r>
    </w:p>
    <w:tbl>
      <w:tblPr>
        <w:tblW w:w="0" w:type="auto"/>
        <w:tblLook w:val="0020" w:firstRow="1" w:lastRow="0" w:firstColumn="0" w:lastColumn="0" w:noHBand="0" w:noVBand="0"/>
        <w:tblCaption w:val="Table 7: Summary of relevant deviations from main protocol."/>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Heading3"/>
      </w:pPr>
      <w:bookmarkStart w:id="56" w:name="Xa2dda8c49a20dc92bfe8065b4232b0a152ca635"/>
      <w:bookmarkEnd w:id="53"/>
      <w:bookmarkEnd w:id="55"/>
      <w:r>
        <w:t>Supplementary Data: Ordinations of microbiome profiles colored by patient</w:t>
      </w:r>
    </w:p>
    <w:p w:rsidR="00BC6DF9" w:rsidRDefault="00CC41B4">
      <w:bookmarkStart w:id="57" w:name="fig:ordination-by-subject"/>
      <w:r>
        <w:rPr>
          <w:noProof/>
        </w:rPr>
        <w:lastRenderedPageBreak/>
        <w:drawing>
          <wp:inline distT="0" distB="0" distL="0" distR="0">
            <wp:extent cx="5943600" cy="7209586"/>
            <wp:effectExtent l="0" t="0" r="0" b="0"/>
            <wp:docPr id="5" name="Picture" descr="Figure 5: Clustering of taxonomic, functional, and BA profiles across time points. Ordinations are calculated and plotted as in Fig. 2. For (A-C) datatypes where donor samples were also profiled, larger points with black outlines represent the mean of all samples from that donor. Samples from each subject are differentiated by color and shape as indicated in the legend (bottom left). Patients’ baseline samples are outlined in black. The same four ordinations colored by assigned donors are available as Fig. 2A-D."/>
            <wp:cNvGraphicFramePr/>
            <a:graphic xmlns:a="http://schemas.openxmlformats.org/drawingml/2006/main">
              <a:graphicData uri="http://schemas.openxmlformats.org/drawingml/2006/picture">
                <pic:pic xmlns:pic="http://schemas.openxmlformats.org/drawingml/2006/picture">
                  <pic:nvPicPr>
                    <pic:cNvPr id="0" name="Picture" descr="fig/multiomics_ordination_by_subject_figure.w1000.png"/>
                    <pic:cNvPicPr>
                      <a:picLocks noChangeAspect="1" noChangeArrowheads="1"/>
                    </pic:cNvPicPr>
                  </pic:nvPicPr>
                  <pic:blipFill>
                    <a:blip r:embed="rId15"/>
                    <a:stretch>
                      <a:fillRect/>
                    </a:stretch>
                  </pic:blipFill>
                  <pic:spPr bwMode="auto">
                    <a:xfrm>
                      <a:off x="0" y="0"/>
                      <a:ext cx="5943600" cy="7209586"/>
                    </a:xfrm>
                    <a:prstGeom prst="rect">
                      <a:avLst/>
                    </a:prstGeom>
                    <a:noFill/>
                    <a:ln w="9525">
                      <a:noFill/>
                      <a:headEnd/>
                      <a:tailEnd/>
                    </a:ln>
                  </pic:spPr>
                </pic:pic>
              </a:graphicData>
            </a:graphic>
          </wp:inline>
        </w:drawing>
      </w:r>
      <w:bookmarkEnd w:id="57"/>
    </w:p>
    <w:p w:rsidR="00BC6DF9" w:rsidRDefault="00CC41B4">
      <w:pPr>
        <w:pStyle w:val="ImageCaption"/>
      </w:pPr>
      <w:bookmarkStart w:id="58" w:name="fig5"/>
      <w:r>
        <w:t>Figure </w:t>
      </w:r>
      <w:r>
        <w:fldChar w:fldCharType="begin"/>
      </w:r>
      <w:r>
        <w:instrText xml:space="preserve">SEQ Figure \* ARABIC </w:instrText>
      </w:r>
      <w:r>
        <w:fldChar w:fldCharType="separate"/>
      </w:r>
      <w:r>
        <w:t>5</w:t>
      </w:r>
      <w:r>
        <w:fldChar w:fldCharType="end"/>
      </w:r>
      <w:r>
        <w:t xml:space="preserve">: </w:t>
      </w:r>
      <w:bookmarkEnd w:id="58"/>
      <w:r>
        <w:t xml:space="preserve">Clustering of taxonomic, functional, and BA profiles across time points. Ordinations are calculated and plotted as in Fig. 2. For </w:t>
      </w:r>
      <w:r>
        <w:rPr>
          <w:b/>
          <w:bCs/>
        </w:rPr>
        <w:t>(A-C)</w:t>
      </w:r>
      <w:r>
        <w:t xml:space="preserve"> datatypes where donor samples were also profiled, larger points with black outlines represent the mean of all samples from that donor. Samples from each subject are differentiated by color and shape as indicated in the legend (bottom left). Patients’ baseline samples are outlined in black. The same four ordinations colored by assigned donors are available as Fig. 2A-D.</w:t>
      </w:r>
    </w:p>
    <w:p w:rsidR="00BC6DF9" w:rsidRDefault="00CC41B4">
      <w:pPr>
        <w:pStyle w:val="Heading3"/>
      </w:pPr>
      <w:bookmarkStart w:id="59" w:name="X33d0063c76ed0fd87069c068907909d9729dc7d"/>
      <w:bookmarkEnd w:id="56"/>
      <w:r>
        <w:lastRenderedPageBreak/>
        <w:t>Supplementary Data: Shared ASVs/Species/Strains across Donors</w:t>
      </w:r>
    </w:p>
    <w:p w:rsidR="00BC6DF9" w:rsidRDefault="00CC41B4">
      <w:pPr>
        <w:pStyle w:val="FirstParagraph"/>
      </w:pPr>
      <w:r>
        <w:t>Comparing taxa across donors presents one way to evaluate the effect of taxonomic resolution on the sensitivity of tracking transfers between individuals. That very few strains are found to be shared across donor communities (see Supplementary Fig. 5) indicates that false positives—non-transfer of a donor strain incorrectly inferred to be a transfer—are infrequent.</w:t>
      </w:r>
    </w:p>
    <w:p w:rsidR="00BC6DF9" w:rsidRDefault="00CC41B4">
      <w:bookmarkStart w:id="60" w:name="fig:taxa-venn"/>
      <w:r>
        <w:rPr>
          <w:noProof/>
        </w:rPr>
        <w:drawing>
          <wp:inline distT="0" distB="0" distL="0" distR="0">
            <wp:extent cx="5943600" cy="2062429"/>
            <wp:effectExtent l="0" t="0" r="0" b="0"/>
            <wp:docPr id="6" name="Picture" descr="Figure 6: Overlap between taxa detected in three donors shows that strain-level taxonomic resolution increases sensitivity and specificity of engraftment detection. Venn diagrams depict relationships between sets of taxa detected in donor samples, and numbers indicate the size of the respective sets. Taxa were considered to be detected in a donor if their mean relative abundance across that donor’s samples was greater than 0.01%. Circles are colored by donor as in Fig. 2. Species composition was estimated from metagenomes based on the mean coverage reported by GT-PRO (36), and was further partitioned into strain composition based on haplotype deconvolution with Strain Finder (22)."/>
            <wp:cNvGraphicFramePr/>
            <a:graphic xmlns:a="http://schemas.openxmlformats.org/drawingml/2006/main">
              <a:graphicData uri="http://schemas.openxmlformats.org/drawingml/2006/picture">
                <pic:pic xmlns:pic="http://schemas.openxmlformats.org/drawingml/2006/picture">
                  <pic:nvPicPr>
                    <pic:cNvPr id="0" name="Picture" descr="fig/donor_taxa_venn_diagram_figure.w1000.png"/>
                    <pic:cNvPicPr>
                      <a:picLocks noChangeAspect="1" noChangeArrowheads="1"/>
                    </pic:cNvPicPr>
                  </pic:nvPicPr>
                  <pic:blipFill>
                    <a:blip r:embed="rId16"/>
                    <a:stretch>
                      <a:fillRect/>
                    </a:stretch>
                  </pic:blipFill>
                  <pic:spPr bwMode="auto">
                    <a:xfrm>
                      <a:off x="0" y="0"/>
                      <a:ext cx="5943600" cy="2062429"/>
                    </a:xfrm>
                    <a:prstGeom prst="rect">
                      <a:avLst/>
                    </a:prstGeom>
                    <a:noFill/>
                    <a:ln w="9525">
                      <a:noFill/>
                      <a:headEnd/>
                      <a:tailEnd/>
                    </a:ln>
                  </pic:spPr>
                </pic:pic>
              </a:graphicData>
            </a:graphic>
          </wp:inline>
        </w:drawing>
      </w:r>
      <w:bookmarkEnd w:id="60"/>
    </w:p>
    <w:p w:rsidR="00BC6DF9" w:rsidRDefault="00CC41B4">
      <w:pPr>
        <w:pStyle w:val="ImageCaption"/>
      </w:pPr>
      <w:bookmarkStart w:id="61" w:name="fig6"/>
      <w:r>
        <w:t>Figure </w:t>
      </w:r>
      <w:r>
        <w:fldChar w:fldCharType="begin"/>
      </w:r>
      <w:r>
        <w:instrText xml:space="preserve">SEQ Figure \* ARABIC </w:instrText>
      </w:r>
      <w:r>
        <w:fldChar w:fldCharType="separate"/>
      </w:r>
      <w:r>
        <w:t>6</w:t>
      </w:r>
      <w:r>
        <w:fldChar w:fldCharType="end"/>
      </w:r>
      <w:r>
        <w:t xml:space="preserve">: </w:t>
      </w:r>
      <w:bookmarkEnd w:id="61"/>
      <w:r>
        <w:t>Overlap between taxa detected in three donors shows that strain-level taxonomic resolution increases sensitivity and specificity of engraftment detection. Venn diagrams depict relationships between sets of taxa detected in donor samples, and numbers indicate the size of the respective sets. Taxa were considered to be detected in a donor if their mean relative abundance across that donor’s samples was greater than 0.01%. Circles are colored by donor as in Fig. 2. Species composition was estimated from metagenomes based on the mean coverage reported by GT-PRO (</w:t>
      </w:r>
      <w:hyperlink w:anchor="ref-Shi2020">
        <w:r>
          <w:rPr>
            <w:rStyle w:val="Hyperlink"/>
          </w:rPr>
          <w:t>36</w:t>
        </w:r>
      </w:hyperlink>
      <w:r>
        <w:t>), and was further partitioned into strain composition based on haplotype deconvolution with Strain Finder (</w:t>
      </w:r>
      <w:hyperlink w:anchor="ref-Smillie2018">
        <w:r>
          <w:rPr>
            <w:rStyle w:val="Hyperlink"/>
          </w:rPr>
          <w:t>22</w:t>
        </w:r>
      </w:hyperlink>
      <w:r>
        <w:t>).</w:t>
      </w:r>
    </w:p>
    <w:p w:rsidR="00BC6DF9" w:rsidRDefault="00CC41B4">
      <w:pPr>
        <w:pStyle w:val="Heading3"/>
      </w:pPr>
      <w:bookmarkStart w:id="62" w:name="Xd3c587319e5ac690c2c05d77b9458d9a9628443"/>
      <w:bookmarkEnd w:id="59"/>
      <w:r>
        <w:t>Supplementary Methods: Detailed Patient Inclusion/Exclusion Criteria</w:t>
      </w:r>
    </w:p>
    <w:p w:rsidR="00BC6DF9" w:rsidRDefault="00CC41B4">
      <w:pPr>
        <w:pStyle w:val="Heading4"/>
      </w:pPr>
      <w:bookmarkStart w:id="63" w:name="inclusion-criteria"/>
      <w:r>
        <w:t>Inclusion Criteria</w:t>
      </w:r>
    </w:p>
    <w:p w:rsidR="00BC6DF9" w:rsidRDefault="00CC41B4">
      <w:pPr>
        <w:pStyle w:val="Compact"/>
        <w:numPr>
          <w:ilvl w:val="0"/>
          <w:numId w:val="19"/>
        </w:numPr>
      </w:pPr>
      <w:r>
        <w:t>Patients with history of mild to moderate Ulcerative Colitis confirmed by endoscopy and pathology.</w:t>
      </w:r>
    </w:p>
    <w:p w:rsidR="00BC6DF9" w:rsidRDefault="00CC41B4">
      <w:pPr>
        <w:pStyle w:val="Compact"/>
        <w:numPr>
          <w:ilvl w:val="0"/>
          <w:numId w:val="19"/>
        </w:numPr>
      </w:pPr>
      <w:r>
        <w:t>Total Mayo score 4-9, endoscopic subscore ≥1; patients who have not had endoscopic evaluation within one year of enrollment will have flexible sigmoidoscopy for evaluation.</w:t>
      </w:r>
    </w:p>
    <w:p w:rsidR="00BC6DF9" w:rsidRDefault="00CC41B4">
      <w:pPr>
        <w:pStyle w:val="Compact"/>
        <w:numPr>
          <w:ilvl w:val="0"/>
          <w:numId w:val="19"/>
        </w:numPr>
      </w:pPr>
      <w:r>
        <w:t>Age 18 – 64 and deemed otherwise healthy at the discretion of the investigator.</w:t>
      </w:r>
    </w:p>
    <w:p w:rsidR="00BC6DF9" w:rsidRDefault="00CC41B4">
      <w:pPr>
        <w:pStyle w:val="Compact"/>
        <w:numPr>
          <w:ilvl w:val="0"/>
          <w:numId w:val="19"/>
        </w:numPr>
      </w:pPr>
      <w:r>
        <w:t>Concurrent therapies with mesalamine (stable x 4 weeks), immunomodulators (stable x 3 months), and biologic agents (stable x 3 months) will be allowed to continue during study.</w:t>
      </w:r>
    </w:p>
    <w:p w:rsidR="00BC6DF9" w:rsidRDefault="00CC41B4">
      <w:pPr>
        <w:pStyle w:val="Compact"/>
        <w:numPr>
          <w:ilvl w:val="0"/>
          <w:numId w:val="19"/>
        </w:numPr>
      </w:pPr>
      <w:r>
        <w:t>Prednisone must be ≤ 10 mg/day at the time of treatment and will be weaned by 2.5 mg/week during the study period.</w:t>
      </w:r>
    </w:p>
    <w:p w:rsidR="00BC6DF9" w:rsidRDefault="00CC41B4">
      <w:pPr>
        <w:pStyle w:val="Heading4"/>
      </w:pPr>
      <w:bookmarkStart w:id="64" w:name="exclusion-criteria"/>
      <w:bookmarkEnd w:id="63"/>
      <w:r>
        <w:t>Exclusion Criteria</w:t>
      </w:r>
    </w:p>
    <w:p w:rsidR="00BC6DF9" w:rsidRDefault="00CC41B4">
      <w:pPr>
        <w:pStyle w:val="Compact"/>
        <w:numPr>
          <w:ilvl w:val="0"/>
          <w:numId w:val="20"/>
        </w:numPr>
      </w:pPr>
      <w:r>
        <w:t>Severe or refractory UC defined as Mayo score ≥10, endoscopic disease activity score 3</w:t>
      </w:r>
    </w:p>
    <w:p w:rsidR="00BC6DF9" w:rsidRDefault="00CC41B4">
      <w:pPr>
        <w:pStyle w:val="Compact"/>
        <w:numPr>
          <w:ilvl w:val="0"/>
          <w:numId w:val="20"/>
        </w:numPr>
      </w:pPr>
      <w:r>
        <w:t>Untreated enteric infection (positive stool test for any of the following: Clostridium difficile, Salmonella, Shigella, Yersinia, Campylobacter, enteropathogenic E. coli or other enteric infection at the discretion of the investigator.</w:t>
      </w:r>
    </w:p>
    <w:p w:rsidR="00BC6DF9" w:rsidRDefault="00CC41B4">
      <w:pPr>
        <w:pStyle w:val="Compact"/>
        <w:numPr>
          <w:ilvl w:val="0"/>
          <w:numId w:val="20"/>
        </w:numPr>
      </w:pPr>
      <w:r>
        <w:t>History of colectomy</w:t>
      </w:r>
    </w:p>
    <w:p w:rsidR="00BC6DF9" w:rsidRDefault="00CC41B4">
      <w:pPr>
        <w:pStyle w:val="Compact"/>
        <w:numPr>
          <w:ilvl w:val="0"/>
          <w:numId w:val="20"/>
        </w:numPr>
      </w:pPr>
      <w:r>
        <w:t>Disease limited to distal proctitis (distal 5 cm)</w:t>
      </w:r>
    </w:p>
    <w:p w:rsidR="00BC6DF9" w:rsidRDefault="00CC41B4">
      <w:pPr>
        <w:pStyle w:val="Compact"/>
        <w:numPr>
          <w:ilvl w:val="0"/>
          <w:numId w:val="20"/>
        </w:numPr>
      </w:pPr>
      <w:r>
        <w:t>Patients taking probiotics within six weeks of planned FMT therapy.</w:t>
      </w:r>
    </w:p>
    <w:p w:rsidR="00BC6DF9" w:rsidRDefault="00CC41B4">
      <w:pPr>
        <w:pStyle w:val="Compact"/>
        <w:numPr>
          <w:ilvl w:val="0"/>
          <w:numId w:val="20"/>
        </w:numPr>
      </w:pPr>
      <w:r>
        <w:lastRenderedPageBreak/>
        <w:t>Severe immunodeficiency, inherited or acquired (e.g. HIV, chemotherapy or radiation therapy)</w:t>
      </w:r>
    </w:p>
    <w:p w:rsidR="00BC6DF9" w:rsidRDefault="00CC41B4">
      <w:pPr>
        <w:pStyle w:val="Compact"/>
        <w:numPr>
          <w:ilvl w:val="0"/>
          <w:numId w:val="20"/>
        </w:numPr>
      </w:pPr>
      <w:r>
        <w:t>Patients with the following laboratory abnormalities: absolute neutrophil count (ANC) &lt; 1000 /µl, platelets &lt;50 x 10^9 /L, hemoglobin &lt;6.5 g/dL..</w:t>
      </w:r>
    </w:p>
    <w:p w:rsidR="00BC6DF9" w:rsidRDefault="00CC41B4">
      <w:pPr>
        <w:pStyle w:val="Compact"/>
        <w:numPr>
          <w:ilvl w:val="0"/>
          <w:numId w:val="20"/>
        </w:numPr>
      </w:pPr>
      <w:r>
        <w:t>History of anaphylaxis (severe allergic reaction) to food allergens (e.g. tree nuts, shellfish)</w:t>
      </w:r>
    </w:p>
    <w:p w:rsidR="00BC6DF9" w:rsidRDefault="00CC41B4">
      <w:pPr>
        <w:pStyle w:val="Compact"/>
        <w:numPr>
          <w:ilvl w:val="0"/>
          <w:numId w:val="20"/>
        </w:numPr>
      </w:pPr>
      <w:r>
        <w:t>Dysphagia (orophyaryngeal, esophageal, functional, neuromuscular)</w:t>
      </w:r>
    </w:p>
    <w:p w:rsidR="00BC6DF9" w:rsidRDefault="00CC41B4">
      <w:pPr>
        <w:pStyle w:val="Compact"/>
        <w:numPr>
          <w:ilvl w:val="0"/>
          <w:numId w:val="20"/>
        </w:numPr>
      </w:pPr>
      <w:r>
        <w:t>History of recurrent aspiration episodes</w:t>
      </w:r>
    </w:p>
    <w:p w:rsidR="00BC6DF9" w:rsidRDefault="00CC41B4">
      <w:pPr>
        <w:pStyle w:val="Compact"/>
        <w:numPr>
          <w:ilvl w:val="0"/>
          <w:numId w:val="20"/>
        </w:numPr>
      </w:pPr>
      <w:r>
        <w:t>Documented severe gastroparesis</w:t>
      </w:r>
    </w:p>
    <w:p w:rsidR="00BC6DF9" w:rsidRDefault="00CC41B4">
      <w:pPr>
        <w:pStyle w:val="Compact"/>
        <w:numPr>
          <w:ilvl w:val="0"/>
          <w:numId w:val="20"/>
        </w:numPr>
      </w:pPr>
      <w:r>
        <w:t>Active intestinal obstruction</w:t>
      </w:r>
    </w:p>
    <w:p w:rsidR="00BC6DF9" w:rsidRDefault="00CC41B4">
      <w:pPr>
        <w:pStyle w:val="Compact"/>
        <w:numPr>
          <w:ilvl w:val="0"/>
          <w:numId w:val="20"/>
        </w:numPr>
      </w:pPr>
      <w:r>
        <w:t>Patients with renal insufficiency (GFR &lt; 50 ml/min)</w:t>
      </w:r>
    </w:p>
    <w:p w:rsidR="00BC6DF9" w:rsidRDefault="00CC41B4">
      <w:pPr>
        <w:pStyle w:val="Compact"/>
        <w:numPr>
          <w:ilvl w:val="0"/>
          <w:numId w:val="20"/>
        </w:numPr>
      </w:pPr>
      <w:r>
        <w:t>Allergy to the following generally regarded as safe ingredients (GRAS): glycerol, acid resistant HPMC, gellan gum, cocoa butter, titanium dioxide</w:t>
      </w:r>
    </w:p>
    <w:p w:rsidR="00BC6DF9" w:rsidRDefault="00CC41B4">
      <w:pPr>
        <w:pStyle w:val="Compact"/>
        <w:numPr>
          <w:ilvl w:val="0"/>
          <w:numId w:val="20"/>
        </w:numPr>
      </w:pPr>
      <w:r>
        <w:t>Adverse event attributable to any previous FMT</w:t>
      </w:r>
    </w:p>
    <w:p w:rsidR="00BC6DF9" w:rsidRDefault="00CC41B4">
      <w:pPr>
        <w:pStyle w:val="Compact"/>
        <w:numPr>
          <w:ilvl w:val="0"/>
          <w:numId w:val="20"/>
        </w:numPr>
      </w:pPr>
      <w:r>
        <w:t>Allergy/intolerance to proton pump inhibitor therapy</w:t>
      </w:r>
    </w:p>
    <w:p w:rsidR="00BC6DF9" w:rsidRDefault="00CC41B4">
      <w:pPr>
        <w:pStyle w:val="Compact"/>
        <w:numPr>
          <w:ilvl w:val="0"/>
          <w:numId w:val="20"/>
        </w:numPr>
      </w:pPr>
      <w:r>
        <w:t>Allergy/intolerance to vancomycin, metronidazole, or neomycin.</w:t>
      </w:r>
    </w:p>
    <w:p w:rsidR="00BC6DF9" w:rsidRDefault="00CC41B4">
      <w:pPr>
        <w:pStyle w:val="Compact"/>
        <w:numPr>
          <w:ilvl w:val="0"/>
          <w:numId w:val="20"/>
        </w:numPr>
      </w:pPr>
      <w:r>
        <w:t>Non-steroidal inflammatory medications (NSAIDs) as long-term treatment, defined as use for at least 4 days a week each month.</w:t>
      </w:r>
    </w:p>
    <w:p w:rsidR="00BC6DF9" w:rsidRDefault="00CC41B4">
      <w:pPr>
        <w:pStyle w:val="Compact"/>
        <w:numPr>
          <w:ilvl w:val="0"/>
          <w:numId w:val="20"/>
        </w:numPr>
      </w:pPr>
      <w:r>
        <w:t>Cholestyramine use</w:t>
      </w:r>
    </w:p>
    <w:p w:rsidR="00BC6DF9" w:rsidRDefault="00CC41B4">
      <w:pPr>
        <w:pStyle w:val="Compact"/>
        <w:numPr>
          <w:ilvl w:val="0"/>
          <w:numId w:val="20"/>
        </w:numPr>
      </w:pPr>
      <w:r>
        <w:t>Any condition in which the investigator thinks the FMT treatment may pose a health risk (e.g. severely immunocompromised)</w:t>
      </w:r>
    </w:p>
    <w:p w:rsidR="00BC6DF9" w:rsidRDefault="00CC41B4">
      <w:pPr>
        <w:pStyle w:val="Compact"/>
        <w:numPr>
          <w:ilvl w:val="0"/>
          <w:numId w:val="20"/>
        </w:numPr>
      </w:pPr>
      <w:r>
        <w:t>Simultaneous participation in another interventional clinical trial</w:t>
      </w:r>
    </w:p>
    <w:p w:rsidR="00BC6DF9" w:rsidRDefault="00CC41B4">
      <w:pPr>
        <w:pStyle w:val="Compact"/>
        <w:numPr>
          <w:ilvl w:val="0"/>
          <w:numId w:val="20"/>
        </w:numPr>
      </w:pPr>
      <w:r>
        <w:t>Patients who are pregnant, breast feeding or planning pregnancy during study trial period.</w:t>
      </w:r>
    </w:p>
    <w:p w:rsidR="00BC6DF9" w:rsidRDefault="00CC41B4">
      <w:pPr>
        <w:pStyle w:val="Compact"/>
        <w:numPr>
          <w:ilvl w:val="0"/>
          <w:numId w:val="20"/>
        </w:numPr>
      </w:pPr>
      <w:r>
        <w:t>During the trial period until one week after the trial end: Non-use of appropriate contraceptives in females of childbearing potential (e.g. condoms, intrauterine device (IUD), hormonal contraception, or other means considered adequate by the responsible investigator) or in males with a child-fathering potential (condoms, or other means considered adequate by the responsible investigator during treatment) or well-founded doubt about the patient’s cooperation</w:t>
      </w:r>
    </w:p>
    <w:p w:rsidR="00BC6DF9" w:rsidRDefault="00CC41B4">
      <w:pPr>
        <w:pStyle w:val="Compact"/>
        <w:numPr>
          <w:ilvl w:val="0"/>
          <w:numId w:val="20"/>
        </w:numPr>
      </w:pPr>
      <w:r>
        <w:t>Patients with any other significant medical condition that could confound or interfere with evaluation of safety, tolerability or prevent compliance with the study protocol at the discretion of the investigator</w:t>
      </w:r>
    </w:p>
    <w:p w:rsidR="00BC6DF9" w:rsidRDefault="00CC41B4">
      <w:pPr>
        <w:pStyle w:val="Compact"/>
        <w:numPr>
          <w:ilvl w:val="0"/>
          <w:numId w:val="20"/>
        </w:numPr>
      </w:pPr>
      <w:r>
        <w:t>Life expectancy &lt;6 months</w:t>
      </w:r>
    </w:p>
    <w:p w:rsidR="00BC6DF9" w:rsidRDefault="00CC41B4">
      <w:pPr>
        <w:pStyle w:val="Heading3"/>
      </w:pPr>
      <w:bookmarkStart w:id="65" w:name="X1849aae759cd45576c46156bd6058b0350b9caf"/>
      <w:bookmarkEnd w:id="62"/>
      <w:bookmarkEnd w:id="64"/>
      <w:r>
        <w:t>Supplementary Methods: Stool Sampling Instructions to Patients</w:t>
      </w:r>
    </w:p>
    <w:p w:rsidR="00BC6DF9" w:rsidRDefault="00CC41B4">
      <w:pPr>
        <w:pStyle w:val="FirstParagraph"/>
      </w:pPr>
      <w:r>
        <w:t>Instructions to patients for stool self-sampling.</w:t>
      </w:r>
    </w:p>
    <w:p w:rsidR="00BC6DF9" w:rsidRDefault="00CC41B4">
      <w:pPr>
        <w:pStyle w:val="BodyText"/>
      </w:pPr>
      <w:r>
        <w:rPr>
          <w:rStyle w:val="VerbatimChar"/>
        </w:rPr>
        <w:t>SelfSampling.pdf</w:t>
      </w:r>
    </w:p>
    <w:p w:rsidR="00BC6DF9" w:rsidRDefault="00CC41B4">
      <w:pPr>
        <w:pStyle w:val="Heading3"/>
      </w:pPr>
      <w:bookmarkStart w:id="66" w:name="X54f312c5f8b42efb82a82a086819f17f5c7a5c7"/>
      <w:bookmarkEnd w:id="65"/>
      <w:r>
        <w:t>Supplementary Methods: Clinical Laboratory Assessments</w:t>
      </w:r>
    </w:p>
    <w:p w:rsidR="00BC6DF9" w:rsidRDefault="00CC41B4">
      <w:pPr>
        <w:pStyle w:val="TableCaption"/>
      </w:pPr>
      <w:bookmarkStart w:id="67" w:name="table8"/>
      <w:bookmarkStart w:id="68" w:name="tbl:assessments-list"/>
      <w:r>
        <w:t>Table </w:t>
      </w:r>
      <w:r>
        <w:fldChar w:fldCharType="begin"/>
      </w:r>
      <w:r>
        <w:instrText xml:space="preserve">SEQ Table \* ARABIC </w:instrText>
      </w:r>
      <w:r>
        <w:fldChar w:fldCharType="separate"/>
      </w:r>
      <w:r>
        <w:t>8</w:t>
      </w:r>
      <w:r>
        <w:fldChar w:fldCharType="end"/>
      </w:r>
      <w:r>
        <w:t>:</w:t>
      </w:r>
      <w:bookmarkEnd w:id="67"/>
      <w:r>
        <w:t xml:space="preserve"> List of clinical laboratory assessments</w:t>
      </w:r>
    </w:p>
    <w:tbl>
      <w:tblPr>
        <w:tblW w:w="0" w:type="auto"/>
        <w:tblLook w:val="0020" w:firstRow="1" w:lastRow="0" w:firstColumn="0" w:lastColumn="0" w:noHBand="0" w:noVBand="0"/>
        <w:tblCaption w:val="Table 8: List of clinical laboratory assessments"/>
      </w:tblPr>
      <w:tblGrid>
        <w:gridCol w:w="3913"/>
      </w:tblGrid>
      <w:tr w:rsidR="00BC6DF9">
        <w:trPr>
          <w:tblHeader/>
        </w:trPr>
        <w:tc>
          <w:tcPr>
            <w:tcW w:w="0" w:type="auto"/>
          </w:tcPr>
          <w:p w:rsidR="00BC6DF9" w:rsidRDefault="00CC41B4">
            <w:pPr>
              <w:pStyle w:val="Compact"/>
            </w:pPr>
            <w:r>
              <w:rPr>
                <w:rStyle w:val="VerbatimChar"/>
              </w:rPr>
              <w:t>SupplementaryTablesS1-8.xlsx</w:t>
            </w:r>
          </w:p>
        </w:tc>
      </w:tr>
    </w:tbl>
    <w:p w:rsidR="00BC6DF9" w:rsidRDefault="00CC41B4">
      <w:pPr>
        <w:pStyle w:val="Heading3"/>
      </w:pPr>
      <w:bookmarkStart w:id="69" w:name="supplementary-methods-sample-processing"/>
      <w:bookmarkEnd w:id="66"/>
      <w:bookmarkEnd w:id="68"/>
      <w:r>
        <w:t>Supplementary Methods: Sample Processing</w:t>
      </w:r>
    </w:p>
    <w:p w:rsidR="00BC6DF9" w:rsidRDefault="00CC41B4">
      <w:pPr>
        <w:pStyle w:val="Heading4"/>
      </w:pPr>
      <w:bookmarkStart w:id="70" w:name="sample-collection-and-dna-extraction"/>
      <w:r>
        <w:lastRenderedPageBreak/>
        <w:t>Sample collection and DNA extraction</w:t>
      </w:r>
    </w:p>
    <w:p w:rsidR="00BC6DF9" w:rsidRDefault="00CC41B4">
      <w:pPr>
        <w:pStyle w:val="FirstParagraph"/>
      </w:pPr>
      <w:r>
        <w:t>Patients were instructed to collect a stool sample into provided sample vials (Sarstedt faeces tubes cat. no. 80.734.311) before each study visit and either bring it refrigerated to our clinic in-person or send it with a frozen cool pack via overnight courier. Upon delivery, stool specimens were stored at -80 °C until their analysis.</w:t>
      </w:r>
    </w:p>
    <w:p w:rsidR="00BC6DF9" w:rsidRDefault="00CC41B4">
      <w:pPr>
        <w:pStyle w:val="BodyText"/>
      </w:pPr>
      <w:r>
        <w:t>DNA extraction from fecal samples was performed using the modified cetyltrimethylammonium bromide (CTAB) as previously described (</w:t>
      </w:r>
      <w:hyperlink w:anchor="ref-Piceno2020">
        <w:r>
          <w:rPr>
            <w:rStyle w:val="Hyperlink"/>
          </w:rPr>
          <w:t>64</w:t>
        </w:r>
      </w:hyperlink>
      <w:r>
        <w:t>). In brief, ~0.3 g aliquot was taken from each frozen stool sample and suspended in 500 µL CTAB extraction buffer in a Lysing Matrix E tube (MP Biomedicals) by vortexing, followed by incubation for 15 minutes at 65 °C. After adding 500 µL phenol:chloroform:isoamyl alcohol (25:24:1), the solution underwent bead-beating (5.5 m/s for 30 seconds), followed by centrifugation (16,000 g for 5 minutes at 4 °C). The resulting aqueous phase (approximately 400 µL) was transferred to a new 2 mL 96-well plate. An additional 500 µL CTAB extraction buffer was added to the fecal aliquot and both the bead-beating and centrifugation steps were repeated, resulting in approximately 800 µL. An equal volume of chloroform was added and the solution was mixed and centrifuged (3,000 g for 10 minutes). The aqueous phase (approximately 600 µl) was transferred to another 2 mL 96-well plate, combined with 2-volume polyethylene glycol and stored at 4 °C overnight to precipitate DNA. Samples were then centrifuged (3,000 g for 60 minutes) to pellet DNA, washed twice with cold 70% EtOH, resuspended in sterile water and diluted to 10 ng DNA/µL (Qubit dsDNA BR Assay Kit; ThermoFisher Scientific, MA)</w:t>
      </w:r>
    </w:p>
    <w:p w:rsidR="00BC6DF9" w:rsidRDefault="00CC41B4">
      <w:pPr>
        <w:pStyle w:val="Heading4"/>
      </w:pPr>
      <w:bookmarkStart w:id="71" w:name="sequencing"/>
      <w:bookmarkEnd w:id="70"/>
      <w:r>
        <w:t>Sequencing</w:t>
      </w:r>
    </w:p>
    <w:p w:rsidR="00BC6DF9" w:rsidRDefault="00CC41B4">
      <w:pPr>
        <w:pStyle w:val="FirstParagraph"/>
      </w:pPr>
      <w:r>
        <w:t>For 16S rRNA gene profiling, The V4 region was amplified as previously described (</w:t>
      </w:r>
      <w:hyperlink w:anchor="ref-Piceno2020">
        <w:r>
          <w:rPr>
            <w:rStyle w:val="Hyperlink"/>
          </w:rPr>
          <w:t>64</w:t>
        </w:r>
      </w:hyperlink>
      <w:r>
        <w:t>). PCR reactions were performed with 0.625 U Hot Start ExTaq and 1x buffer, 200 µM dNTPs, 0.56 µL/µL BSA, 0.4 µM each forward (F515) and reverse (R806) primers in triplicate 25 µL reactions containing 10ng of template gDNA. Thermal cycling was set at: 98 °C for 2 minutes, 30 rounds of 98 °C for 20 sec, 50 °C for 30 sec, 72 °C for 45 sec, and a final extension at 72 °C for 10 minutes. Amplicons were normalized (SequalPrep Normalization Plate Kit; ThermoFisher Scientific, MA), quantified (Qubit dsDNA BR Assay Kit; ThermoFisher Scientific, MA), pooled in equimolar concentrations, purified (Agencourt AMPure XP System; Beckman-Coulter), quantified (KAPA Library Quantification Kit; KAPA Biosystems), and diluted to 2 nM. Equimolar PhiX spike-in control was added at 40% final volume, and the samples were sequenced on an Illumina NextSeq 500 Platform.</w:t>
      </w:r>
    </w:p>
    <w:p w:rsidR="00BC6DF9" w:rsidRDefault="00CC41B4">
      <w:pPr>
        <w:pStyle w:val="BodyText"/>
      </w:pPr>
      <w:r>
        <w:t>For metagenomic sequencing, an aliquot of the extracted DNA was sent to QB3 at the University of California, Berkeley &lt;</w:t>
      </w:r>
      <w:hyperlink r:id="rId17">
        <w:r>
          <w:rPr>
            <w:rStyle w:val="Hyperlink"/>
          </w:rPr>
          <w:t>https://qb3.berkeley.edu/</w:t>
        </w:r>
      </w:hyperlink>
      <w:r>
        <w:t>&gt; for sequencing on the NovaSeq 6000 platform using the 150PE Flow Cell S4 format.</w:t>
      </w:r>
    </w:p>
    <w:p w:rsidR="00BC6DF9" w:rsidRDefault="00CC41B4">
      <w:pPr>
        <w:pStyle w:val="Heading4"/>
      </w:pPr>
      <w:bookmarkStart w:id="72" w:name="metabolomics"/>
      <w:bookmarkEnd w:id="71"/>
      <w:r>
        <w:t>Metabolomics</w:t>
      </w:r>
      <w:bookmarkStart w:id="73" w:name="_GoBack"/>
      <w:bookmarkEnd w:id="73"/>
    </w:p>
    <w:p w:rsidR="00BC6DF9" w:rsidRDefault="00CC41B4">
      <w:pPr>
        <w:pStyle w:val="FirstParagraph"/>
      </w:pPr>
      <w:r>
        <w:t>For metabolomics profiling, 112 fecal samples (200 mg) were provided to Metabolon (Durham, NC) who performed Ultrahigh Performance Liquid Chromotography/Tandem Mass Spectrometry (UPLC-MS/MS) and Gas Chromatography-Mass Spectrometry (GC-MS) based on standardized published protocol &lt;</w:t>
      </w:r>
      <w:hyperlink r:id="rId18">
        <w:r>
          <w:rPr>
            <w:rStyle w:val="Hyperlink"/>
          </w:rPr>
          <w:t>http://www.metabolon.com/</w:t>
        </w:r>
      </w:hyperlink>
      <w:r>
        <w:t>&gt;. Detected molecules were identified through Metabolon’s library of purified standards, which encompasses &gt;3,300 commercially available compounds. This yielded 1050 distinct metabolites among the samples, from which the 51 metabolites identified as primary and secondary bile acids were analyzed for this study. For each identified BA, peak intensities were normalized by the root mean squared intensity of that peak across samples before downstream analysis.</w:t>
      </w:r>
    </w:p>
    <w:p w:rsidR="00BC6DF9" w:rsidRDefault="00CC41B4">
      <w:pPr>
        <w:pStyle w:val="Heading3"/>
      </w:pPr>
      <w:bookmarkStart w:id="74" w:name="X59fbaca499e73d4948392863af17adfbafda0bc"/>
      <w:bookmarkEnd w:id="69"/>
      <w:bookmarkEnd w:id="72"/>
      <w:r>
        <w:lastRenderedPageBreak/>
        <w:t>Supplementary Methods: Microbiome profiling</w:t>
      </w:r>
    </w:p>
    <w:p w:rsidR="00BC6DF9" w:rsidRDefault="00CC41B4">
      <w:pPr>
        <w:pStyle w:val="Heading4"/>
      </w:pPr>
      <w:bookmarkStart w:id="75" w:name="s-rrna-gene-amplicon-analysis"/>
      <w:r>
        <w:t>16S rRNA gene amplicon analysis</w:t>
      </w:r>
    </w:p>
    <w:p w:rsidR="00BC6DF9" w:rsidRDefault="00CC41B4">
      <w:pPr>
        <w:pStyle w:val="FirstParagraph"/>
      </w:pPr>
      <w:r>
        <w:t>Raw amplicon sequencing data was processed as in (</w:t>
      </w:r>
      <w:hyperlink w:anchor="ref-Piceno2020">
        <w:r>
          <w:rPr>
            <w:rStyle w:val="Hyperlink"/>
          </w:rPr>
          <w:t>64</w:t>
        </w:r>
      </w:hyperlink>
      <w:r>
        <w:t>). Briefly, sequencer output was converted to fastq with bcl2fastq v2.16.0.10 &lt;</w:t>
      </w:r>
      <w:hyperlink r:id="rId19">
        <w:r>
          <w:rPr>
            <w:rStyle w:val="Hyperlink"/>
          </w:rPr>
          <w:t>https://support.illumina.com/sequencing/sequencing_software/bcl2fastq-conversion-software.html</w:t>
        </w:r>
      </w:hyperlink>
      <w:r>
        <w:t>&gt; and demultiplexed by barcode with QIIME (</w:t>
      </w:r>
      <w:hyperlink w:anchor="ref-Caporaso2010">
        <w:r>
          <w:rPr>
            <w:rStyle w:val="Hyperlink"/>
          </w:rPr>
          <w:t>65</w:t>
        </w:r>
      </w:hyperlink>
      <w:r>
        <w:t>). Quality-filtering via DADA2 (</w:t>
      </w:r>
      <w:hyperlink w:anchor="ref-Callahan2015">
        <w:r>
          <w:rPr>
            <w:rStyle w:val="Hyperlink"/>
          </w:rPr>
          <w:t>66</w:t>
        </w:r>
      </w:hyperlink>
      <w:r>
        <w:t>) was performed using the recommended settings with the following adjustments – maximum expected errors allowed ≤ 3, truncation length of 150 bases for R1 and 140 for R2; chimeric sequences were found using minFoldParentOverAbundance = 8. Taxonomy was assigned with SILVA database V132 (</w:t>
      </w:r>
      <w:hyperlink w:anchor="ref-Quast2013">
        <w:r>
          <w:rPr>
            <w:rStyle w:val="Hyperlink"/>
          </w:rPr>
          <w:t>67</w:t>
        </w:r>
      </w:hyperlink>
      <w:r>
        <w:t xml:space="preserve">, </w:t>
      </w:r>
      <w:hyperlink w:anchor="ref-Yilmaz2014">
        <w:r>
          <w:rPr>
            <w:rStyle w:val="Hyperlink"/>
          </w:rPr>
          <w:t>68</w:t>
        </w:r>
      </w:hyperlink>
      <w:r>
        <w:t>) to amplicon sequence variants (ASV). Contaminant ASV were identified with the decontam (</w:t>
      </w:r>
      <w:hyperlink w:anchor="ref-Davis2018">
        <w:r>
          <w:rPr>
            <w:rStyle w:val="Hyperlink"/>
          </w:rPr>
          <w:t>69</w:t>
        </w:r>
      </w:hyperlink>
      <w:r>
        <w:t>) package for R. ASV with &gt;2% of total read sums contributed by controls and those with &lt; 0.001% total read count across all samples were excluded. A phylogenetic tree was constructed using the phangorn (</w:t>
      </w:r>
      <w:hyperlink w:anchor="ref-Schliep2011">
        <w:r>
          <w:rPr>
            <w:rStyle w:val="Hyperlink"/>
          </w:rPr>
          <w:t>70</w:t>
        </w:r>
      </w:hyperlink>
      <w:r>
        <w:t xml:space="preserve">, </w:t>
      </w:r>
      <w:hyperlink w:anchor="ref-Schliep2016">
        <w:r>
          <w:rPr>
            <w:rStyle w:val="Hyperlink"/>
          </w:rPr>
          <w:t>71</w:t>
        </w:r>
      </w:hyperlink>
      <w:r>
        <w:t>), msa (</w:t>
      </w:r>
      <w:hyperlink w:anchor="ref-Bodenhofer2015">
        <w:r>
          <w:rPr>
            <w:rStyle w:val="Hyperlink"/>
          </w:rPr>
          <w:t>72</w:t>
        </w:r>
      </w:hyperlink>
      <w:r>
        <w:t>), and DECIPHER (</w:t>
      </w:r>
      <w:hyperlink w:anchor="ref-Wright2016">
        <w:r>
          <w:rPr>
            <w:rStyle w:val="Hyperlink"/>
          </w:rPr>
          <w:t>73</w:t>
        </w:r>
      </w:hyperlink>
      <w:r>
        <w:t>) packages for R. Amplicon sequencing resulted in an average of 3.4e5 paired reads per sample after processing.</w:t>
      </w:r>
    </w:p>
    <w:p w:rsidR="00BC6DF9" w:rsidRDefault="00CC41B4">
      <w:pPr>
        <w:pStyle w:val="Heading4"/>
      </w:pPr>
      <w:bookmarkStart w:id="76" w:name="metagenomic-reads-pre-processing"/>
      <w:bookmarkEnd w:id="75"/>
      <w:r>
        <w:t>Metagenomic reads pre-processing</w:t>
      </w:r>
    </w:p>
    <w:p w:rsidR="00BC6DF9" w:rsidRDefault="00CC41B4">
      <w:pPr>
        <w:pStyle w:val="FirstParagraph"/>
      </w:pPr>
      <w:r>
        <w:t>Metagenomic sequences were deduplicated using FastUniq (</w:t>
      </w:r>
      <w:hyperlink w:anchor="ref-Xu2012">
        <w:r>
          <w:rPr>
            <w:rStyle w:val="Hyperlink"/>
          </w:rPr>
          <w:t>74</w:t>
        </w:r>
      </w:hyperlink>
      <w:r>
        <w:t>), any contaminating adapter sequence removed using Scythe (</w:t>
      </w:r>
      <w:hyperlink w:anchor="ref-Buffalo2018">
        <w:r>
          <w:rPr>
            <w:rStyle w:val="Hyperlink"/>
          </w:rPr>
          <w:t>75</w:t>
        </w:r>
      </w:hyperlink>
      <w:r>
        <w:t>), and then quality trimmed with Sickle (</w:t>
      </w:r>
      <w:hyperlink w:anchor="ref-Joshi2011">
        <w:r>
          <w:rPr>
            <w:rStyle w:val="Hyperlink"/>
          </w:rPr>
          <w:t>76</w:t>
        </w:r>
      </w:hyperlink>
      <w:r>
        <w:t xml:space="preserve">). Any cleaned reads that mapped to the human reference genome (GRCh38 </w:t>
      </w:r>
      <w:hyperlink w:anchor="ref-Schneider2017">
        <w:r>
          <w:rPr>
            <w:rStyle w:val="Hyperlink"/>
          </w:rPr>
          <w:t>77</w:t>
        </w:r>
      </w:hyperlink>
      <w:r>
        <w:t>) using Bowtie2 (</w:t>
      </w:r>
      <w:hyperlink w:anchor="ref-Langmead2012">
        <w:r>
          <w:rPr>
            <w:rStyle w:val="Hyperlink"/>
          </w:rPr>
          <w:t>78</w:t>
        </w:r>
      </w:hyperlink>
      <w:r>
        <w:t>) were removed. Shotgun metagenomic sequencing resulted in 4.9e7 paired reads per sample after processing.</w:t>
      </w:r>
    </w:p>
    <w:p w:rsidR="00BC6DF9" w:rsidRDefault="00CC41B4">
      <w:pPr>
        <w:pStyle w:val="Heading4"/>
      </w:pPr>
      <w:bookmarkStart w:id="77" w:name="functional-gene-profiling"/>
      <w:bookmarkEnd w:id="76"/>
      <w:r>
        <w:t>Functional gene profiling</w:t>
      </w:r>
    </w:p>
    <w:p w:rsidR="00BC6DF9" w:rsidRDefault="00CC41B4">
      <w:pPr>
        <w:pStyle w:val="FirstParagraph"/>
      </w:pPr>
      <w:r>
        <w:t>Reads were annotated with presumed functions by first identifying homology to the UHGP-50 (50% identity clusters, (</w:t>
      </w:r>
      <w:hyperlink w:anchor="ref-Almeida2021">
        <w:r>
          <w:rPr>
            <w:rStyle w:val="Hyperlink"/>
          </w:rPr>
          <w:t>59</w:t>
        </w:r>
      </w:hyperlink>
      <w:r>
        <w:t>)) reference database using DIAMOND (</w:t>
      </w:r>
      <w:hyperlink w:anchor="ref-Buchfink2014">
        <w:r>
          <w:rPr>
            <w:rStyle w:val="Hyperlink"/>
          </w:rPr>
          <w:t>79</w:t>
        </w:r>
      </w:hyperlink>
      <w:r>
        <w:t>), a fast implementation of the BLASTX algorithm (</w:t>
      </w:r>
      <w:hyperlink w:anchor="ref-Altschul1990">
        <w:r>
          <w:rPr>
            <w:rStyle w:val="Hyperlink"/>
          </w:rPr>
          <w:t>80</w:t>
        </w:r>
      </w:hyperlink>
      <w:r>
        <w:t>). All top hits to this database were tallied for each sample. UHGP-50 hits were subsequently annotated with KEGG Orthology (KO) numbers based on assignments previously generated for the UHGP using EggNOG-mapper (</w:t>
      </w:r>
      <w:hyperlink w:anchor="ref-Huerta-Cepas2017">
        <w:r>
          <w:rPr>
            <w:rStyle w:val="Hyperlink"/>
          </w:rPr>
          <w:t>81</w:t>
        </w:r>
      </w:hyperlink>
      <w:r>
        <w:t>). Tallies of reads mapping to these annotations were not corrected for gene length.</w:t>
      </w:r>
    </w:p>
    <w:p w:rsidR="00BC6DF9" w:rsidRDefault="00CC41B4">
      <w:pPr>
        <w:pStyle w:val="Heading2"/>
      </w:pPr>
      <w:bookmarkStart w:id="78" w:name="references"/>
      <w:bookmarkEnd w:id="36"/>
      <w:bookmarkEnd w:id="74"/>
      <w:bookmarkEnd w:id="77"/>
      <w:r>
        <w:t>References</w:t>
      </w:r>
    </w:p>
    <w:p w:rsidR="00BC6DF9" w:rsidRDefault="00CC41B4">
      <w:pPr>
        <w:pStyle w:val="Bibliography"/>
      </w:pPr>
      <w:bookmarkStart w:id="79" w:name="ref-Yalchin2019"/>
      <w:bookmarkStart w:id="80" w:name="refs"/>
      <w:r>
        <w:t xml:space="preserve">1. </w:t>
      </w:r>
      <w:r>
        <w:tab/>
        <w:t>Yalchin M, Segal JP, Mullish BH, Quraishi MN, Iqbal TH, Marchesi JR, Hart AL. 2019. Gaps in knowledge and future directions for the use of faecal microbiota transplant in the treatment of inflammatory bowel disease. Therap Adv Gastroenterol 12:1756284819891038. doi:</w:t>
      </w:r>
      <w:hyperlink r:id="rId20">
        <w:r>
          <w:rPr>
            <w:rStyle w:val="Hyperlink"/>
          </w:rPr>
          <w:t>10.1177/1756284819891038</w:t>
        </w:r>
      </w:hyperlink>
      <w:r>
        <w:t>.</w:t>
      </w:r>
    </w:p>
    <w:p w:rsidR="00BC6DF9" w:rsidRDefault="00CC41B4">
      <w:pPr>
        <w:pStyle w:val="Bibliography"/>
      </w:pPr>
      <w:bookmarkStart w:id="81" w:name="ref-Lopetuso2020"/>
      <w:bookmarkEnd w:id="79"/>
      <w:r>
        <w:t xml:space="preserve">2. </w:t>
      </w:r>
      <w:r>
        <w:tab/>
        <w:t>Lopetuso LR, Ianiro G, Allegretti JR, Bibbò S, Gasbarrini A, Scaldaferri F, Cammarota G. 2020. Fecal transplantation for ulcerative colitis: Current evidence and future applications. Expert Opin Biol Ther 20:343–351. doi:</w:t>
      </w:r>
      <w:hyperlink r:id="rId21">
        <w:r>
          <w:rPr>
            <w:rStyle w:val="Hyperlink"/>
          </w:rPr>
          <w:t>10.1080/14712598.2020.1733964</w:t>
        </w:r>
      </w:hyperlink>
      <w:r>
        <w:t>.</w:t>
      </w:r>
    </w:p>
    <w:p w:rsidR="00BC6DF9" w:rsidRDefault="00CC41B4">
      <w:pPr>
        <w:pStyle w:val="Bibliography"/>
      </w:pPr>
      <w:bookmarkStart w:id="82" w:name="ref-Paramsothy2017d"/>
      <w:bookmarkEnd w:id="81"/>
      <w:r>
        <w:t xml:space="preserve">3. </w:t>
      </w:r>
      <w:r>
        <w:tab/>
        <w:t>Paramsothy S, Paramsothy R, Rubin DT, Kamm MA, Kaakoush NO, Mitchell HM, Castaño-Rodríguez N. 2017. Faecal Microbiota Transplantation for Inflammatory Bowel Disease: A Systematic Review and Meta-analysis. J Crohns Colitis 11:1180–1199. doi:</w:t>
      </w:r>
      <w:hyperlink r:id="rId22">
        <w:r>
          <w:rPr>
            <w:rStyle w:val="Hyperlink"/>
          </w:rPr>
          <w:t>10.1093/ecco-jcc/jjx063</w:t>
        </w:r>
      </w:hyperlink>
      <w:r>
        <w:t>.</w:t>
      </w:r>
    </w:p>
    <w:p w:rsidR="00BC6DF9" w:rsidRDefault="00CC41B4">
      <w:pPr>
        <w:pStyle w:val="Bibliography"/>
      </w:pPr>
      <w:bookmarkStart w:id="83" w:name="ref-Costello2017"/>
      <w:bookmarkEnd w:id="82"/>
      <w:r>
        <w:lastRenderedPageBreak/>
        <w:t xml:space="preserve">4. </w:t>
      </w:r>
      <w:r>
        <w:tab/>
        <w:t>Costello SP, Soo W, Bryant RV, Jairath V, Hart AL, Andrews JM. 2017. Systematic review with meta-analysis: Faecal microbiota transplantation for the induction of remission for active ulcerative colitis. Aliment Pharmacol Ther 46:213–224. doi:</w:t>
      </w:r>
      <w:hyperlink r:id="rId23">
        <w:r>
          <w:rPr>
            <w:rStyle w:val="Hyperlink"/>
          </w:rPr>
          <w:t>10.1111/apt.14173</w:t>
        </w:r>
      </w:hyperlink>
      <w:r>
        <w:t>.</w:t>
      </w:r>
    </w:p>
    <w:p w:rsidR="00BC6DF9" w:rsidRDefault="00CC41B4">
      <w:pPr>
        <w:pStyle w:val="Bibliography"/>
      </w:pPr>
      <w:bookmarkStart w:id="84" w:name="ref-Lam2019"/>
      <w:bookmarkEnd w:id="83"/>
      <w:r>
        <w:t xml:space="preserve">5. </w:t>
      </w:r>
      <w:r>
        <w:tab/>
        <w:t>Lam TJ, Ye Y. 2019. CRISPRs for Strain Tracking and Their Application to Microbiota Transplantation Data Analysis. CRISPR J 2:41–50. doi:</w:t>
      </w:r>
      <w:hyperlink r:id="rId24">
        <w:r>
          <w:rPr>
            <w:rStyle w:val="Hyperlink"/>
          </w:rPr>
          <w:t>10.1089/crispr.2018.0046</w:t>
        </w:r>
      </w:hyperlink>
      <w:r>
        <w:t>.</w:t>
      </w:r>
    </w:p>
    <w:p w:rsidR="00BC6DF9" w:rsidRDefault="00CC41B4">
      <w:pPr>
        <w:pStyle w:val="Bibliography"/>
      </w:pPr>
      <w:bookmarkStart w:id="85" w:name="ref-Mocanu2021"/>
      <w:bookmarkEnd w:id="84"/>
      <w:r>
        <w:t xml:space="preserve">6. </w:t>
      </w:r>
      <w:r>
        <w:tab/>
        <w:t>Mocanu V, Rajaruban S, Dang J, Kung JY, Deehan EC, Madsen KL. 2021. Repeated Fecal Microbial Transplantations and Antibiotic Pre-Treatment Are Linked to Improved Clinical Response and Remission in Inflammatory Bowel Disease: A Systematic Review and Pooled Proportion Meta-Analysis. J Clin Med 10:959. doi:</w:t>
      </w:r>
      <w:hyperlink r:id="rId25">
        <w:r>
          <w:rPr>
            <w:rStyle w:val="Hyperlink"/>
          </w:rPr>
          <w:t>10.3390/jcm10050959</w:t>
        </w:r>
      </w:hyperlink>
      <w:r>
        <w:t>.</w:t>
      </w:r>
    </w:p>
    <w:p w:rsidR="00BC6DF9" w:rsidRDefault="00CC41B4">
      <w:pPr>
        <w:pStyle w:val="Bibliography"/>
      </w:pPr>
      <w:bookmarkStart w:id="86" w:name="ref-Rossen2015"/>
      <w:bookmarkEnd w:id="85"/>
      <w:r>
        <w:t xml:space="preserve">7. </w:t>
      </w:r>
      <w:r>
        <w:tab/>
        <w:t>Rossen NG, Fuentes S, Van Der Spek MJ, Tijssen JG, Hartman JHA, Duflou A, Löwenberg M, Van Den Brink GR, Mathus-Vliegen EMH, De Vos WM, Zoetendal EG, D’Haens GR, Ponsioen CY. 2015. Findings From a Randomized Controlled Trial of Fecal Transplantation for Patients With Ulcerative Colitis. Gastroenterology 149:110–118. doi:</w:t>
      </w:r>
      <w:hyperlink r:id="rId26">
        <w:r>
          <w:rPr>
            <w:rStyle w:val="Hyperlink"/>
          </w:rPr>
          <w:t>10.1053/j.gastro.2015.03.045</w:t>
        </w:r>
      </w:hyperlink>
      <w:r>
        <w:t>.</w:t>
      </w:r>
    </w:p>
    <w:p w:rsidR="00BC6DF9" w:rsidRDefault="00CC41B4">
      <w:pPr>
        <w:pStyle w:val="Bibliography"/>
      </w:pPr>
      <w:bookmarkStart w:id="87" w:name="ref-Moayyedi2015"/>
      <w:bookmarkEnd w:id="86"/>
      <w:r>
        <w:t xml:space="preserve">8. </w:t>
      </w:r>
      <w:r>
        <w:tab/>
        <w:t>Moayyedi P, Surette MG, Kim PT, Libertucci J, Wolfe M, Onischi C, Armstrong D, Marshall JK, Kassam Z, Reinisch W, Lee CH. 2015. Fecal Microbiota Transplantation Induces Remission in Patients With Active Ulcerative Colitis in a Randomized Controlled Trial. Gastroenterology 149:102–109. doi:</w:t>
      </w:r>
      <w:hyperlink r:id="rId27">
        <w:r>
          <w:rPr>
            <w:rStyle w:val="Hyperlink"/>
          </w:rPr>
          <w:t>10.1053/j.gastro.2015.04.001</w:t>
        </w:r>
      </w:hyperlink>
      <w:r>
        <w:t>.</w:t>
      </w:r>
    </w:p>
    <w:p w:rsidR="00BC6DF9" w:rsidRDefault="00CC41B4">
      <w:pPr>
        <w:pStyle w:val="Bibliography"/>
      </w:pPr>
      <w:bookmarkStart w:id="88" w:name="ref-Paramsothy2017"/>
      <w:bookmarkEnd w:id="87"/>
      <w:r>
        <w:t xml:space="preserve">9. </w:t>
      </w:r>
      <w:r>
        <w:tab/>
        <w:t>Paramsothy S, Kamm MA, Kaakoush NO, Walsh AJ, van den Bogaerde J, Samuel D, Leong RWL, Connor S, Ng W, Paramsothy R, Xuan W, Lin E, Mitchell HM, Borody TJ. 2017. Multidonor intensive faecal microbiota transplantation for active ulcerative colitis: A randomised placebo-controlled trial. The Lancet 389:1218–1228. doi:</w:t>
      </w:r>
      <w:hyperlink r:id="rId28">
        <w:r>
          <w:rPr>
            <w:rStyle w:val="Hyperlink"/>
          </w:rPr>
          <w:t>10.1016/S0140-6736(17)30182-4</w:t>
        </w:r>
      </w:hyperlink>
      <w:r>
        <w:t>.</w:t>
      </w:r>
    </w:p>
    <w:p w:rsidR="00BC6DF9" w:rsidRDefault="00CC41B4">
      <w:pPr>
        <w:pStyle w:val="Bibliography"/>
      </w:pPr>
      <w:bookmarkStart w:id="89" w:name="ref-Costello2019"/>
      <w:bookmarkEnd w:id="88"/>
      <w:r>
        <w:t xml:space="preserve">10. </w:t>
      </w:r>
      <w:r>
        <w:tab/>
        <w:t>Costello SP, Hughes PA, Waters O, Bryant RV, Vincent AD, Blatchford P, Katsikeros R, Makanyanga J, Campaniello MA, Mavrangelos C, Rosewarne CP, Bickley C, Peters C, Schoeman MN, Conlon MA, Roberts-Thomson IC, Andrews JM. 2019. Effect of Fecal Microbiota Transplantation on 8-Week Remission in Patients With Ulcerative Colitis: A Randomized Clinical Trial. JAMA 321:156–164. doi:</w:t>
      </w:r>
      <w:hyperlink r:id="rId29">
        <w:r>
          <w:rPr>
            <w:rStyle w:val="Hyperlink"/>
          </w:rPr>
          <w:t>10.1001/jama.2018.20046</w:t>
        </w:r>
      </w:hyperlink>
      <w:r>
        <w:t>.</w:t>
      </w:r>
    </w:p>
    <w:p w:rsidR="00BC6DF9" w:rsidRDefault="00CC41B4">
      <w:pPr>
        <w:pStyle w:val="Bibliography"/>
      </w:pPr>
      <w:bookmarkStart w:id="90" w:name="ref-Ni2017"/>
      <w:bookmarkEnd w:id="89"/>
      <w:r>
        <w:t xml:space="preserve">11. </w:t>
      </w:r>
      <w:r>
        <w:tab/>
        <w:t>Ni J, Wu GD, Albenberg L, Tomov VT. 2017. Gut microbiota and IBD: Causation or correlation? Nat Rev Gastroenterol Hepatol 14:573–584. doi:</w:t>
      </w:r>
      <w:hyperlink r:id="rId30">
        <w:r>
          <w:rPr>
            <w:rStyle w:val="Hyperlink"/>
          </w:rPr>
          <w:t>10.1038/nrgastro.2017.88</w:t>
        </w:r>
      </w:hyperlink>
      <w:r>
        <w:t>.</w:t>
      </w:r>
    </w:p>
    <w:p w:rsidR="00BC6DF9" w:rsidRDefault="00CC41B4">
      <w:pPr>
        <w:pStyle w:val="Bibliography"/>
      </w:pPr>
      <w:bookmarkStart w:id="91" w:name="ref-Khan2019"/>
      <w:bookmarkEnd w:id="90"/>
      <w:r>
        <w:t xml:space="preserve">12. </w:t>
      </w:r>
      <w:r>
        <w:tab/>
        <w:t>Khan I, Ullah N, Zha L, Bai Y, Khan A, Zhao T, Che T, Zhang C. 2019. Alteration of Gut Microbiota in Inflammatory Bowel Disease (IBD): Cause or Consequence? IBD Treatment Targeting the Gut Microbiome. Pathogens 8:126. doi:</w:t>
      </w:r>
      <w:hyperlink r:id="rId31">
        <w:r>
          <w:rPr>
            <w:rStyle w:val="Hyperlink"/>
          </w:rPr>
          <w:t>10.3390/pathogens8030126</w:t>
        </w:r>
      </w:hyperlink>
      <w:r>
        <w:t>.</w:t>
      </w:r>
    </w:p>
    <w:p w:rsidR="00BC6DF9" w:rsidRDefault="00CC41B4">
      <w:pPr>
        <w:pStyle w:val="Bibliography"/>
      </w:pPr>
      <w:bookmarkStart w:id="92" w:name="ref-Ishikawa2017"/>
      <w:bookmarkEnd w:id="91"/>
      <w:r>
        <w:t xml:space="preserve">13. </w:t>
      </w:r>
      <w:r>
        <w:tab/>
        <w:t>Ishikawa D, Sasaki T, Osada T, Kuwahara-Arai K, Haga K, Shibuya T, Hiramatsu K, Watanabe S. 2017. Changes in Intestinal Microbiota Following Combination Therapy with Fecal Microbial Transplantation and Antibiotics for Ulcerative Colitis. Inflamm Bowel Dis 23:116–125. doi:</w:t>
      </w:r>
      <w:hyperlink r:id="rId32">
        <w:r>
          <w:rPr>
            <w:rStyle w:val="Hyperlink"/>
          </w:rPr>
          <w:t>10.1097/MIB.0000000000000975</w:t>
        </w:r>
      </w:hyperlink>
      <w:r>
        <w:t>.</w:t>
      </w:r>
    </w:p>
    <w:p w:rsidR="00BC6DF9" w:rsidRDefault="00CC41B4">
      <w:pPr>
        <w:pStyle w:val="Bibliography"/>
      </w:pPr>
      <w:bookmarkStart w:id="93" w:name="ref-Kump2018"/>
      <w:bookmarkEnd w:id="92"/>
      <w:r>
        <w:t xml:space="preserve">14. </w:t>
      </w:r>
      <w:r>
        <w:tab/>
        <w:t>Kump P, Wurm P, Gröchenig HP, Wenzl H, Petritsch W, Halwachs B, Wagner M, Stadlbauer V, Eherer A, Hoffmann KM, Deutschmann A, Reicht G, Reiter L, Slawitsch P, Gorkiewicz G, Högenauer C. 2018. The taxonomic composition of the donor intestinal microbiota is a major factor influencing the efficacy of faecal microbiota transplantation in therapy refractory ulcerative colitis. Aliment Pharmacol Ther 47:67–77. doi:</w:t>
      </w:r>
      <w:hyperlink r:id="rId33">
        <w:r>
          <w:rPr>
            <w:rStyle w:val="Hyperlink"/>
          </w:rPr>
          <w:t>10.1111/apt.14387</w:t>
        </w:r>
      </w:hyperlink>
      <w:r>
        <w:t>.</w:t>
      </w:r>
    </w:p>
    <w:p w:rsidR="00BC6DF9" w:rsidRDefault="00CC41B4">
      <w:pPr>
        <w:pStyle w:val="Bibliography"/>
      </w:pPr>
      <w:bookmarkStart w:id="94" w:name="ref-Kao2017"/>
      <w:bookmarkEnd w:id="93"/>
      <w:r>
        <w:t xml:space="preserve">15. </w:t>
      </w:r>
      <w:r>
        <w:tab/>
        <w:t xml:space="preserve">Kao D, Roach B, Silva M, Beck P, Rioux K, Kaplan GG, Chang HJ, Coward S, Goodman KJ, Xu H, Madsen K, Mason A, Wong GKS, Jovel J, Patterson J, Louie T. 2017. Effect of oral </w:t>
      </w:r>
      <w:r>
        <w:lastRenderedPageBreak/>
        <w:t>capsule vs colonoscopy-delivered fecal microbiota transplantation on recurrent Clostridium difficile infection: A randomized clinical trial. JAMA - J Am Med Assoc 318:1985–1993. doi:</w:t>
      </w:r>
      <w:hyperlink r:id="rId34">
        <w:r>
          <w:rPr>
            <w:rStyle w:val="Hyperlink"/>
          </w:rPr>
          <w:t>10.1001/jama.2017.17077</w:t>
        </w:r>
      </w:hyperlink>
      <w:r>
        <w:t>.</w:t>
      </w:r>
    </w:p>
    <w:p w:rsidR="00BC6DF9" w:rsidRDefault="00CC41B4">
      <w:pPr>
        <w:pStyle w:val="Bibliography"/>
      </w:pPr>
      <w:bookmarkStart w:id="95" w:name="ref-Adler2019"/>
      <w:bookmarkEnd w:id="94"/>
      <w:r>
        <w:t xml:space="preserve">16. </w:t>
      </w:r>
      <w:r>
        <w:tab/>
        <w:t>Adler E, Tabaa A, Kassam Z, Zydek M, Terdiman J, El-Nachef N. 2019. Capsule-Delivered Fecal Microbiota Transplant Is Safe and Well Tolerated in Patients with Ulcerative Colitis. Dig Dis Sci 64:2452–2454. doi:</w:t>
      </w:r>
      <w:hyperlink r:id="rId35">
        <w:r>
          <w:rPr>
            <w:rStyle w:val="Hyperlink"/>
          </w:rPr>
          <w:t>10.1007/s10620-019-05596-5</w:t>
        </w:r>
      </w:hyperlink>
      <w:r>
        <w:t>.</w:t>
      </w:r>
    </w:p>
    <w:p w:rsidR="00BC6DF9" w:rsidRDefault="00CC41B4">
      <w:pPr>
        <w:pStyle w:val="Bibliography"/>
      </w:pPr>
      <w:bookmarkStart w:id="96" w:name="ref-CrothersJessicaWood2020"/>
      <w:bookmarkEnd w:id="95"/>
      <w:r>
        <w:t xml:space="preserve">17. </w:t>
      </w:r>
      <w:r>
        <w:tab/>
        <w:t>Crothers, Jessica Wood, TODO. 2020. Daily, Oral FMT for Long-Term Maintenance Therapy in Ulcerative Colitis: Results of a Single-Center, Prospective, Randomized Pilot Study. doi:</w:t>
      </w:r>
      <w:hyperlink r:id="rId36">
        <w:r>
          <w:rPr>
            <w:rStyle w:val="Hyperlink"/>
          </w:rPr>
          <w:t>10.21203/rs.3.rs-62372/v1</w:t>
        </w:r>
      </w:hyperlink>
      <w:r>
        <w:t>.</w:t>
      </w:r>
    </w:p>
    <w:p w:rsidR="00BC6DF9" w:rsidRDefault="00CC41B4">
      <w:pPr>
        <w:pStyle w:val="Bibliography"/>
      </w:pPr>
      <w:bookmarkStart w:id="97" w:name="ref-Cold2019"/>
      <w:bookmarkEnd w:id="96"/>
      <w:r>
        <w:t xml:space="preserve">18. </w:t>
      </w:r>
      <w:r>
        <w:tab/>
        <w:t>Cold F, Browne PD, Günther S, Halkjaer SI, Petersen AM, Al-Gibouri Z, Hansen LH, Christensen AH. 2019. Multidonor FMT capsules improve symptoms and decrease fecal calprotectin in ulcerative colitis patients while treated  an open-label pilot study. Scand J Gastroenterol 54:289–296. doi:</w:t>
      </w:r>
      <w:hyperlink r:id="rId37">
        <w:r>
          <w:rPr>
            <w:rStyle w:val="Hyperlink"/>
          </w:rPr>
          <w:t>10.1080/00365521.2019.1585939</w:t>
        </w:r>
      </w:hyperlink>
      <w:r>
        <w:t>.</w:t>
      </w:r>
    </w:p>
    <w:p w:rsidR="00BC6DF9" w:rsidRDefault="00CC41B4">
      <w:pPr>
        <w:pStyle w:val="Bibliography"/>
      </w:pPr>
      <w:bookmarkStart w:id="98" w:name="ref-Borody2019"/>
      <w:bookmarkEnd w:id="97"/>
      <w:r>
        <w:t xml:space="preserve">19. </w:t>
      </w:r>
      <w:r>
        <w:tab/>
        <w:t>Borody TJ, Clancy A. 2019. Fecal microbiota transplantation for ulcerative colitiswhere to from here? Transl Gastroenterol Hepatol 4 doi:</w:t>
      </w:r>
      <w:hyperlink r:id="rId38">
        <w:r>
          <w:rPr>
            <w:rStyle w:val="Hyperlink"/>
          </w:rPr>
          <w:t>10.21037/tgh.2019.06.04</w:t>
        </w:r>
      </w:hyperlink>
      <w:r>
        <w:t>.</w:t>
      </w:r>
    </w:p>
    <w:p w:rsidR="00BC6DF9" w:rsidRDefault="00CC41B4">
      <w:pPr>
        <w:pStyle w:val="Bibliography"/>
      </w:pPr>
      <w:bookmarkStart w:id="99" w:name="ref-Bibbo2020"/>
      <w:bookmarkEnd w:id="98"/>
      <w:r>
        <w:t xml:space="preserve">20. </w:t>
      </w:r>
      <w:r>
        <w:tab/>
        <w:t>Bibbò S, Settanni CR, Porcari S, Bocchino E, Ianiro G, Cammarota G, Gasbarrini A. 2020. Fecal Microbiota Transplantation: Screening and Selection to Choose the Optimal Donor. J Clin Med 9 doi:</w:t>
      </w:r>
      <w:hyperlink r:id="rId39">
        <w:r>
          <w:rPr>
            <w:rStyle w:val="Hyperlink"/>
          </w:rPr>
          <w:t>10.3390/jcm9061757</w:t>
        </w:r>
      </w:hyperlink>
      <w:r>
        <w:t>.</w:t>
      </w:r>
    </w:p>
    <w:p w:rsidR="00BC6DF9" w:rsidRDefault="00CC41B4">
      <w:pPr>
        <w:pStyle w:val="Bibliography"/>
      </w:pPr>
      <w:bookmarkStart w:id="100" w:name="ref-Singh2020"/>
      <w:bookmarkEnd w:id="99"/>
      <w:r>
        <w:t xml:space="preserve">21. </w:t>
      </w:r>
      <w:r>
        <w:tab/>
        <w:t>Singh A, Mahajan R, Kao D, Midha V, Sood A. 2020. Long term management of ulcerative colitis with Faecal Microbiota Transplantation. Medicine in Microecology 6:100026. doi:</w:t>
      </w:r>
      <w:hyperlink r:id="rId40">
        <w:r>
          <w:rPr>
            <w:rStyle w:val="Hyperlink"/>
          </w:rPr>
          <w:t>10.1016/j.medmic.2020.100026</w:t>
        </w:r>
      </w:hyperlink>
      <w:r>
        <w:t>.</w:t>
      </w:r>
    </w:p>
    <w:p w:rsidR="00BC6DF9" w:rsidRDefault="00CC41B4">
      <w:pPr>
        <w:pStyle w:val="Bibliography"/>
      </w:pPr>
      <w:bookmarkStart w:id="101" w:name="ref-Smillie2018"/>
      <w:bookmarkEnd w:id="100"/>
      <w:r>
        <w:t xml:space="preserve">22. </w:t>
      </w:r>
      <w:r>
        <w:tab/>
        <w:t>Smillie CS, Sauk J, Gevers D, Friedman J, Sung J, Youngster I, Hohmann EL, Staley C, Khoruts A, Sadowsky MJ, Allegretti JR, Smith MB, Xavier RJ, Alm EJ. 2018. Strain Tracking Reveals the Determinants of Bacterial Engraftment in the Human Gut Following Fecal Microbiota Transplantation. Cell Host Microbe 23:229–240.e5. doi:</w:t>
      </w:r>
      <w:hyperlink r:id="rId41">
        <w:r>
          <w:rPr>
            <w:rStyle w:val="Hyperlink"/>
          </w:rPr>
          <w:t>10.1016/j.chom.2018.01.003</w:t>
        </w:r>
      </w:hyperlink>
      <w:r>
        <w:t>.</w:t>
      </w:r>
    </w:p>
    <w:p w:rsidR="00BC6DF9" w:rsidRDefault="00CC41B4">
      <w:pPr>
        <w:pStyle w:val="Bibliography"/>
      </w:pPr>
      <w:bookmarkStart w:id="102" w:name="ref-Chu2019"/>
      <w:bookmarkEnd w:id="101"/>
      <w:r>
        <w:t xml:space="preserve">23. </w:t>
      </w:r>
      <w:r>
        <w:tab/>
        <w:t>Chu ND, Crothers JW, Nguyen LTT, Kearney SM, Smith MB, Kassam Z, Collins C, Xavier R, Moses PL, Alm EJ. 2019. Dynamic colonization of microbes and their functions after fecal microbiota transplantation for inflammatory bowel disease. bioRxiv doi:</w:t>
      </w:r>
      <w:hyperlink r:id="rId42">
        <w:r>
          <w:rPr>
            <w:rStyle w:val="Hyperlink"/>
          </w:rPr>
          <w:t>10.1101/649384</w:t>
        </w:r>
      </w:hyperlink>
      <w:r>
        <w:t>.</w:t>
      </w:r>
    </w:p>
    <w:p w:rsidR="00BC6DF9" w:rsidRDefault="00CC41B4">
      <w:pPr>
        <w:pStyle w:val="Bibliography"/>
      </w:pPr>
      <w:bookmarkStart w:id="103" w:name="ref-Johnson2019a"/>
      <w:bookmarkEnd w:id="102"/>
      <w:r>
        <w:t xml:space="preserve">24. </w:t>
      </w:r>
      <w:r>
        <w:tab/>
        <w:t>Johnson JS, Spakowicz DJ, Hong B-Y, Petersen LM, Demkowicz P, Chen L, Leopold SR, Hanson BM, Agresta HO, Gerstein M, Sodergren E, Weinstock GM. 2019. Evaluation of 16S rRNA gene sequencing for species and strain-level microbiome analysis. Nat Commun 10:5029. doi:</w:t>
      </w:r>
      <w:hyperlink r:id="rId43">
        <w:r>
          <w:rPr>
            <w:rStyle w:val="Hyperlink"/>
          </w:rPr>
          <w:t>10.1038/s41467-019-13036-1</w:t>
        </w:r>
      </w:hyperlink>
      <w:r>
        <w:t>.</w:t>
      </w:r>
    </w:p>
    <w:p w:rsidR="00BC6DF9" w:rsidRDefault="00CC41B4">
      <w:pPr>
        <w:pStyle w:val="Bibliography"/>
      </w:pPr>
      <w:bookmarkStart w:id="104" w:name="ref-Paramsothy2019"/>
      <w:bookmarkEnd w:id="103"/>
      <w:r>
        <w:t xml:space="preserve">25. </w:t>
      </w:r>
      <w:r>
        <w:tab/>
        <w:t>Paramsothy S, Nielsen S, Kamm MA, Deshpande NP, Faith JJ, Clemente JC, Paramsothy R, Walsh AJ, van den Bogaerde J, Samuel D, Leong RWL, Connor S, Ng W, Lin E, Borody TJ, Wilkins MR, Colombel J-F, Mitchell HM, Kaakoush NO. 2019. Specific Bacteria and Metabolites Associated With Response to Fecal Microbiota Transplantation in Patients With Ulcerative Colitis. Gastroenterology 156:1440–1454.e2. doi:</w:t>
      </w:r>
      <w:hyperlink r:id="rId44">
        <w:r>
          <w:rPr>
            <w:rStyle w:val="Hyperlink"/>
          </w:rPr>
          <w:t>10.1053/j.gastro.2018.12.001</w:t>
        </w:r>
      </w:hyperlink>
      <w:r>
        <w:t>.</w:t>
      </w:r>
    </w:p>
    <w:p w:rsidR="00BC6DF9" w:rsidRDefault="00CC41B4">
      <w:pPr>
        <w:pStyle w:val="Bibliography"/>
      </w:pPr>
      <w:bookmarkStart w:id="105" w:name="ref-Labbe2014"/>
      <w:bookmarkEnd w:id="104"/>
      <w:r>
        <w:t xml:space="preserve">26. </w:t>
      </w:r>
      <w:r>
        <w:tab/>
        <w:t>Labbé A, Ganopolsky JG, Martoni CJ, Prakash S, Jones ML. 2014. Bacterial Bile Metabolising Gene Abundance in Crohn’s, Ulcerative Colitis and Type 2 Diabetes Metagenomes. PLOS ONE 9:e115175. doi:</w:t>
      </w:r>
      <w:hyperlink r:id="rId45">
        <w:r>
          <w:rPr>
            <w:rStyle w:val="Hyperlink"/>
          </w:rPr>
          <w:t>10.1371/journal.pone.0115175</w:t>
        </w:r>
      </w:hyperlink>
      <w:r>
        <w:t>.</w:t>
      </w:r>
    </w:p>
    <w:p w:rsidR="00BC6DF9" w:rsidRDefault="00CC41B4">
      <w:pPr>
        <w:pStyle w:val="Bibliography"/>
      </w:pPr>
      <w:bookmarkStart w:id="106" w:name="ref-Tiratterra2018"/>
      <w:bookmarkEnd w:id="105"/>
      <w:r>
        <w:lastRenderedPageBreak/>
        <w:t xml:space="preserve">27. </w:t>
      </w:r>
      <w:r>
        <w:tab/>
        <w:t>Tiratterra E, Franco P, Porru E, Katsanos KH, Christodoulou DK, Roda G. 2018. Role of bile acids in inflammatory bowel disease. Ann Gastroenterol 31:266–272. doi:</w:t>
      </w:r>
      <w:hyperlink r:id="rId46">
        <w:r>
          <w:rPr>
            <w:rStyle w:val="Hyperlink"/>
          </w:rPr>
          <w:t>10.20524/aog.2018.0239</w:t>
        </w:r>
      </w:hyperlink>
      <w:r>
        <w:t>.</w:t>
      </w:r>
    </w:p>
    <w:p w:rsidR="00BC6DF9" w:rsidRDefault="00CC41B4">
      <w:pPr>
        <w:pStyle w:val="Bibliography"/>
      </w:pPr>
      <w:bookmarkStart w:id="107" w:name="ref-Heinken2019"/>
      <w:bookmarkEnd w:id="106"/>
      <w:r>
        <w:t xml:space="preserve">28. </w:t>
      </w:r>
      <w:r>
        <w:tab/>
        <w:t>Heinken A, Ravcheev DA, Baldini F, Heirendt L, Fleming RMT, Thiele I. 2019. Systematic assessment of secondary bile acid metabolism in gut microbes reveals distinct metabolic capabilities in inflammatory bowel disease. Microbiome 7:75. doi:</w:t>
      </w:r>
      <w:hyperlink r:id="rId47">
        <w:r>
          <w:rPr>
            <w:rStyle w:val="Hyperlink"/>
          </w:rPr>
          <w:t>10.1186/s40168-019-0689-3</w:t>
        </w:r>
      </w:hyperlink>
      <w:r>
        <w:t>.</w:t>
      </w:r>
    </w:p>
    <w:p w:rsidR="00BC6DF9" w:rsidRDefault="00CC41B4">
      <w:pPr>
        <w:pStyle w:val="Bibliography"/>
      </w:pPr>
      <w:bookmarkStart w:id="108" w:name="ref-Vaughn2019"/>
      <w:bookmarkEnd w:id="107"/>
      <w:r>
        <w:t xml:space="preserve">29. </w:t>
      </w:r>
      <w:r>
        <w:tab/>
        <w:t>Vaughn BP, Kaiser T, Staley C, Hamilton MJ, Reich J, Graiziger C, Singroy S, Kabage AJ, Sadowsky MJ, Khoruts A. 2019. A pilot study of fecal bile acid and microbiota profiles in inflammatory bowel disease and primary sclerosing cholangitis. Clin Exp Gastroenterol 12:9–19. doi:</w:t>
      </w:r>
      <w:hyperlink r:id="rId48">
        <w:r>
          <w:rPr>
            <w:rStyle w:val="Hyperlink"/>
          </w:rPr>
          <w:t>10.2147/CEG.S186097</w:t>
        </w:r>
      </w:hyperlink>
      <w:r>
        <w:t>.</w:t>
      </w:r>
    </w:p>
    <w:p w:rsidR="00BC6DF9" w:rsidRDefault="00CC41B4">
      <w:pPr>
        <w:pStyle w:val="Bibliography"/>
      </w:pPr>
      <w:bookmarkStart w:id="109" w:name="ref-Lavelle2020"/>
      <w:bookmarkEnd w:id="108"/>
      <w:r>
        <w:t xml:space="preserve">30. </w:t>
      </w:r>
      <w:r>
        <w:tab/>
        <w:t>Lavelle A, Sokol H. 2020. Gut microbiota-derived metabolites as key actors in inflammatory bowel disease. Nat Rev Gastroenterol Hepatol 17:223–237. doi:</w:t>
      </w:r>
      <w:hyperlink r:id="rId49">
        <w:r>
          <w:rPr>
            <w:rStyle w:val="Hyperlink"/>
          </w:rPr>
          <w:t>10.1038/s41575-019-0258-z</w:t>
        </w:r>
      </w:hyperlink>
      <w:r>
        <w:t>.</w:t>
      </w:r>
    </w:p>
    <w:p w:rsidR="00BC6DF9" w:rsidRDefault="00CC41B4">
      <w:pPr>
        <w:pStyle w:val="Bibliography"/>
      </w:pPr>
      <w:bookmarkStart w:id="110" w:name="ref-Sinha2020"/>
      <w:bookmarkEnd w:id="109"/>
      <w:r>
        <w:t xml:space="preserve">31. </w:t>
      </w:r>
      <w:r>
        <w:tab/>
        <w:t>Sinha SR, Haileselassie Y, Nguyen LP, Tropini C, Wang M, Becker LS, Sim D, Jarr K, Spear ET, Singh G, Namkoong H, Bittinger K, Fischbach MA, Sonnenburg JL, Habtezion A. 2020. Dysbiosis-Induced Secondary Bile Acid Deficiency Promotes Intestinal Inflammation. Cell Host &amp; Microbe 27:659–670.e5. doi:</w:t>
      </w:r>
      <w:hyperlink r:id="rId50">
        <w:r>
          <w:rPr>
            <w:rStyle w:val="Hyperlink"/>
          </w:rPr>
          <w:t>10.1016/j.chom.2020.01.021</w:t>
        </w:r>
      </w:hyperlink>
      <w:r>
        <w:t>.</w:t>
      </w:r>
    </w:p>
    <w:p w:rsidR="00BC6DF9" w:rsidRDefault="00CC41B4">
      <w:pPr>
        <w:pStyle w:val="Bibliography"/>
      </w:pPr>
      <w:bookmarkStart w:id="111" w:name="ref-Sun2021"/>
      <w:bookmarkEnd w:id="110"/>
      <w:r>
        <w:t xml:space="preserve">32. </w:t>
      </w:r>
      <w:r>
        <w:tab/>
        <w:t>Sun R, Xu C, Feng B, Gao X, Liu Z. 2021. Critical roles of bile acids in regulating intestinal mucosal immune responses. Therap Adv Gastroenterol 14:17562848211018098. doi:</w:t>
      </w:r>
      <w:hyperlink r:id="rId51">
        <w:r>
          <w:rPr>
            <w:rStyle w:val="Hyperlink"/>
          </w:rPr>
          <w:t>10.1177/17562848211018098</w:t>
        </w:r>
      </w:hyperlink>
      <w:r>
        <w:t>.</w:t>
      </w:r>
    </w:p>
    <w:p w:rsidR="00BC6DF9" w:rsidRDefault="00CC41B4">
      <w:pPr>
        <w:pStyle w:val="Bibliography"/>
      </w:pPr>
      <w:bookmarkStart w:id="112" w:name="ref-Fiorucci2021"/>
      <w:bookmarkEnd w:id="111"/>
      <w:r>
        <w:t xml:space="preserve">33. </w:t>
      </w:r>
      <w:r>
        <w:tab/>
        <w:t>Fiorucci S, Carino A, Baldoni M, Santucci L, Costanzi E, Graziosi L, Distrutti E, Biagioli M. 2021. Bile Acid Signaling in Inflammatory Bowel Diseases. Dig Dis Sci 66:674–693. doi:</w:t>
      </w:r>
      <w:hyperlink r:id="rId52">
        <w:r>
          <w:rPr>
            <w:rStyle w:val="Hyperlink"/>
          </w:rPr>
          <w:t>10.1007/s10620-020-06715-3</w:t>
        </w:r>
      </w:hyperlink>
      <w:r>
        <w:t>.</w:t>
      </w:r>
    </w:p>
    <w:p w:rsidR="00BC6DF9" w:rsidRDefault="00CC41B4">
      <w:pPr>
        <w:pStyle w:val="Bibliography"/>
      </w:pPr>
      <w:bookmarkStart w:id="113" w:name="ref-Yang2021"/>
      <w:bookmarkEnd w:id="112"/>
      <w:r>
        <w:t xml:space="preserve">34. </w:t>
      </w:r>
      <w:r>
        <w:tab/>
        <w:t>Yang Z-H, Liu F, Zhu X-R, Suo F-Y, Jia Z, Yao S-K. 2021. Altered profiles of fecal bile acids correlate with gut microbiota and inflammatory responses in patients with ulcerative colitis. World J Gastroenterol 27:3609–3629. doi:</w:t>
      </w:r>
      <w:hyperlink r:id="rId53">
        <w:r>
          <w:rPr>
            <w:rStyle w:val="Hyperlink"/>
          </w:rPr>
          <w:t>10.3748/wjg.v27.i24.3609</w:t>
        </w:r>
      </w:hyperlink>
      <w:r>
        <w:t>.</w:t>
      </w:r>
    </w:p>
    <w:p w:rsidR="00BC6DF9" w:rsidRDefault="00CC41B4">
      <w:pPr>
        <w:pStyle w:val="Bibliography"/>
      </w:pPr>
      <w:bookmarkStart w:id="114" w:name="ref-Schroeder1987"/>
      <w:bookmarkEnd w:id="113"/>
      <w:r>
        <w:t xml:space="preserve">35. </w:t>
      </w:r>
      <w:r>
        <w:tab/>
        <w:t>Schroeder KW, Tremaine WJ, Ilstrup DM. 1987. Coated Oral 5-Aminosalicylic Acid Therapy for Mildly to Moderately Active Ulcerative Colitis. N Engl J Med 317:1625–1629. doi:</w:t>
      </w:r>
      <w:hyperlink r:id="rId54">
        <w:r>
          <w:rPr>
            <w:rStyle w:val="Hyperlink"/>
          </w:rPr>
          <w:t>10.1056/NEJM198712243172603</w:t>
        </w:r>
      </w:hyperlink>
      <w:r>
        <w:t>.</w:t>
      </w:r>
    </w:p>
    <w:p w:rsidR="00BC6DF9" w:rsidRDefault="00CC41B4">
      <w:pPr>
        <w:pStyle w:val="Bibliography"/>
      </w:pPr>
      <w:bookmarkStart w:id="115" w:name="ref-Shi2020"/>
      <w:bookmarkEnd w:id="114"/>
      <w:r>
        <w:t xml:space="preserve">36. </w:t>
      </w:r>
      <w:r>
        <w:tab/>
        <w:t>Shi ZJ, Dimitrov B, Zhao C, Nayfach S, Pollard KS. 2020. Ultra-rapid metagenotyping of the human gut microbiome. bioRxiv 2020.06.12.149336. doi:</w:t>
      </w:r>
      <w:hyperlink r:id="rId55">
        <w:r>
          <w:rPr>
            <w:rStyle w:val="Hyperlink"/>
          </w:rPr>
          <w:t>10.1101/2020.06.12.149336</w:t>
        </w:r>
      </w:hyperlink>
      <w:r>
        <w:t>.</w:t>
      </w:r>
    </w:p>
    <w:p w:rsidR="00BC6DF9" w:rsidRDefault="00CC41B4">
      <w:pPr>
        <w:pStyle w:val="Bibliography"/>
      </w:pPr>
      <w:bookmarkStart w:id="116" w:name="ref-Parks2018"/>
      <w:bookmarkEnd w:id="115"/>
      <w:r>
        <w:t xml:space="preserve">37. </w:t>
      </w:r>
      <w:r>
        <w:tab/>
        <w:t>Parks DH, Chuvochina M, Waite DW, Rinke C, Skarshewski A, Chaumeil P-A, Hugenholtz P. 2018. A standardized bacterial taxonomy based on genome phylogeny substantially revises the tree of life. Nat Biotechnol 36:996–1004. doi:</w:t>
      </w:r>
      <w:hyperlink r:id="rId56">
        <w:r>
          <w:rPr>
            <w:rStyle w:val="Hyperlink"/>
          </w:rPr>
          <w:t>10.1038/nbt.4229</w:t>
        </w:r>
      </w:hyperlink>
      <w:r>
        <w:t>.</w:t>
      </w:r>
    </w:p>
    <w:p w:rsidR="00BC6DF9" w:rsidRDefault="00CC41B4">
      <w:pPr>
        <w:pStyle w:val="Bibliography"/>
      </w:pPr>
      <w:bookmarkStart w:id="117" w:name="ref-Parks2020"/>
      <w:bookmarkEnd w:id="116"/>
      <w:r>
        <w:t xml:space="preserve">38. </w:t>
      </w:r>
      <w:r>
        <w:tab/>
        <w:t>Parks DH, Chuvochina M, Chaumeil P-A, Rinke C, Mussig AJ, Hugenholtz P. 2020. A complete domain-to-species taxonomy for Bacteria and Archaea. Nat Biotechnol 38:1079–1086. doi:</w:t>
      </w:r>
      <w:hyperlink r:id="rId57">
        <w:r>
          <w:rPr>
            <w:rStyle w:val="Hyperlink"/>
          </w:rPr>
          <w:t>10.1038/s41587-020-0501-8</w:t>
        </w:r>
      </w:hyperlink>
      <w:r>
        <w:t>.</w:t>
      </w:r>
    </w:p>
    <w:p w:rsidR="00BC6DF9" w:rsidRDefault="00CC41B4">
      <w:pPr>
        <w:pStyle w:val="Bibliography"/>
      </w:pPr>
      <w:bookmarkStart w:id="118" w:name="ref-Earley2019"/>
      <w:bookmarkEnd w:id="117"/>
      <w:r>
        <w:t xml:space="preserve">39. </w:t>
      </w:r>
      <w:r>
        <w:tab/>
        <w:t>Earley H, Lennon G, Balfe Á, Coffey JC, Winter DC, O’Connell PR. 2019. The abundance of Akkermansia muciniphila and its relationship with sulphated colonic mucins in health and ulcerative colitis. Sci Rep 9:15683. doi:</w:t>
      </w:r>
      <w:hyperlink r:id="rId58">
        <w:r>
          <w:rPr>
            <w:rStyle w:val="Hyperlink"/>
          </w:rPr>
          <w:t>10.1038/s41598-019-51878-3</w:t>
        </w:r>
      </w:hyperlink>
      <w:r>
        <w:t>.</w:t>
      </w:r>
    </w:p>
    <w:p w:rsidR="00BC6DF9" w:rsidRDefault="00CC41B4">
      <w:pPr>
        <w:pStyle w:val="Bibliography"/>
      </w:pPr>
      <w:bookmarkStart w:id="119" w:name="ref-Bian2019"/>
      <w:bookmarkEnd w:id="118"/>
      <w:r>
        <w:lastRenderedPageBreak/>
        <w:t xml:space="preserve">40. </w:t>
      </w:r>
      <w:r>
        <w:tab/>
        <w:t>Bian X, Wu W, Yang L, Lv L, Wang Q, Li Y, Ye J, Fang D, Wu J, Jiang X, Shi D, Li L. 2019. Administration of Akkermansia muciniphila Ameliorates Dextran Sulfate Sodium-Induced Ulcerative Colitis in Mice. Front Microbiol 0 doi:</w:t>
      </w:r>
      <w:hyperlink r:id="rId59">
        <w:r>
          <w:rPr>
            <w:rStyle w:val="Hyperlink"/>
          </w:rPr>
          <w:t>10.3389/fmicb.2019.02259</w:t>
        </w:r>
      </w:hyperlink>
      <w:r>
        <w:t>.</w:t>
      </w:r>
    </w:p>
    <w:p w:rsidR="00BC6DF9" w:rsidRDefault="00CC41B4">
      <w:pPr>
        <w:pStyle w:val="Bibliography"/>
      </w:pPr>
      <w:bookmarkStart w:id="120" w:name="ref-Vital2019"/>
      <w:bookmarkEnd w:id="119"/>
      <w:r>
        <w:t xml:space="preserve">41. </w:t>
      </w:r>
      <w:r>
        <w:tab/>
        <w:t>Vital M, Rud T, Rath S, Pieper DH, Schlüter D. 2019. Diversity of Bacteria Exhibiting Bile Acid-inducible 7</w:t>
      </w:r>
      <m:oMath>
        <m:r>
          <w:rPr>
            <w:rFonts w:ascii="Cambria Math" w:hAnsi="Cambria Math"/>
          </w:rPr>
          <m:t>α</m:t>
        </m:r>
      </m:oMath>
      <w:r>
        <w:t>-dehydroxylation Genes in the Human Gut. Comput Struct Biotechnol J 17:1016–1019. doi:</w:t>
      </w:r>
      <w:hyperlink r:id="rId60">
        <w:r>
          <w:rPr>
            <w:rStyle w:val="Hyperlink"/>
          </w:rPr>
          <w:t>10.1016/j.csbj.2019.07.012</w:t>
        </w:r>
      </w:hyperlink>
      <w:r>
        <w:t>.</w:t>
      </w:r>
    </w:p>
    <w:p w:rsidR="00BC6DF9" w:rsidRDefault="00CC41B4">
      <w:pPr>
        <w:pStyle w:val="Bibliography"/>
      </w:pPr>
      <w:bookmarkStart w:id="121" w:name="ref-Song2019"/>
      <w:bookmarkEnd w:id="120"/>
      <w:r>
        <w:t xml:space="preserve">42. </w:t>
      </w:r>
      <w:r>
        <w:tab/>
        <w:t>Song Z, Cai Y, Lao X, Wang X, Lin X, Cui Y, Kalavagunta PK, Liao J, Jin L, Shang J, Li J. 2019. Taxonomic profiling and populational patterns of bacterial bile salt hydrolase (BSH) genes based on worldwide human gut microbiome. Microbiome 7:9. doi:</w:t>
      </w:r>
      <w:hyperlink r:id="rId61">
        <w:r>
          <w:rPr>
            <w:rStyle w:val="Hyperlink"/>
          </w:rPr>
          <w:t>10.1186/s40168-019-0628-3</w:t>
        </w:r>
      </w:hyperlink>
      <w:r>
        <w:t>.</w:t>
      </w:r>
    </w:p>
    <w:p w:rsidR="00BC6DF9" w:rsidRDefault="00CC41B4">
      <w:pPr>
        <w:pStyle w:val="Bibliography"/>
      </w:pPr>
      <w:bookmarkStart w:id="122" w:name="ref-Rao2017"/>
      <w:bookmarkEnd w:id="121"/>
      <w:r>
        <w:t xml:space="preserve">43. </w:t>
      </w:r>
      <w:r>
        <w:tab/>
        <w:t>Rao K, Young VB, Malani PN. 2017. Capsules for Fecal Microbiota Transplantation in Recurrent Clostridium difficile Infection: The New Way Forward or a Tough Pill to Swallow? JAMA 318:1979–1980. doi:</w:t>
      </w:r>
      <w:hyperlink r:id="rId62">
        <w:r>
          <w:rPr>
            <w:rStyle w:val="Hyperlink"/>
          </w:rPr>
          <w:t>10.1001/jama.2017.17969</w:t>
        </w:r>
      </w:hyperlink>
      <w:r>
        <w:t>.</w:t>
      </w:r>
    </w:p>
    <w:p w:rsidR="00BC6DF9" w:rsidRDefault="00CC41B4">
      <w:pPr>
        <w:pStyle w:val="Bibliography"/>
      </w:pPr>
      <w:bookmarkStart w:id="123" w:name="ref-Wilson2019"/>
      <w:bookmarkEnd w:id="122"/>
      <w:r>
        <w:t xml:space="preserve">44. </w:t>
      </w:r>
      <w:r>
        <w:tab/>
        <w:t>Wilson BC, Vatanen T, Cutfield WS, O’Sullivan JM. 2019. The Super-Donor Phenomenon in Fecal Microbiota Transplantation. Front Cell Infect Microbiol 9 doi:</w:t>
      </w:r>
      <w:hyperlink r:id="rId63">
        <w:r>
          <w:rPr>
            <w:rStyle w:val="Hyperlink"/>
          </w:rPr>
          <w:t>10.3389/fcimb.2019.00002</w:t>
        </w:r>
      </w:hyperlink>
      <w:r>
        <w:t>.</w:t>
      </w:r>
    </w:p>
    <w:p w:rsidR="00BC6DF9" w:rsidRDefault="00CC41B4">
      <w:pPr>
        <w:pStyle w:val="Bibliography"/>
      </w:pPr>
      <w:bookmarkStart w:id="124" w:name="ref-Anyansi2020"/>
      <w:bookmarkEnd w:id="123"/>
      <w:r>
        <w:t xml:space="preserve">45. </w:t>
      </w:r>
      <w:r>
        <w:tab/>
        <w:t>Anyansi C, Straub TJ, Manson AL, Earl AM, Abeel T. 2020. Computational Methods for Strain-Level Microbial Detection in Colony and Metagenome Sequencing Data. Front Microbiol 11 doi:</w:t>
      </w:r>
      <w:hyperlink r:id="rId64">
        <w:r>
          <w:rPr>
            <w:rStyle w:val="Hyperlink"/>
          </w:rPr>
          <w:t>10.3389/fmicb.2020.01925</w:t>
        </w:r>
      </w:hyperlink>
      <w:r>
        <w:t>.</w:t>
      </w:r>
    </w:p>
    <w:p w:rsidR="00BC6DF9" w:rsidRDefault="00CC41B4">
      <w:pPr>
        <w:pStyle w:val="Bibliography"/>
      </w:pPr>
      <w:bookmarkStart w:id="125" w:name="ref-Albanese2017"/>
      <w:bookmarkEnd w:id="124"/>
      <w:r>
        <w:t xml:space="preserve">46. </w:t>
      </w:r>
      <w:r>
        <w:tab/>
        <w:t>Albanese D, Donati C. 2017. Strain profiling and epidemiology of bacterial species from metagenomic sequencing. Nat Commun 8:2260. doi:</w:t>
      </w:r>
      <w:hyperlink r:id="rId65">
        <w:r>
          <w:rPr>
            <w:rStyle w:val="Hyperlink"/>
          </w:rPr>
          <w:t>10.1038/s41467-017-02209-5</w:t>
        </w:r>
      </w:hyperlink>
      <w:r>
        <w:t>.</w:t>
      </w:r>
    </w:p>
    <w:p w:rsidR="00BC6DF9" w:rsidRDefault="00CC41B4">
      <w:pPr>
        <w:pStyle w:val="Bibliography"/>
      </w:pPr>
      <w:bookmarkStart w:id="126" w:name="ref-Truong2017"/>
      <w:bookmarkEnd w:id="125"/>
      <w:r>
        <w:t xml:space="preserve">47. </w:t>
      </w:r>
      <w:r>
        <w:tab/>
        <w:t>Truong DT, Tett A, Pasolli E, Huttenhower C, Segata N. 2017. Microbial strain-level population structure and genetic diversity from metagenomes. Genome Res 27:626–638. doi:</w:t>
      </w:r>
      <w:hyperlink r:id="rId66">
        <w:r>
          <w:rPr>
            <w:rStyle w:val="Hyperlink"/>
          </w:rPr>
          <w:t>10.1101/gr.216242.116</w:t>
        </w:r>
      </w:hyperlink>
      <w:r>
        <w:t>.</w:t>
      </w:r>
    </w:p>
    <w:p w:rsidR="00BC6DF9" w:rsidRDefault="00CC41B4">
      <w:pPr>
        <w:pStyle w:val="Bibliography"/>
      </w:pPr>
      <w:bookmarkStart w:id="127" w:name="ref-Podlesny2020"/>
      <w:bookmarkEnd w:id="126"/>
      <w:r>
        <w:t xml:space="preserve">48. </w:t>
      </w:r>
      <w:r>
        <w:tab/>
        <w:t>Podlesny D, Fricke WF. 2020. Microbial Strain Engraftment, Persistence and Replacement after Fecal Microbiota Transplantation. medRxiv 2020.09.29.20203638. doi:</w:t>
      </w:r>
      <w:hyperlink r:id="rId67">
        <w:r>
          <w:rPr>
            <w:rStyle w:val="Hyperlink"/>
          </w:rPr>
          <w:t>10.1101/2020.09.29.20203638</w:t>
        </w:r>
      </w:hyperlink>
      <w:r>
        <w:t>.</w:t>
      </w:r>
    </w:p>
    <w:p w:rsidR="00BC6DF9" w:rsidRDefault="00CC41B4">
      <w:pPr>
        <w:pStyle w:val="Bibliography"/>
      </w:pPr>
      <w:bookmarkStart w:id="128" w:name="ref-Allegretti2018"/>
      <w:bookmarkEnd w:id="127"/>
      <w:r>
        <w:t xml:space="preserve">49. </w:t>
      </w:r>
      <w:r>
        <w:tab/>
        <w:t xml:space="preserve">Allegretti JR, Mullish B, Kassam Z, Carrellas M, Marchesi J, Smith M, Geradin Y, Timberlake S, Pratt D, Korzenik J. 2018. Bile Acid Profiles are Not Altered by Fecal Microbiota Transplantation for the Treatment of Primary Sclerosing Cholangitis: Category Award (Liver): Presidential Poster Award: 1017. Off J Am Coll Gastroenterol ACG 113:S574. </w:t>
      </w:r>
      <w:hyperlink r:id="rId68">
        <w:r>
          <w:rPr>
            <w:rStyle w:val="Hyperlink"/>
          </w:rPr>
          <w:t>https://journals.lww.com/ajg/Fulltext/2018/10001/Bile_Acid_Profiles_are_Not_Altered_by_Fecal.1017.aspx</w:t>
        </w:r>
      </w:hyperlink>
      <w:r>
        <w:t>.</w:t>
      </w:r>
    </w:p>
    <w:p w:rsidR="00BC6DF9" w:rsidRDefault="00CC41B4">
      <w:pPr>
        <w:pStyle w:val="Bibliography"/>
      </w:pPr>
      <w:bookmarkStart w:id="129" w:name="ref-Kassam2019"/>
      <w:bookmarkEnd w:id="128"/>
      <w:r>
        <w:t xml:space="preserve">50. </w:t>
      </w:r>
      <w:r>
        <w:tab/>
        <w:t>Kassam Z, Dubois N, Ramakrishna B, Ling K, Qazi T, Smith M, Kelly CR, Fischer M, Allegretti JR, Budree S, Panchal P, Kelly CP, Osman M. 2019. Donor Screening for Fecal Microbiota Transplantation. N Engl J Med 2.</w:t>
      </w:r>
    </w:p>
    <w:p w:rsidR="00BC6DF9" w:rsidRDefault="00CC41B4">
      <w:pPr>
        <w:pStyle w:val="Bibliography"/>
      </w:pPr>
      <w:bookmarkStart w:id="130" w:name="ref-Gilat1987"/>
      <w:bookmarkEnd w:id="129"/>
      <w:r>
        <w:t xml:space="preserve">51. </w:t>
      </w:r>
      <w:r>
        <w:tab/>
        <w:t>Gilat T, Suissa A, Leichtman G, Delpre G, Pavlotzky M, Grossman A, Fireman Z. 1987. A comparative study of metronidazole and sulfasalazine in active, not severe, ulcerative colitis. An Israeli multicenter trial. J Clin Gastroenterol 9:415–417. doi:</w:t>
      </w:r>
      <w:hyperlink r:id="rId69">
        <w:r>
          <w:rPr>
            <w:rStyle w:val="Hyperlink"/>
          </w:rPr>
          <w:t>10.1097/00004836-198708000-00011</w:t>
        </w:r>
      </w:hyperlink>
      <w:r>
        <w:t>.</w:t>
      </w:r>
    </w:p>
    <w:p w:rsidR="00BC6DF9" w:rsidRDefault="00CC41B4">
      <w:pPr>
        <w:pStyle w:val="Bibliography"/>
      </w:pPr>
      <w:bookmarkStart w:id="131" w:name="ref-Chapman1986"/>
      <w:bookmarkEnd w:id="130"/>
      <w:r>
        <w:lastRenderedPageBreak/>
        <w:t xml:space="preserve">52. </w:t>
      </w:r>
      <w:r>
        <w:tab/>
        <w:t xml:space="preserve">Chapman RW, Selby WS, Jewell DP. 1986. Controlled trial of intravenous metronidazole as an adjunct to corticosteroids in severe ulcerative colitis. Gut 27:1210–1212. </w:t>
      </w:r>
      <w:hyperlink r:id="rId70">
        <w:r>
          <w:rPr>
            <w:rStyle w:val="Hyperlink"/>
          </w:rPr>
          <w:t>https://www.ncbi.nlm.nih.gov/pmc/articles/PMC1433885/</w:t>
        </w:r>
      </w:hyperlink>
      <w:r>
        <w:t>.</w:t>
      </w:r>
    </w:p>
    <w:p w:rsidR="00BC6DF9" w:rsidRDefault="00CC41B4">
      <w:pPr>
        <w:pStyle w:val="Bibliography"/>
      </w:pPr>
      <w:bookmarkStart w:id="132" w:name="ref-Mantzaris1997"/>
      <w:bookmarkEnd w:id="131"/>
      <w:r>
        <w:t xml:space="preserve">53. </w:t>
      </w:r>
      <w:r>
        <w:tab/>
        <w:t>Mantzaris GJ, Archavlis E, Christoforidis P, Kourtessas D, Amberiadis P, Florakis N, Petraki K, Spiliadi C, Triantafyllou G. 1997. A prospective randomized controlled trial of oral ciprofloxacin in acute ulcerative colitis. Am J Gastroenterol 92:454–456.</w:t>
      </w:r>
    </w:p>
    <w:p w:rsidR="00BC6DF9" w:rsidRDefault="00CC41B4">
      <w:pPr>
        <w:pStyle w:val="Bibliography"/>
      </w:pPr>
      <w:bookmarkStart w:id="133" w:name="ref-Mantzaris2001"/>
      <w:bookmarkEnd w:id="132"/>
      <w:r>
        <w:t xml:space="preserve">54. </w:t>
      </w:r>
      <w:r>
        <w:tab/>
        <w:t>Mantzaris GJ, Petraki K, Archavlis E, Amberiadis P, Kourtessas D, Christidou A, Triantafyllou G. 2001. A prospective randomized controlled trial of intravenous ciprofloxacin as an adjunct to corticosteroids in acute, severe ulcerative colitis. Scand J Gastroenterol 36:971–974. doi:</w:t>
      </w:r>
      <w:hyperlink r:id="rId71">
        <w:r>
          <w:rPr>
            <w:rStyle w:val="Hyperlink"/>
          </w:rPr>
          <w:t>10.1080/003655201750305503</w:t>
        </w:r>
      </w:hyperlink>
      <w:r>
        <w:t>.</w:t>
      </w:r>
    </w:p>
    <w:p w:rsidR="00BC6DF9" w:rsidRDefault="00CC41B4">
      <w:pPr>
        <w:pStyle w:val="Bibliography"/>
      </w:pPr>
      <w:bookmarkStart w:id="134" w:name="ref-Koster2012"/>
      <w:bookmarkEnd w:id="133"/>
      <w:r>
        <w:t xml:space="preserve">55. </w:t>
      </w:r>
      <w:r>
        <w:tab/>
        <w:t>Köster J, Rahmann S. 2012. Snakemakea scalable bioinformatics workflow engine. Bioinformatics 28:2520–2522. doi:</w:t>
      </w:r>
      <w:hyperlink r:id="rId72">
        <w:r>
          <w:rPr>
            <w:rStyle w:val="Hyperlink"/>
          </w:rPr>
          <w:t>10.1093/bioinformatics/bts480</w:t>
        </w:r>
      </w:hyperlink>
      <w:r>
        <w:t>.</w:t>
      </w:r>
    </w:p>
    <w:p w:rsidR="00BC6DF9" w:rsidRDefault="00CC41B4">
      <w:pPr>
        <w:pStyle w:val="Bibliography"/>
      </w:pPr>
      <w:bookmarkStart w:id="135" w:name="ref-Merkel2014"/>
      <w:bookmarkEnd w:id="134"/>
      <w:r>
        <w:t xml:space="preserve">56. </w:t>
      </w:r>
      <w:r>
        <w:tab/>
        <w:t>Merkel D. 2014. Docker: Lightweight Linux containers for consistent development and deployment. Linux J 2014:2:2.</w:t>
      </w:r>
    </w:p>
    <w:p w:rsidR="00BC6DF9" w:rsidRDefault="00CC41B4">
      <w:pPr>
        <w:pStyle w:val="Bibliography"/>
      </w:pPr>
      <w:bookmarkStart w:id="136" w:name="ref-anaconda"/>
      <w:bookmarkEnd w:id="135"/>
      <w:r>
        <w:t xml:space="preserve">57. </w:t>
      </w:r>
      <w:r>
        <w:tab/>
        <w:t xml:space="preserve">2020. Anaconda Software Distribution. Anaconda Inc. </w:t>
      </w:r>
      <w:hyperlink r:id="rId73">
        <w:r>
          <w:rPr>
            <w:rStyle w:val="Hyperlink"/>
          </w:rPr>
          <w:t>https://docs.anaconda.com/</w:t>
        </w:r>
      </w:hyperlink>
      <w:r>
        <w:t>.</w:t>
      </w:r>
    </w:p>
    <w:p w:rsidR="00BC6DF9" w:rsidRDefault="00CC41B4">
      <w:pPr>
        <w:pStyle w:val="Bibliography"/>
      </w:pPr>
      <w:bookmarkStart w:id="137" w:name="ref-Kluyver2016"/>
      <w:bookmarkEnd w:id="136"/>
      <w:r>
        <w:t xml:space="preserve">58. </w:t>
      </w:r>
      <w:r>
        <w:tab/>
        <w:t xml:space="preserve">Kluyver T, Ragan-Kelley B, Pérez F, Granger B, Bussonnier M, Frederic J, Kelley K, Hamrick J, Grout J, Corlay S, Ivanov P, Avila D, Abdalla S, Willing C, team J development. 2016. Jupyter Notebooks  a publishing format for reproducible computational workflows, p. 87–90. </w:t>
      </w:r>
      <w:r>
        <w:rPr>
          <w:i/>
          <w:iCs/>
        </w:rPr>
        <w:t>In</w:t>
      </w:r>
      <w:r>
        <w:t xml:space="preserve"> Loizides, F, Scmidt, B (eds.), Positioning and Power in Academic Publishing: Players, Agents and Agendas. IOS Press doi:</w:t>
      </w:r>
      <w:hyperlink r:id="rId74">
        <w:r>
          <w:rPr>
            <w:rStyle w:val="Hyperlink"/>
          </w:rPr>
          <w:t>10.3233/978-1-61499-649-1-87</w:t>
        </w:r>
      </w:hyperlink>
      <w:r>
        <w:t>.</w:t>
      </w:r>
    </w:p>
    <w:p w:rsidR="00BC6DF9" w:rsidRDefault="00CC41B4">
      <w:pPr>
        <w:pStyle w:val="Bibliography"/>
      </w:pPr>
      <w:bookmarkStart w:id="138" w:name="ref-Almeida2021"/>
      <w:bookmarkEnd w:id="137"/>
      <w:r>
        <w:t xml:space="preserve">59. </w:t>
      </w:r>
      <w:r>
        <w:tab/>
        <w:t>Almeida A, Nayfach S, Boland M, Strozzi F, Beracochea M, Shi ZJ, Pollard KS, Sakharova E, Parks DH, Hugenholtz P, Segata N, Kyrpides NC, Finn RD. 2021. A unified catalog of 204,938 reference genomes from the human gut microbiome. Nat Biotechnol 39:105–114. doi:</w:t>
      </w:r>
      <w:hyperlink r:id="rId75">
        <w:r>
          <w:rPr>
            <w:rStyle w:val="Hyperlink"/>
          </w:rPr>
          <w:t>10.1038/s41587-020-0603-3</w:t>
        </w:r>
      </w:hyperlink>
      <w:r>
        <w:t>.</w:t>
      </w:r>
    </w:p>
    <w:p w:rsidR="00BC6DF9" w:rsidRDefault="00CC41B4">
      <w:pPr>
        <w:pStyle w:val="Bibliography"/>
      </w:pPr>
      <w:bookmarkStart w:id="139" w:name="ref-Pedregosa2012"/>
      <w:bookmarkEnd w:id="138"/>
      <w:r>
        <w:t xml:space="preserve">60. </w:t>
      </w:r>
      <w:r>
        <w:tab/>
        <w:t xml:space="preserve">Pedregosa F, Varoquaux G, Gramfort A, Michel V, Thirion B, Grisel O, Blondel M, Prettenhofer P, Weiss R, Dubourg V, Vanderplas J, Passos A, Cournapeau D, Brucher M, Perrot M, Duchesnay É. 2011. Scikit-learn: Machine learning in Python. J Mach Learn Res 12:2825–2830. </w:t>
      </w:r>
      <w:hyperlink r:id="rId76">
        <w:r>
          <w:rPr>
            <w:rStyle w:val="Hyperlink"/>
          </w:rPr>
          <w:t>http://www.jmlr.org/papers/v12/pedregosa11a.html</w:t>
        </w:r>
      </w:hyperlink>
      <w:r>
        <w:t>.</w:t>
      </w:r>
    </w:p>
    <w:p w:rsidR="00BC6DF9" w:rsidRDefault="00CC41B4">
      <w:pPr>
        <w:pStyle w:val="Bibliography"/>
      </w:pPr>
      <w:bookmarkStart w:id="140" w:name="ref-Hojsgaard2005"/>
      <w:bookmarkEnd w:id="139"/>
      <w:r>
        <w:t xml:space="preserve">61. </w:t>
      </w:r>
      <w:r>
        <w:tab/>
        <w:t>Højsgaard S, Halekoh U, Yan J. 2005. The R Package geepack for Generalized Estimating Equations. J Stat Softw 15:1–11. doi:</w:t>
      </w:r>
      <w:hyperlink r:id="rId77">
        <w:r>
          <w:rPr>
            <w:rStyle w:val="Hyperlink"/>
          </w:rPr>
          <w:t>10.18637/jss.v015.i02</w:t>
        </w:r>
      </w:hyperlink>
      <w:r>
        <w:t>.</w:t>
      </w:r>
    </w:p>
    <w:p w:rsidR="00BC6DF9" w:rsidRDefault="00CC41B4">
      <w:pPr>
        <w:pStyle w:val="Bibliography"/>
      </w:pPr>
      <w:bookmarkStart w:id="141" w:name="ref-Guillot2013"/>
      <w:bookmarkEnd w:id="140"/>
      <w:r>
        <w:t xml:space="preserve">62. </w:t>
      </w:r>
      <w:r>
        <w:tab/>
        <w:t>Guillot G, Rousset F. 2013. Dismantling the Mantel tests. Methods Ecol Evol 4:336–344. doi:</w:t>
      </w:r>
      <w:hyperlink r:id="rId78">
        <w:r>
          <w:rPr>
            <w:rStyle w:val="Hyperlink"/>
          </w:rPr>
          <w:t>10.1111/2041-210x.12018</w:t>
        </w:r>
      </w:hyperlink>
      <w:r>
        <w:t>.</w:t>
      </w:r>
    </w:p>
    <w:p w:rsidR="00BC6DF9" w:rsidRDefault="00CC41B4">
      <w:pPr>
        <w:pStyle w:val="Bibliography"/>
      </w:pPr>
      <w:bookmarkStart w:id="142" w:name="ref-Lloyd-Price2019"/>
      <w:bookmarkEnd w:id="141"/>
      <w:r>
        <w:t xml:space="preserve">63. </w:t>
      </w:r>
      <w:r>
        <w:tab/>
        <w:t>Lloyd-Price J, Arze C, Ananthakrishnan AN, Schirmer M, Avila-Pacheco J, Poon TW, Andrews E, Ajami NJ, Bonham KS, Brislawn CJ, Casero D, Courtney H, Gonzalez A, Graeber TG, Hall AB, Lake K, Landers CJ, Mallick H, Plichta DR, Prasad M, Rahnavard G, Sauk J, Shungin D, Vázquez-Baeza Y, White RA, Braun J, Denson LA, Jansson JK, Knight R, Kugathasan S, McGovern DPB, Petrosino JF, Stappenbeck TS, Winter HS, Clish CB, Franzosa EA, Vlamakis H, Xavier RJ, Huttenhower C. 2019. Multi-omics of the gut microbial ecosystem in inflammatory bowel diseases. Nature 569:655–662. doi:</w:t>
      </w:r>
      <w:hyperlink r:id="rId79">
        <w:r>
          <w:rPr>
            <w:rStyle w:val="Hyperlink"/>
          </w:rPr>
          <w:t>10.1038/s41586-019-1237-9</w:t>
        </w:r>
      </w:hyperlink>
      <w:r>
        <w:t>.</w:t>
      </w:r>
    </w:p>
    <w:p w:rsidR="00BC6DF9" w:rsidRDefault="00CC41B4">
      <w:pPr>
        <w:pStyle w:val="Bibliography"/>
      </w:pPr>
      <w:bookmarkStart w:id="143" w:name="ref-Piceno2020"/>
      <w:bookmarkEnd w:id="142"/>
      <w:r>
        <w:t xml:space="preserve">64. </w:t>
      </w:r>
      <w:r>
        <w:tab/>
        <w:t xml:space="preserve">Piceno YM, Lin D, LaMere BJ, Zydek M, Chin A, McCauley K, Fadrosh D, Lynch K, Durack J, Umetsu SE, Kassam Z, Terdiman J, Ma A, Somsouk M, El-Nachef N, Lynch SV. 2020. Reduced Mucosal Inflammation and Select Alterations in the Viable Mucosa-Associated </w:t>
      </w:r>
      <w:r>
        <w:lastRenderedPageBreak/>
        <w:t>Microbiota Observed in Clinically-Responsive Ulcerative Colitis Patients Following A Single Fecal Microbiota Transplantation in a Pilot Study Evaluating Safety and Efficacy. J Clin Nutr Food Sci 3:27.</w:t>
      </w:r>
    </w:p>
    <w:p w:rsidR="00BC6DF9" w:rsidRDefault="00CC41B4">
      <w:pPr>
        <w:pStyle w:val="Bibliography"/>
      </w:pPr>
      <w:bookmarkStart w:id="144" w:name="ref-Caporaso2010"/>
      <w:bookmarkEnd w:id="143"/>
      <w:r>
        <w:t xml:space="preserve">65. </w:t>
      </w:r>
      <w:r>
        <w:tab/>
        <w:t>Caporaso JG, Kuczynski J, Stombaugh J, Bittinger K, Bushman FD, Costello EK, Fierer N, Peña AG, Goodrich JK, Gordon JI, Huttley G a, Kelley ST, Knights D, Koenig JE, Ley RE, Lozupone C a, McDonald D, Muegge BD, Pirrung M, Reeder J, Sevinsky JR, Turnbaugh PJ, Walters W a, Widmann J, Yatsunenko T, Zaneveld J, Knight R. 2010. QIIME allows analysis of high-throughput community sequencing data. Nat Methods 7:335–336. doi:</w:t>
      </w:r>
      <w:hyperlink r:id="rId80">
        <w:r>
          <w:rPr>
            <w:rStyle w:val="Hyperlink"/>
          </w:rPr>
          <w:t>10.1038/nmeth.f.303</w:t>
        </w:r>
      </w:hyperlink>
      <w:r>
        <w:t>.</w:t>
      </w:r>
    </w:p>
    <w:p w:rsidR="00BC6DF9" w:rsidRDefault="00CC41B4">
      <w:pPr>
        <w:pStyle w:val="Bibliography"/>
      </w:pPr>
      <w:bookmarkStart w:id="145" w:name="ref-Callahan2015"/>
      <w:bookmarkEnd w:id="144"/>
      <w:r>
        <w:t xml:space="preserve">66. </w:t>
      </w:r>
      <w:r>
        <w:tab/>
        <w:t>Callahan BJ, Mcmurdie PJ, Rosen MJ, Han AW, Johnson AJ, Holmes SP. 2015. DADA2 : High resolution sample inference from amplicon data. bioRxiv 13:0–14. doi:</w:t>
      </w:r>
      <w:hyperlink r:id="rId81">
        <w:r>
          <w:rPr>
            <w:rStyle w:val="Hyperlink"/>
          </w:rPr>
          <w:t>10.1101/024034</w:t>
        </w:r>
      </w:hyperlink>
      <w:r>
        <w:t>.</w:t>
      </w:r>
    </w:p>
    <w:p w:rsidR="00BC6DF9" w:rsidRDefault="00CC41B4">
      <w:pPr>
        <w:pStyle w:val="Bibliography"/>
      </w:pPr>
      <w:bookmarkStart w:id="146" w:name="ref-Quast2013"/>
      <w:bookmarkEnd w:id="145"/>
      <w:r>
        <w:t xml:space="preserve">67. </w:t>
      </w:r>
      <w:r>
        <w:tab/>
        <w:t>Quast C, Pruesse E, Yilmaz P, Gerken J, Schweer T, Yarza P, Peplies J, Glöckner FO. 2013. The SILVA ribosomal RNA gene database project: Improved data processing and web-based tools. Nucleic Acids Res 41:D590–D596. doi:</w:t>
      </w:r>
      <w:hyperlink r:id="rId82">
        <w:r>
          <w:rPr>
            <w:rStyle w:val="Hyperlink"/>
          </w:rPr>
          <w:t>10.1093/nar/gks1219</w:t>
        </w:r>
      </w:hyperlink>
      <w:r>
        <w:t>.</w:t>
      </w:r>
    </w:p>
    <w:p w:rsidR="00BC6DF9" w:rsidRDefault="00CC41B4">
      <w:pPr>
        <w:pStyle w:val="Bibliography"/>
      </w:pPr>
      <w:bookmarkStart w:id="147" w:name="ref-Yilmaz2014"/>
      <w:bookmarkEnd w:id="146"/>
      <w:r>
        <w:t xml:space="preserve">68. </w:t>
      </w:r>
      <w:r>
        <w:tab/>
        <w:t>Yilmaz P, Parfrey LW, Yarza P, Gerken J, Pruesse E, Quast C, Schweer T, Peplies J, Ludwig W, Glöckner FO. 2014. The SILVA and "all-species Living Tree Project (LTP)" taxonomic frameworks. Nucleic Acids Res 42:643–648. doi:</w:t>
      </w:r>
      <w:hyperlink r:id="rId83">
        <w:r>
          <w:rPr>
            <w:rStyle w:val="Hyperlink"/>
          </w:rPr>
          <w:t>10.1093/nar/gkt1209</w:t>
        </w:r>
      </w:hyperlink>
      <w:r>
        <w:t>.</w:t>
      </w:r>
    </w:p>
    <w:p w:rsidR="00BC6DF9" w:rsidRDefault="00CC41B4">
      <w:pPr>
        <w:pStyle w:val="Bibliography"/>
      </w:pPr>
      <w:bookmarkStart w:id="148" w:name="ref-Davis2018"/>
      <w:bookmarkEnd w:id="147"/>
      <w:r>
        <w:t xml:space="preserve">69. </w:t>
      </w:r>
      <w:r>
        <w:tab/>
        <w:t>Davis NM, Proctor DM, Holmes SP, Relman DA, Callahan BJ. 2018. Simple statistical identification and removal of contaminant sequences in marker-gene and metagenomics data. Microbiome 6:226. doi:</w:t>
      </w:r>
      <w:hyperlink r:id="rId84">
        <w:r>
          <w:rPr>
            <w:rStyle w:val="Hyperlink"/>
          </w:rPr>
          <w:t>10.1186/s40168-018-0605-2</w:t>
        </w:r>
      </w:hyperlink>
      <w:r>
        <w:t>.</w:t>
      </w:r>
    </w:p>
    <w:p w:rsidR="00BC6DF9" w:rsidRDefault="00CC41B4">
      <w:pPr>
        <w:pStyle w:val="Bibliography"/>
      </w:pPr>
      <w:bookmarkStart w:id="149" w:name="ref-Schliep2011"/>
      <w:bookmarkEnd w:id="148"/>
      <w:r>
        <w:t xml:space="preserve">70. </w:t>
      </w:r>
      <w:r>
        <w:tab/>
        <w:t>Schliep KP. 2011. Phangorn: Phylogenetic analysis in R. Bioinformatics 27:592–593. doi:</w:t>
      </w:r>
      <w:hyperlink r:id="rId85">
        <w:r>
          <w:rPr>
            <w:rStyle w:val="Hyperlink"/>
          </w:rPr>
          <w:t>10.1093/bioinformatics/btq706</w:t>
        </w:r>
      </w:hyperlink>
      <w:r>
        <w:t>.</w:t>
      </w:r>
    </w:p>
    <w:p w:rsidR="00BC6DF9" w:rsidRDefault="00CC41B4">
      <w:pPr>
        <w:pStyle w:val="Bibliography"/>
      </w:pPr>
      <w:bookmarkStart w:id="150" w:name="ref-Schliep2016"/>
      <w:bookmarkEnd w:id="149"/>
      <w:r>
        <w:t xml:space="preserve">71. </w:t>
      </w:r>
      <w:r>
        <w:tab/>
        <w:t>Schliep K, Potts AA, Morrison DA, Grimm GW. 2016. Intertwining phylogenetic trees and networks. preprint, PeerJ Preprints doi:</w:t>
      </w:r>
      <w:hyperlink r:id="rId86">
        <w:r>
          <w:rPr>
            <w:rStyle w:val="Hyperlink"/>
          </w:rPr>
          <w:t>10.7287/peerj.preprints.2054v1</w:t>
        </w:r>
      </w:hyperlink>
      <w:r>
        <w:t>.</w:t>
      </w:r>
    </w:p>
    <w:p w:rsidR="00BC6DF9" w:rsidRDefault="00CC41B4">
      <w:pPr>
        <w:pStyle w:val="Bibliography"/>
      </w:pPr>
      <w:bookmarkStart w:id="151" w:name="ref-Bodenhofer2015"/>
      <w:bookmarkEnd w:id="150"/>
      <w:r>
        <w:t xml:space="preserve">72. </w:t>
      </w:r>
      <w:r>
        <w:tab/>
        <w:t>Bodenhofer U, Bonatesta E, Horejš-Kainrath C, Hochreiter S. 2015. Msa: An R package for multiple sequence alignment. Bioinformatics 31:3997–3999. doi:</w:t>
      </w:r>
      <w:hyperlink r:id="rId87">
        <w:r>
          <w:rPr>
            <w:rStyle w:val="Hyperlink"/>
          </w:rPr>
          <w:t>10.1093/bioinformatics/btv494</w:t>
        </w:r>
      </w:hyperlink>
      <w:r>
        <w:t>.</w:t>
      </w:r>
    </w:p>
    <w:p w:rsidR="00BC6DF9" w:rsidRDefault="00CC41B4">
      <w:pPr>
        <w:pStyle w:val="Bibliography"/>
      </w:pPr>
      <w:bookmarkStart w:id="152" w:name="ref-Wright2016"/>
      <w:bookmarkEnd w:id="151"/>
      <w:r>
        <w:t xml:space="preserve">73. </w:t>
      </w:r>
      <w:r>
        <w:tab/>
        <w:t>Wright E S. 2016. Using DECIPHER v2.0 to Analyze Big Biological Sequence Data in R. The R Journal 8:352. doi:</w:t>
      </w:r>
      <w:hyperlink r:id="rId88">
        <w:r>
          <w:rPr>
            <w:rStyle w:val="Hyperlink"/>
          </w:rPr>
          <w:t>10.32614/RJ-2016-025</w:t>
        </w:r>
      </w:hyperlink>
      <w:r>
        <w:t>.</w:t>
      </w:r>
    </w:p>
    <w:p w:rsidR="00BC6DF9" w:rsidRDefault="00CC41B4">
      <w:pPr>
        <w:pStyle w:val="Bibliography"/>
      </w:pPr>
      <w:bookmarkStart w:id="153" w:name="ref-Xu2012"/>
      <w:bookmarkEnd w:id="152"/>
      <w:r>
        <w:t xml:space="preserve">74. </w:t>
      </w:r>
      <w:r>
        <w:tab/>
        <w:t xml:space="preserve">Xu H, Luo X, Qian J, Pang X, Song J, Qian G, Chen J, Chen S. 2012. FastUniq: A fast </w:t>
      </w:r>
      <w:r>
        <w:rPr>
          <w:i/>
          <w:iCs/>
        </w:rPr>
        <w:t>de novo</w:t>
      </w:r>
      <w:r>
        <w:t xml:space="preserve"> duplicates removal tool for paired short reads. PLoS ONE 7:1–6. doi:</w:t>
      </w:r>
      <w:hyperlink r:id="rId89">
        <w:r>
          <w:rPr>
            <w:rStyle w:val="Hyperlink"/>
          </w:rPr>
          <w:t>10.1371/journal.pone.0052249</w:t>
        </w:r>
      </w:hyperlink>
      <w:r>
        <w:t>.</w:t>
      </w:r>
    </w:p>
    <w:p w:rsidR="00BC6DF9" w:rsidRDefault="00CC41B4">
      <w:pPr>
        <w:pStyle w:val="Bibliography"/>
      </w:pPr>
      <w:bookmarkStart w:id="154" w:name="ref-Buffalo2018"/>
      <w:bookmarkEnd w:id="153"/>
      <w:r>
        <w:t xml:space="preserve">75. </w:t>
      </w:r>
      <w:r>
        <w:tab/>
        <w:t xml:space="preserve">Buffalo V. 2018. Scythe - A Bayesian adapter trimmer </w:t>
      </w:r>
      <w:hyperlink r:id="rId90">
        <w:r>
          <w:rPr>
            <w:rStyle w:val="Hyperlink"/>
          </w:rPr>
          <w:t>https://github.com/vsbuffalo/scythe</w:t>
        </w:r>
      </w:hyperlink>
      <w:r>
        <w:t>.</w:t>
      </w:r>
    </w:p>
    <w:p w:rsidR="00BC6DF9" w:rsidRDefault="00CC41B4">
      <w:pPr>
        <w:pStyle w:val="Bibliography"/>
      </w:pPr>
      <w:bookmarkStart w:id="155" w:name="ref-Joshi2011"/>
      <w:bookmarkEnd w:id="154"/>
      <w:r>
        <w:t xml:space="preserve">76. </w:t>
      </w:r>
      <w:r>
        <w:tab/>
        <w:t xml:space="preserve">Joshi NA, Fass JN. 2011. Sickle: A sliding-window, adaptive, quality-based trimming tool for FastQ files (Version 1.33) </w:t>
      </w:r>
      <w:hyperlink r:id="rId91">
        <w:r>
          <w:rPr>
            <w:rStyle w:val="Hyperlink"/>
          </w:rPr>
          <w:t>https://github.com/najoshi/sickle</w:t>
        </w:r>
      </w:hyperlink>
      <w:r>
        <w:t>.</w:t>
      </w:r>
    </w:p>
    <w:p w:rsidR="00BC6DF9" w:rsidRDefault="00CC41B4">
      <w:pPr>
        <w:pStyle w:val="Bibliography"/>
      </w:pPr>
      <w:bookmarkStart w:id="156" w:name="ref-Schneider2017"/>
      <w:bookmarkEnd w:id="155"/>
      <w:r>
        <w:t xml:space="preserve">77. </w:t>
      </w:r>
      <w:r>
        <w:tab/>
        <w:t xml:space="preserve">Schneider VA, Graves-Lindsay T, Howe K, Bouk N, Chen H-C, Kitts PA, Murphy TD, Pruitt KD, Thibaud-Nissen F, Albracht D, Fulton RS, Kremitzki M, Magrini V, Markovic C, McGrath S, Steinberg KM, Auger K, Chow W, Collins J, Harden G, Hubbard T, Pelan S, Simpson JT, Threadgold G, Torrance J, Wood JM, Clarke L, Koren S, Boitano M, Peluso P, Li H, Chin C-S, Phillippy AM, Durbin R, Wilson RK, Flicek P, Eichler EE, Church DM. 2017. </w:t>
      </w:r>
      <w:r>
        <w:lastRenderedPageBreak/>
        <w:t>Evaluation of GRCh38 and de novo haploid genome assemblies demonstrates the enduring quality of the reference assembly. Genome Res 27:849–864. doi:</w:t>
      </w:r>
      <w:hyperlink r:id="rId92">
        <w:r>
          <w:rPr>
            <w:rStyle w:val="Hyperlink"/>
          </w:rPr>
          <w:t>10.1101/gr.213611.116</w:t>
        </w:r>
      </w:hyperlink>
      <w:r>
        <w:t>.</w:t>
      </w:r>
    </w:p>
    <w:p w:rsidR="00BC6DF9" w:rsidRDefault="00CC41B4">
      <w:pPr>
        <w:pStyle w:val="Bibliography"/>
      </w:pPr>
      <w:bookmarkStart w:id="157" w:name="ref-Langmead2012"/>
      <w:bookmarkEnd w:id="156"/>
      <w:r>
        <w:t xml:space="preserve">78. </w:t>
      </w:r>
      <w:r>
        <w:tab/>
        <w:t>Langmead B, Salzberg SL. 2012. Fast gapped-read alignment with Bowtie 2. Nat Methods 9:357–359. doi:</w:t>
      </w:r>
      <w:hyperlink r:id="rId93">
        <w:r>
          <w:rPr>
            <w:rStyle w:val="Hyperlink"/>
          </w:rPr>
          <w:t>10.1038/nmeth.1923</w:t>
        </w:r>
      </w:hyperlink>
      <w:r>
        <w:t>.</w:t>
      </w:r>
    </w:p>
    <w:p w:rsidR="00BC6DF9" w:rsidRDefault="00CC41B4">
      <w:pPr>
        <w:pStyle w:val="Bibliography"/>
      </w:pPr>
      <w:bookmarkStart w:id="158" w:name="ref-Buchfink2014"/>
      <w:bookmarkEnd w:id="157"/>
      <w:r>
        <w:t xml:space="preserve">79. </w:t>
      </w:r>
      <w:r>
        <w:tab/>
        <w:t>Buchfink B, Xie C, Huson DH. 2014. Fast and sensitive protein alignment using DIAMOND. Nat Methods 12:59–60. doi:</w:t>
      </w:r>
      <w:hyperlink r:id="rId94">
        <w:r>
          <w:rPr>
            <w:rStyle w:val="Hyperlink"/>
          </w:rPr>
          <w:t>10.1038/nmeth.3176</w:t>
        </w:r>
      </w:hyperlink>
      <w:r>
        <w:t>.</w:t>
      </w:r>
    </w:p>
    <w:p w:rsidR="00BC6DF9" w:rsidRDefault="00CC41B4">
      <w:pPr>
        <w:pStyle w:val="Bibliography"/>
      </w:pPr>
      <w:bookmarkStart w:id="159" w:name="ref-Altschul1990"/>
      <w:bookmarkEnd w:id="158"/>
      <w:r>
        <w:t xml:space="preserve">80. </w:t>
      </w:r>
      <w:r>
        <w:tab/>
        <w:t>Altschul SF, Gish W, Miller W, Myers EW, Lipman DJ. 1990. Basic local alignment search tool. J Mol Biol 215:403–410. doi:</w:t>
      </w:r>
      <w:hyperlink r:id="rId95">
        <w:r>
          <w:rPr>
            <w:rStyle w:val="Hyperlink"/>
          </w:rPr>
          <w:t>10.1016/S0022-2836(05)80360-2</w:t>
        </w:r>
      </w:hyperlink>
      <w:r>
        <w:t>.</w:t>
      </w:r>
    </w:p>
    <w:p w:rsidR="00BC6DF9" w:rsidRDefault="00CC41B4">
      <w:pPr>
        <w:pStyle w:val="Bibliography"/>
      </w:pPr>
      <w:bookmarkStart w:id="160" w:name="ref-Huerta-Cepas2017"/>
      <w:bookmarkEnd w:id="159"/>
      <w:r>
        <w:t xml:space="preserve">81. </w:t>
      </w:r>
      <w:r>
        <w:tab/>
        <w:t>Huerta-Cepas J, Forslund K, Coelho LP, Szklarczyk D, Jensen LJ, von Mering C, Bork P. 2017. Fast Genome-Wide Functional Annotation through Orthology Assignment by eggNOG-Mapper. Molecular Biology and Evolution 34:2115–2122. doi:</w:t>
      </w:r>
      <w:hyperlink r:id="rId96">
        <w:r>
          <w:rPr>
            <w:rStyle w:val="Hyperlink"/>
          </w:rPr>
          <w:t>10.1093/molbev/msx148</w:t>
        </w:r>
      </w:hyperlink>
      <w:r>
        <w:t>.</w:t>
      </w:r>
      <w:bookmarkEnd w:id="78"/>
      <w:bookmarkEnd w:id="80"/>
      <w:bookmarkEnd w:id="160"/>
    </w:p>
    <w:sectPr w:rsidR="00BC6DF9" w:rsidSect="00FA79CE">
      <w:headerReference w:type="even" r:id="rId97"/>
      <w:headerReference w:type="default" r:id="rId9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B2045" w:rsidRDefault="007B2045">
      <w:pPr>
        <w:spacing w:before="0" w:after="0"/>
      </w:pPr>
      <w:r>
        <w:separator/>
      </w:r>
    </w:p>
  </w:endnote>
  <w:endnote w:type="continuationSeparator" w:id="0">
    <w:p w:rsidR="007B2045" w:rsidRDefault="007B20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B2045" w:rsidRDefault="007B2045">
      <w:r>
        <w:separator/>
      </w:r>
    </w:p>
  </w:footnote>
  <w:footnote w:type="continuationSeparator" w:id="0">
    <w:p w:rsidR="007B2045" w:rsidRDefault="007B2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CC41B4"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7B2045"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CC41B4" w:rsidP="00FA79CE">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7B2045"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F02843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3D6E7F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C42528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D149E5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9CE37D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A0CC326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976B15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466A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EE0A16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650FC1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1772F3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A6801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DF9"/>
    <w:rsid w:val="004B7B3B"/>
    <w:rsid w:val="007B2045"/>
    <w:rsid w:val="00BC6DF9"/>
    <w:rsid w:val="00CC41B4"/>
    <w:rsid w:val="00FA79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E38C52"/>
  <w15:docId w15:val="{833CB2F7-950F-F74F-8F72-418D274A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Pr>
      <w:rFonts w:ascii="Arial" w:hAnsi="Arial"/>
      <w:i/>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53/j.gastro.2015.03.045" TargetMode="External"/><Relationship Id="rId21" Type="http://schemas.openxmlformats.org/officeDocument/2006/relationships/hyperlink" Target="https://doi.org/10.1080/14712598.2020.1733964" TargetMode="External"/><Relationship Id="rId42" Type="http://schemas.openxmlformats.org/officeDocument/2006/relationships/hyperlink" Target="https://doi.org/10.1101/649384" TargetMode="External"/><Relationship Id="rId47" Type="http://schemas.openxmlformats.org/officeDocument/2006/relationships/hyperlink" Target="https://doi.org/10.1186/s40168-019-0689-3" TargetMode="External"/><Relationship Id="rId63" Type="http://schemas.openxmlformats.org/officeDocument/2006/relationships/hyperlink" Target="https://doi.org/10.3389/fcimb.2019.00002" TargetMode="External"/><Relationship Id="rId68" Type="http://schemas.openxmlformats.org/officeDocument/2006/relationships/hyperlink" Target="https://journals.lww.com/ajg/Fulltext/2018/10001/Bile_Acid_Profiles_are_Not_Altered_by_Fecal.1017.aspx" TargetMode="External"/><Relationship Id="rId84" Type="http://schemas.openxmlformats.org/officeDocument/2006/relationships/hyperlink" Target="https://doi.org/10.1186/s40168-018-0605-2" TargetMode="External"/><Relationship Id="rId89" Type="http://schemas.openxmlformats.org/officeDocument/2006/relationships/hyperlink" Target="https://doi.org/10.1371/journal.pone.0052249"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s://doi.org/10.1097/MIB.0000000000000975" TargetMode="External"/><Relationship Id="rId37" Type="http://schemas.openxmlformats.org/officeDocument/2006/relationships/hyperlink" Target="https://doi.org/10.1080/00365521.2019.1585939" TargetMode="External"/><Relationship Id="rId53" Type="http://schemas.openxmlformats.org/officeDocument/2006/relationships/hyperlink" Target="https://doi.org/10.3748/wjg.v27.i24.3609" TargetMode="External"/><Relationship Id="rId58" Type="http://schemas.openxmlformats.org/officeDocument/2006/relationships/hyperlink" Target="https://doi.org/10.1038/s41598-019-51878-3" TargetMode="External"/><Relationship Id="rId74" Type="http://schemas.openxmlformats.org/officeDocument/2006/relationships/hyperlink" Target="https://doi.org/10.3233/978-1-61499-649-1-87" TargetMode="External"/><Relationship Id="rId79" Type="http://schemas.openxmlformats.org/officeDocument/2006/relationships/hyperlink" Target="https://doi.org/10.1038/s41586-019-1237-9" TargetMode="External"/><Relationship Id="rId5" Type="http://schemas.openxmlformats.org/officeDocument/2006/relationships/footnotes" Target="footnotes.xml"/><Relationship Id="rId90" Type="http://schemas.openxmlformats.org/officeDocument/2006/relationships/hyperlink" Target="https://github.com/vsbuffalo/scythe" TargetMode="External"/><Relationship Id="rId95" Type="http://schemas.openxmlformats.org/officeDocument/2006/relationships/hyperlink" Target="https://doi.org/10.1016/S0022-2836(05)80360-2" TargetMode="External"/><Relationship Id="rId22" Type="http://schemas.openxmlformats.org/officeDocument/2006/relationships/hyperlink" Target="https://doi.org/10.1093/ecco-jcc/jjx063" TargetMode="External"/><Relationship Id="rId27" Type="http://schemas.openxmlformats.org/officeDocument/2006/relationships/hyperlink" Target="https://doi.org/10.1053/j.gastro.2015.04.001" TargetMode="External"/><Relationship Id="rId43" Type="http://schemas.openxmlformats.org/officeDocument/2006/relationships/hyperlink" Target="https://doi.org/10.1038/s41467-019-13036-1" TargetMode="External"/><Relationship Id="rId48" Type="http://schemas.openxmlformats.org/officeDocument/2006/relationships/hyperlink" Target="https://doi.org/10.2147/CEG.S186097" TargetMode="External"/><Relationship Id="rId64" Type="http://schemas.openxmlformats.org/officeDocument/2006/relationships/hyperlink" Target="https://doi.org/10.3389/fmicb.2020.01925" TargetMode="External"/><Relationship Id="rId69" Type="http://schemas.openxmlformats.org/officeDocument/2006/relationships/hyperlink" Target="https://doi.org/10.1097/00004836-198708000-00011" TargetMode="External"/><Relationship Id="rId80" Type="http://schemas.openxmlformats.org/officeDocument/2006/relationships/hyperlink" Target="https://doi.org/10.1038/nmeth.f.303" TargetMode="External"/><Relationship Id="rId85" Type="http://schemas.openxmlformats.org/officeDocument/2006/relationships/hyperlink" Target="https://doi.org/10.1093/bioinformatics/btq706"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qb3.berkeley.edu/" TargetMode="External"/><Relationship Id="rId25" Type="http://schemas.openxmlformats.org/officeDocument/2006/relationships/hyperlink" Target="https://doi.org/10.3390/jcm10050959" TargetMode="External"/><Relationship Id="rId33" Type="http://schemas.openxmlformats.org/officeDocument/2006/relationships/hyperlink" Target="https://doi.org/10.1111/apt.14387" TargetMode="External"/><Relationship Id="rId38" Type="http://schemas.openxmlformats.org/officeDocument/2006/relationships/hyperlink" Target="https://doi.org/10.21037/tgh.2019.06.04" TargetMode="External"/><Relationship Id="rId46" Type="http://schemas.openxmlformats.org/officeDocument/2006/relationships/hyperlink" Target="https://doi.org/10.20524/aog.2018.0239" TargetMode="External"/><Relationship Id="rId59" Type="http://schemas.openxmlformats.org/officeDocument/2006/relationships/hyperlink" Target="https://doi.org/10.3389/fmicb.2019.02259" TargetMode="External"/><Relationship Id="rId67" Type="http://schemas.openxmlformats.org/officeDocument/2006/relationships/hyperlink" Target="https://doi.org/10.1101/2020.09.29.20203638" TargetMode="External"/><Relationship Id="rId20" Type="http://schemas.openxmlformats.org/officeDocument/2006/relationships/hyperlink" Target="https://doi.org/10.1177/1756284819891038" TargetMode="External"/><Relationship Id="rId41" Type="http://schemas.openxmlformats.org/officeDocument/2006/relationships/hyperlink" Target="https://doi.org/10.1016/j.chom.2018.01.003" TargetMode="External"/><Relationship Id="rId54" Type="http://schemas.openxmlformats.org/officeDocument/2006/relationships/hyperlink" Target="https://doi.org/10.1056/NEJM198712243172603" TargetMode="External"/><Relationship Id="rId62" Type="http://schemas.openxmlformats.org/officeDocument/2006/relationships/hyperlink" Target="https://doi.org/10.1001/jama.2017.17969" TargetMode="External"/><Relationship Id="rId70" Type="http://schemas.openxmlformats.org/officeDocument/2006/relationships/hyperlink" Target="https://www.ncbi.nlm.nih.gov/pmc/articles/PMC1433885/" TargetMode="External"/><Relationship Id="rId75" Type="http://schemas.openxmlformats.org/officeDocument/2006/relationships/hyperlink" Target="https://doi.org/10.1038/s41587-020-0603-3" TargetMode="External"/><Relationship Id="rId83" Type="http://schemas.openxmlformats.org/officeDocument/2006/relationships/hyperlink" Target="https://doi.org/10.1093/nar/gkt1209" TargetMode="External"/><Relationship Id="rId88" Type="http://schemas.openxmlformats.org/officeDocument/2006/relationships/hyperlink" Target="https://doi.org/10.32614/RJ-2016-025" TargetMode="External"/><Relationship Id="rId91" Type="http://schemas.openxmlformats.org/officeDocument/2006/relationships/hyperlink" Target="https://github.com/najoshi/sickle" TargetMode="External"/><Relationship Id="rId96" Type="http://schemas.openxmlformats.org/officeDocument/2006/relationships/hyperlink" Target="https://doi.org/10.1093/molbev/msx14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doi.org/10.1111/apt.14173" TargetMode="External"/><Relationship Id="rId28" Type="http://schemas.openxmlformats.org/officeDocument/2006/relationships/hyperlink" Target="https://doi.org/10.1016/S0140-6736(17)30182-4" TargetMode="External"/><Relationship Id="rId36" Type="http://schemas.openxmlformats.org/officeDocument/2006/relationships/hyperlink" Target="https://doi.org/10.21203/rs.3.rs-62372/v1" TargetMode="External"/><Relationship Id="rId49" Type="http://schemas.openxmlformats.org/officeDocument/2006/relationships/hyperlink" Target="https://doi.org/10.1038/s41575-019-0258-z" TargetMode="External"/><Relationship Id="rId57" Type="http://schemas.openxmlformats.org/officeDocument/2006/relationships/hyperlink" Target="https://doi.org/10.1038/s41587-020-0501-8" TargetMode="External"/><Relationship Id="rId10" Type="http://schemas.openxmlformats.org/officeDocument/2006/relationships/image" Target="media/image2.png"/><Relationship Id="rId31" Type="http://schemas.openxmlformats.org/officeDocument/2006/relationships/hyperlink" Target="https://doi.org/10.3390/pathogens8030126" TargetMode="External"/><Relationship Id="rId44" Type="http://schemas.openxmlformats.org/officeDocument/2006/relationships/hyperlink" Target="https://doi.org/10.1053/j.gastro.2018.12.001" TargetMode="External"/><Relationship Id="rId52" Type="http://schemas.openxmlformats.org/officeDocument/2006/relationships/hyperlink" Target="https://doi.org/10.1007/s10620-020-06715-3" TargetMode="External"/><Relationship Id="rId60" Type="http://schemas.openxmlformats.org/officeDocument/2006/relationships/hyperlink" Target="https://doi.org/10.1016/j.csbj.2019.07.012" TargetMode="External"/><Relationship Id="rId65" Type="http://schemas.openxmlformats.org/officeDocument/2006/relationships/hyperlink" Target="https://doi.org/10.1038/s41467-017-02209-5" TargetMode="External"/><Relationship Id="rId73" Type="http://schemas.openxmlformats.org/officeDocument/2006/relationships/hyperlink" Target="https://docs.anaconda.com/" TargetMode="External"/><Relationship Id="rId78" Type="http://schemas.openxmlformats.org/officeDocument/2006/relationships/hyperlink" Target="https://doi.org/10.1111/2041-210x.12018" TargetMode="External"/><Relationship Id="rId81" Type="http://schemas.openxmlformats.org/officeDocument/2006/relationships/hyperlink" Target="https://doi.org/10.1101/024034" TargetMode="External"/><Relationship Id="rId86" Type="http://schemas.openxmlformats.org/officeDocument/2006/relationships/hyperlink" Target="https://doi.org/10.7287/peerj.preprints.2054v1" TargetMode="External"/><Relationship Id="rId94" Type="http://schemas.openxmlformats.org/officeDocument/2006/relationships/hyperlink" Target="https://doi.org/10.1038/nmeth.3176"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hub.docker.com/repository/docker/bsmith89/compbio" TargetMode="External"/><Relationship Id="rId18" Type="http://schemas.openxmlformats.org/officeDocument/2006/relationships/hyperlink" Target="http://www.metabolon.com/" TargetMode="External"/><Relationship Id="rId39" Type="http://schemas.openxmlformats.org/officeDocument/2006/relationships/hyperlink" Target="https://doi.org/10.3390/jcm9061757" TargetMode="External"/><Relationship Id="rId34" Type="http://schemas.openxmlformats.org/officeDocument/2006/relationships/hyperlink" Target="https://doi.org/10.1001/jama.2017.17077" TargetMode="External"/><Relationship Id="rId50" Type="http://schemas.openxmlformats.org/officeDocument/2006/relationships/hyperlink" Target="https://doi.org/10.1016/j.chom.2020.01.021" TargetMode="External"/><Relationship Id="rId55" Type="http://schemas.openxmlformats.org/officeDocument/2006/relationships/hyperlink" Target="https://doi.org/10.1101/2020.06.12.149336" TargetMode="External"/><Relationship Id="rId76" Type="http://schemas.openxmlformats.org/officeDocument/2006/relationships/hyperlink" Target="http://www.jmlr.org/papers/v12/pedregosa11a.html" TargetMode="External"/><Relationship Id="rId97" Type="http://schemas.openxmlformats.org/officeDocument/2006/relationships/header" Target="header1.xml"/><Relationship Id="rId7" Type="http://schemas.openxmlformats.org/officeDocument/2006/relationships/hyperlink" Target="mailto:katherine.pollard@gladstone.ucsf.edu" TargetMode="External"/><Relationship Id="rId71" Type="http://schemas.openxmlformats.org/officeDocument/2006/relationships/hyperlink" Target="https://doi.org/10.1080/003655201750305503" TargetMode="External"/><Relationship Id="rId92" Type="http://schemas.openxmlformats.org/officeDocument/2006/relationships/hyperlink" Target="https://doi.org/10.1101/gr.213611.116" TargetMode="External"/><Relationship Id="rId2" Type="http://schemas.openxmlformats.org/officeDocument/2006/relationships/styles" Target="styles.xml"/><Relationship Id="rId29" Type="http://schemas.openxmlformats.org/officeDocument/2006/relationships/hyperlink" Target="https://doi.org/10.1001/jama.2018.20046" TargetMode="External"/><Relationship Id="rId24" Type="http://schemas.openxmlformats.org/officeDocument/2006/relationships/hyperlink" Target="https://doi.org/10.1089/crispr.2018.0046" TargetMode="External"/><Relationship Id="rId40" Type="http://schemas.openxmlformats.org/officeDocument/2006/relationships/hyperlink" Target="https://doi.org/10.1016/j.medmic.2020.100026" TargetMode="External"/><Relationship Id="rId45" Type="http://schemas.openxmlformats.org/officeDocument/2006/relationships/hyperlink" Target="https://doi.org/10.1371/journal.pone.0115175" TargetMode="External"/><Relationship Id="rId66" Type="http://schemas.openxmlformats.org/officeDocument/2006/relationships/hyperlink" Target="https://doi.org/10.1101/gr.216242.116" TargetMode="External"/><Relationship Id="rId87" Type="http://schemas.openxmlformats.org/officeDocument/2006/relationships/hyperlink" Target="https://doi.org/10.1093/bioinformatics/btv494" TargetMode="External"/><Relationship Id="rId61" Type="http://schemas.openxmlformats.org/officeDocument/2006/relationships/hyperlink" Target="https://doi.org/10.1186/s40168-019-0628-3" TargetMode="External"/><Relationship Id="rId82" Type="http://schemas.openxmlformats.org/officeDocument/2006/relationships/hyperlink" Target="https://doi.org/10.1093/nar/gks1219" TargetMode="External"/><Relationship Id="rId19" Type="http://schemas.openxmlformats.org/officeDocument/2006/relationships/hyperlink" Target="https://support.illumina.com/sequencing/sequencing_software/bcl2fastq-conversion-software.html" TargetMode="External"/><Relationship Id="rId14" Type="http://schemas.openxmlformats.org/officeDocument/2006/relationships/hyperlink" Target="https://github.com/bsmith89/ucfmt2" TargetMode="External"/><Relationship Id="rId30" Type="http://schemas.openxmlformats.org/officeDocument/2006/relationships/hyperlink" Target="https://doi.org/10.1038/nrgastro.2017.88" TargetMode="External"/><Relationship Id="rId35" Type="http://schemas.openxmlformats.org/officeDocument/2006/relationships/hyperlink" Target="https://doi.org/10.1007/s10620-019-05596-5" TargetMode="External"/><Relationship Id="rId56" Type="http://schemas.openxmlformats.org/officeDocument/2006/relationships/hyperlink" Target="https://doi.org/10.1038/nbt.4229" TargetMode="External"/><Relationship Id="rId77" Type="http://schemas.openxmlformats.org/officeDocument/2006/relationships/hyperlink" Target="https://doi.org/10.18637/jss.v015.i02" TargetMode="External"/><Relationship Id="rId100" Type="http://schemas.openxmlformats.org/officeDocument/2006/relationships/theme" Target="theme/theme1.xml"/><Relationship Id="rId8" Type="http://schemas.openxmlformats.org/officeDocument/2006/relationships/hyperlink" Target="mailto:najwa.elnachef@ucsf.edu" TargetMode="External"/><Relationship Id="rId51" Type="http://schemas.openxmlformats.org/officeDocument/2006/relationships/hyperlink" Target="https://doi.org/10.1177/17562848211018098" TargetMode="External"/><Relationship Id="rId72" Type="http://schemas.openxmlformats.org/officeDocument/2006/relationships/hyperlink" Target="https://doi.org/10.1093/bioinformatics/bts480" TargetMode="External"/><Relationship Id="rId93" Type="http://schemas.openxmlformats.org/officeDocument/2006/relationships/hyperlink" Target="https://doi.org/10.1038/nmeth.1923" TargetMode="External"/><Relationship Id="rId9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31</Pages>
  <Words>13790</Words>
  <Characters>78609</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92215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efficacy and increased donor strain engraftment after antibiotic pretreatment in a randomized trial of ulcerative colitis patients receiving fecal microbiota transplant</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3</cp:revision>
  <dcterms:created xsi:type="dcterms:W3CDTF">2021-08-04T23:44:00Z</dcterms:created>
  <dcterms:modified xsi:type="dcterms:W3CDTF">2021-08-05T00:43:00Z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