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192" w:rsidRDefault="00820F0F">
      <w:pPr>
        <w:pStyle w:val="Title"/>
      </w:pPr>
      <w:r>
        <w:t>Clinical efficacy and increased donor strain engraftment after antibiotic pretreatment in a randomized trial of ulcerative colitis patients receiving fecal microbiota transplant</w:t>
      </w:r>
    </w:p>
    <w:p w:rsidR="00675192" w:rsidRDefault="00820F0F">
      <w:pPr>
        <w:pStyle w:val="Author"/>
      </w:pPr>
      <w:r>
        <w:t xml:space="preserve">Byron J. Smith </w:t>
      </w:r>
      <w:r>
        <w:rPr>
          <w:vertAlign w:val="superscript"/>
        </w:rPr>
        <w:t>A,B</w:t>
      </w:r>
    </w:p>
    <w:p w:rsidR="00675192" w:rsidRDefault="00820F0F">
      <w:pPr>
        <w:pStyle w:val="Author"/>
      </w:pPr>
      <w:r>
        <w:t xml:space="preserve">Yvette Piceno </w:t>
      </w:r>
      <w:r>
        <w:rPr>
          <w:vertAlign w:val="superscript"/>
        </w:rPr>
        <w:t>C</w:t>
      </w:r>
    </w:p>
    <w:p w:rsidR="00675192" w:rsidRDefault="00820F0F">
      <w:pPr>
        <w:pStyle w:val="Author"/>
      </w:pPr>
      <w:r>
        <w:t xml:space="preserve">Martin Zydek </w:t>
      </w:r>
      <w:r>
        <w:rPr>
          <w:vertAlign w:val="superscript"/>
        </w:rPr>
        <w:t>D</w:t>
      </w:r>
    </w:p>
    <w:p w:rsidR="00675192" w:rsidRDefault="00820F0F">
      <w:pPr>
        <w:pStyle w:val="Author"/>
      </w:pPr>
      <w:r>
        <w:t xml:space="preserve">Bing Zhang </w:t>
      </w:r>
      <w:r>
        <w:rPr>
          <w:vertAlign w:val="superscript"/>
        </w:rPr>
        <w:t>D</w:t>
      </w:r>
    </w:p>
    <w:p w:rsidR="00675192" w:rsidRDefault="00820F0F">
      <w:pPr>
        <w:pStyle w:val="Author"/>
      </w:pPr>
      <w:r>
        <w:t xml:space="preserve">Lara Aboud Syriani </w:t>
      </w:r>
      <w:r>
        <w:rPr>
          <w:vertAlign w:val="superscript"/>
        </w:rPr>
        <w:t>E</w:t>
      </w:r>
    </w:p>
    <w:p w:rsidR="00675192" w:rsidRDefault="00820F0F">
      <w:pPr>
        <w:pStyle w:val="Author"/>
      </w:pPr>
      <w:r>
        <w:t xml:space="preserve">Jonathan P. Terdiman </w:t>
      </w:r>
      <w:r>
        <w:rPr>
          <w:vertAlign w:val="superscript"/>
        </w:rPr>
        <w:t>D</w:t>
      </w:r>
    </w:p>
    <w:p w:rsidR="00675192" w:rsidRDefault="00820F0F">
      <w:pPr>
        <w:pStyle w:val="Author"/>
      </w:pPr>
      <w:r>
        <w:t xml:space="preserve">Zain Kassam </w:t>
      </w:r>
      <w:r>
        <w:rPr>
          <w:vertAlign w:val="superscript"/>
        </w:rPr>
        <w:t>F</w:t>
      </w:r>
    </w:p>
    <w:p w:rsidR="00675192" w:rsidRDefault="00820F0F">
      <w:pPr>
        <w:pStyle w:val="Author"/>
      </w:pPr>
      <w:r>
        <w:t xml:space="preserve">Averil Ma </w:t>
      </w:r>
      <w:r>
        <w:rPr>
          <w:vertAlign w:val="superscript"/>
        </w:rPr>
        <w:t>G</w:t>
      </w:r>
    </w:p>
    <w:p w:rsidR="00675192" w:rsidRDefault="00820F0F">
      <w:pPr>
        <w:pStyle w:val="Author"/>
      </w:pPr>
      <w:r>
        <w:t xml:space="preserve">Susan V. Lynch </w:t>
      </w:r>
      <w:r>
        <w:rPr>
          <w:vertAlign w:val="superscript"/>
        </w:rPr>
        <w:t>D,H</w:t>
      </w:r>
    </w:p>
    <w:p w:rsidR="00675192" w:rsidRDefault="00820F0F">
      <w:pPr>
        <w:pStyle w:val="Author"/>
      </w:pPr>
      <w:r>
        <w:t xml:space="preserve">Katherine S. Pollard </w:t>
      </w:r>
      <w:r>
        <w:rPr>
          <w:vertAlign w:val="superscript"/>
        </w:rPr>
        <w:t>A,B,I,*</w:t>
      </w:r>
    </w:p>
    <w:p w:rsidR="00675192" w:rsidRDefault="00820F0F">
      <w:pPr>
        <w:pStyle w:val="Author"/>
      </w:pPr>
      <w:r>
        <w:t xml:space="preserve">Najwa El-Nachef </w:t>
      </w:r>
      <w:r>
        <w:rPr>
          <w:vertAlign w:val="superscript"/>
        </w:rPr>
        <w:t>D,*</w:t>
      </w:r>
    </w:p>
    <w:p w:rsidR="00675192" w:rsidRPr="0008258B" w:rsidRDefault="00820F0F">
      <w:pPr>
        <w:pStyle w:val="FirstParagraph"/>
        <w:rPr>
          <w:sz w:val="20"/>
          <w:szCs w:val="20"/>
        </w:rPr>
      </w:pPr>
      <w:r w:rsidRPr="0008258B">
        <w:rPr>
          <w:sz w:val="20"/>
          <w:szCs w:val="20"/>
          <w:vertAlign w:val="superscript"/>
        </w:rPr>
        <w:t>A</w:t>
      </w:r>
      <w:r w:rsidRPr="0008258B">
        <w:rPr>
          <w:sz w:val="20"/>
          <w:szCs w:val="20"/>
        </w:rPr>
        <w:t xml:space="preserve"> The Gladstone Institute of Datascience and Biotechnology, San Francisco, CA</w:t>
      </w:r>
      <w:r w:rsidRPr="0008258B">
        <w:rPr>
          <w:sz w:val="20"/>
          <w:szCs w:val="20"/>
        </w:rPr>
        <w:br/>
      </w:r>
      <w:r w:rsidRPr="0008258B">
        <w:rPr>
          <w:sz w:val="20"/>
          <w:szCs w:val="20"/>
          <w:vertAlign w:val="superscript"/>
        </w:rPr>
        <w:t>B</w:t>
      </w:r>
      <w:r w:rsidRPr="0008258B">
        <w:rPr>
          <w:sz w:val="20"/>
          <w:szCs w:val="20"/>
        </w:rPr>
        <w:t xml:space="preserve"> Department of Epidemiology and Biostatistics, University of California, San Francisco, CA</w:t>
      </w:r>
      <w:r w:rsidRPr="0008258B">
        <w:rPr>
          <w:sz w:val="20"/>
          <w:szCs w:val="20"/>
        </w:rPr>
        <w:br/>
      </w:r>
      <w:r w:rsidRPr="0008258B">
        <w:rPr>
          <w:sz w:val="20"/>
          <w:szCs w:val="20"/>
          <w:vertAlign w:val="superscript"/>
        </w:rPr>
        <w:t>C</w:t>
      </w:r>
      <w:r w:rsidRPr="0008258B">
        <w:rPr>
          <w:sz w:val="20"/>
          <w:szCs w:val="20"/>
        </w:rPr>
        <w:t xml:space="preserve"> Symbiome, Inc., San Francisco, CA</w:t>
      </w:r>
      <w:r w:rsidRPr="0008258B">
        <w:rPr>
          <w:sz w:val="20"/>
          <w:szCs w:val="20"/>
        </w:rPr>
        <w:br/>
      </w:r>
      <w:r w:rsidRPr="0008258B">
        <w:rPr>
          <w:sz w:val="20"/>
          <w:szCs w:val="20"/>
          <w:vertAlign w:val="superscript"/>
        </w:rPr>
        <w:t>D</w:t>
      </w:r>
      <w:r w:rsidRPr="0008258B">
        <w:rPr>
          <w:sz w:val="20"/>
          <w:szCs w:val="20"/>
        </w:rPr>
        <w:t xml:space="preserve"> Division of Gastroenterology, University of California, San Francisco, CA</w:t>
      </w:r>
      <w:r w:rsidRPr="0008258B">
        <w:rPr>
          <w:sz w:val="20"/>
          <w:szCs w:val="20"/>
        </w:rPr>
        <w:br/>
      </w:r>
      <w:r w:rsidRPr="0008258B">
        <w:rPr>
          <w:sz w:val="20"/>
          <w:szCs w:val="20"/>
          <w:vertAlign w:val="superscript"/>
        </w:rPr>
        <w:t>E</w:t>
      </w:r>
      <w:r w:rsidRPr="0008258B">
        <w:rPr>
          <w:sz w:val="20"/>
          <w:szCs w:val="20"/>
        </w:rPr>
        <w:t xml:space="preserve"> College of Osteopathic Medicine of the Pacific, Western University of Health Sciences, Pomona, CA</w:t>
      </w:r>
      <w:r w:rsidRPr="0008258B">
        <w:rPr>
          <w:sz w:val="20"/>
          <w:szCs w:val="20"/>
        </w:rPr>
        <w:br/>
      </w:r>
      <w:r w:rsidRPr="0008258B">
        <w:rPr>
          <w:sz w:val="20"/>
          <w:szCs w:val="20"/>
          <w:vertAlign w:val="superscript"/>
        </w:rPr>
        <w:t>F</w:t>
      </w:r>
      <w:r w:rsidRPr="0008258B">
        <w:rPr>
          <w:sz w:val="20"/>
          <w:szCs w:val="20"/>
        </w:rPr>
        <w:t xml:space="preserve"> Finch Therapeutics, Somerville, MA</w:t>
      </w:r>
      <w:r w:rsidRPr="0008258B">
        <w:rPr>
          <w:sz w:val="20"/>
          <w:szCs w:val="20"/>
        </w:rPr>
        <w:br/>
      </w:r>
      <w:r w:rsidRPr="0008258B">
        <w:rPr>
          <w:sz w:val="20"/>
          <w:szCs w:val="20"/>
          <w:vertAlign w:val="superscript"/>
        </w:rPr>
        <w:t>G</w:t>
      </w:r>
      <w:r w:rsidRPr="0008258B">
        <w:rPr>
          <w:sz w:val="20"/>
          <w:szCs w:val="20"/>
        </w:rPr>
        <w:t xml:space="preserve"> Department of Medicine, University of California, San Francisco, CA</w:t>
      </w:r>
      <w:r w:rsidRPr="0008258B">
        <w:rPr>
          <w:sz w:val="20"/>
          <w:szCs w:val="20"/>
        </w:rPr>
        <w:br/>
      </w:r>
      <w:r w:rsidRPr="0008258B">
        <w:rPr>
          <w:sz w:val="20"/>
          <w:szCs w:val="20"/>
          <w:vertAlign w:val="superscript"/>
        </w:rPr>
        <w:t>H</w:t>
      </w:r>
      <w:r w:rsidRPr="0008258B">
        <w:rPr>
          <w:sz w:val="20"/>
          <w:szCs w:val="20"/>
        </w:rPr>
        <w:t xml:space="preserve"> Benioff Center for Microbiome Medicine, University of California, San Francisco, CA</w:t>
      </w:r>
      <w:r w:rsidRPr="0008258B">
        <w:rPr>
          <w:sz w:val="20"/>
          <w:szCs w:val="20"/>
        </w:rPr>
        <w:br/>
      </w:r>
      <w:r w:rsidRPr="0008258B">
        <w:rPr>
          <w:sz w:val="20"/>
          <w:szCs w:val="20"/>
          <w:vertAlign w:val="superscript"/>
        </w:rPr>
        <w:t>I</w:t>
      </w:r>
      <w:r w:rsidRPr="0008258B">
        <w:rPr>
          <w:sz w:val="20"/>
          <w:szCs w:val="20"/>
        </w:rPr>
        <w:t xml:space="preserve"> Chan-Zuckerberg Biohub, San Francisco, CA</w:t>
      </w:r>
      <w:r w:rsidRPr="0008258B">
        <w:rPr>
          <w:sz w:val="20"/>
          <w:szCs w:val="20"/>
        </w:rPr>
        <w:br/>
      </w:r>
    </w:p>
    <w:p w:rsidR="00675192" w:rsidRDefault="00820F0F">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07001D" w:rsidRDefault="0007001D">
      <w:pPr>
        <w:spacing w:before="0" w:after="200"/>
        <w:rPr>
          <w:rFonts w:eastAsiaTheme="majorEastAsia"/>
          <w:b/>
          <w:bCs/>
          <w:color w:val="000000" w:themeColor="text1"/>
          <w:sz w:val="28"/>
          <w:szCs w:val="28"/>
        </w:rPr>
      </w:pPr>
      <w:bookmarkStart w:id="0" w:name="abstract"/>
      <w:r>
        <w:br w:type="page"/>
      </w:r>
    </w:p>
    <w:p w:rsidR="00675192" w:rsidRDefault="00820F0F">
      <w:pPr>
        <w:pStyle w:val="Heading2"/>
      </w:pPr>
      <w:r>
        <w:lastRenderedPageBreak/>
        <w:t>Abstract</w:t>
      </w:r>
    </w:p>
    <w:p w:rsidR="00675192" w:rsidRDefault="00820F0F">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675192" w:rsidRDefault="00820F0F">
      <w:pPr>
        <w:pStyle w:val="Heading2"/>
      </w:pPr>
      <w:bookmarkStart w:id="1" w:name="introduction"/>
      <w:bookmarkEnd w:id="0"/>
      <w:r>
        <w:t>Introduction</w:t>
      </w:r>
    </w:p>
    <w:p w:rsidR="00675192" w:rsidRDefault="00820F0F">
      <w:pPr>
        <w:pStyle w:val="FirstParagraph"/>
      </w:pPr>
      <w:r>
        <w:t>Fecal microbiota transplant (FMT) is recognized as a promising therapy for inflammatory bowel disease, in particular ulcerative colitis (UC)</w:t>
      </w:r>
      <w:hyperlink w:anchor="ref-Yalchin2019">
        <w:r>
          <w:rPr>
            <w:rStyle w:val="Hyperlink"/>
            <w:vertAlign w:val="superscript"/>
          </w:rPr>
          <w:t>1</w:t>
        </w:r>
      </w:hyperlink>
      <w:r>
        <w:rPr>
          <w:vertAlign w:val="superscript"/>
        </w:rPr>
        <w:t>,</w:t>
      </w:r>
      <w:hyperlink w:anchor="ref-Lopetuso2020">
        <w:r>
          <w:rPr>
            <w:rStyle w:val="Hyperlink"/>
            <w:vertAlign w:val="superscript"/>
          </w:rPr>
          <w:t>2</w:t>
        </w:r>
      </w:hyperlink>
      <w:r>
        <w:t>. According to meta-analyses, half of the UC patients receiving FMT display a response to treatment, and one third achieve clinical remission of their symptoms.</w:t>
      </w:r>
      <w:hyperlink w:anchor="ref-Paramsothy2017d">
        <w:r>
          <w:rPr>
            <w:rStyle w:val="Hyperlink"/>
            <w:vertAlign w:val="superscript"/>
          </w:rPr>
          <w:t>3</w:t>
        </w:r>
      </w:hyperlink>
      <w:r>
        <w:rPr>
          <w:vertAlign w:val="superscript"/>
        </w:rPr>
        <w:t>–</w:t>
      </w:r>
      <w:hyperlink w:anchor="ref-Mocanu2021">
        <w:r>
          <w:rPr>
            <w:rStyle w:val="Hyperlink"/>
            <w:vertAlign w:val="superscript"/>
          </w:rPr>
          <w:t>6</w:t>
        </w:r>
      </w:hyperlink>
      <w:r>
        <w:t xml:space="preserve"> after FMT. Across four randomized, placebo-controlled studies (RCTs)</w:t>
      </w:r>
      <w:hyperlink w:anchor="ref-Rossen2015">
        <w:r>
          <w:rPr>
            <w:rStyle w:val="Hyperlink"/>
            <w:vertAlign w:val="superscript"/>
          </w:rPr>
          <w:t>7</w:t>
        </w:r>
      </w:hyperlink>
      <w:r>
        <w:rPr>
          <w:vertAlign w:val="superscript"/>
        </w:rPr>
        <w:t>–</w:t>
      </w:r>
      <w:hyperlink w:anchor="ref-Costello2019">
        <w:r>
          <w:rPr>
            <w:rStyle w:val="Hyperlink"/>
            <w:vertAlign w:val="superscript"/>
          </w:rPr>
          <w:t>10</w:t>
        </w:r>
      </w:hyperlink>
      <w:r>
        <w:t>, 28% of FMT and only 9% of placebo recipients achieved remission</w:t>
      </w:r>
      <w:hyperlink w:anchor="ref-Costello2017">
        <w:r>
          <w:rPr>
            <w:rStyle w:val="Hyperlink"/>
            <w:vertAlign w:val="superscript"/>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w:t>
      </w:r>
      <w:hyperlink w:anchor="ref-Ni2017">
        <w:r>
          <w:rPr>
            <w:rStyle w:val="Hyperlink"/>
            <w:vertAlign w:val="superscript"/>
          </w:rPr>
          <w:t>11</w:t>
        </w:r>
      </w:hyperlink>
      <w:r>
        <w:rPr>
          <w:vertAlign w:val="superscript"/>
        </w:rPr>
        <w:t>,</w:t>
      </w:r>
      <w:hyperlink w:anchor="ref-Khan2019">
        <w:r>
          <w:rPr>
            <w:rStyle w:val="Hyperlink"/>
            <w:vertAlign w:val="superscript"/>
          </w:rPr>
          <w:t>12</w:t>
        </w:r>
      </w:hyperlink>
      <w:r>
        <w:t>. Understanding how FMT facilitates remission may shed light on the underlying biology of UC and potentially enable the development of novel therapies.</w:t>
      </w:r>
    </w:p>
    <w:p w:rsidR="00675192" w:rsidRDefault="00820F0F">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w:t>
      </w:r>
      <w:hyperlink w:anchor="ref-Ishikawa2017">
        <w:r>
          <w:rPr>
            <w:rStyle w:val="Hyperlink"/>
            <w:vertAlign w:val="superscript"/>
          </w:rPr>
          <w:t>13</w:t>
        </w:r>
      </w:hyperlink>
      <w:r>
        <w:rPr>
          <w:vertAlign w:val="superscript"/>
        </w:rPr>
        <w:t>,</w:t>
      </w:r>
      <w:hyperlink w:anchor="ref-Kump2018">
        <w:r>
          <w:rPr>
            <w:rStyle w:val="Hyperlink"/>
            <w:vertAlign w:val="superscript"/>
          </w:rPr>
          <w:t>14</w:t>
        </w:r>
      </w:hyperlink>
      <w:r>
        <w:t>), and a recent meta-analysis has found higher efficacy in studies using this approach</w:t>
      </w:r>
      <w:hyperlink w:anchor="ref-Mocanu2021">
        <w:r>
          <w:rPr>
            <w:rStyle w:val="Hyperlink"/>
            <w:vertAlign w:val="superscript"/>
          </w:rPr>
          <w:t>6</w:t>
        </w:r>
      </w:hyperlink>
      <w:r>
        <w:t>, but none of the four published RCTs used antibiotics in this way</w:t>
      </w:r>
      <w:hyperlink w:anchor="ref-Rossen2015">
        <w:r>
          <w:rPr>
            <w:rStyle w:val="Hyperlink"/>
            <w:vertAlign w:val="superscript"/>
          </w:rPr>
          <w:t>7</w:t>
        </w:r>
      </w:hyperlink>
      <w:r>
        <w:rPr>
          <w:vertAlign w:val="superscript"/>
        </w:rPr>
        <w:t>–</w:t>
      </w:r>
      <w:hyperlink w:anchor="ref-Costello2019">
        <w:r>
          <w:rPr>
            <w:rStyle w:val="Hyperlink"/>
            <w:vertAlign w:val="superscript"/>
          </w:rPr>
          <w:t>10</w:t>
        </w:r>
      </w:hyperlink>
      <w:r>
        <w:t>.</w:t>
      </w:r>
    </w:p>
    <w:p w:rsidR="00675192" w:rsidRDefault="00820F0F">
      <w:pPr>
        <w:pStyle w:val="BodyText"/>
      </w:pPr>
      <w:r>
        <w:t>Protocols also vary greatly in the number and method of FMT application. Most include an initial dose via colonoscopy, and many follow up with a maintenance dose regimen ranging from just once three weeks after the initial dose</w:t>
      </w:r>
      <w:hyperlink w:anchor="ref-Rossen2015">
        <w:r>
          <w:rPr>
            <w:rStyle w:val="Hyperlink"/>
            <w:vertAlign w:val="superscript"/>
          </w:rPr>
          <w:t>7</w:t>
        </w:r>
      </w:hyperlink>
      <w:r>
        <w:t xml:space="preserve"> to five times a week for two months</w:t>
      </w:r>
      <w:hyperlink w:anchor="ref-Paramsothy2017">
        <w:r>
          <w:rPr>
            <w:rStyle w:val="Hyperlink"/>
            <w:vertAlign w:val="superscript"/>
          </w:rPr>
          <w:t>9</w:t>
        </w:r>
      </w:hyperlink>
      <w:r>
        <w:t>. Maintenance doses may improve efficacy</w:t>
      </w:r>
      <w:hyperlink w:anchor="ref-Mocanu2021">
        <w:r>
          <w:rPr>
            <w:rStyle w:val="Hyperlink"/>
            <w:vertAlign w:val="superscript"/>
          </w:rPr>
          <w:t>6</w:t>
        </w:r>
      </w:hyperlink>
      <w:r>
        <w:t>, but their cost and tolerability are substantial challenges. The recent development of FMT capsule formulations may make maintenance dosing logistically easier and more acceptable to patients</w:t>
      </w:r>
      <w:hyperlink w:anchor="ref-Kao2017">
        <w:r>
          <w:rPr>
            <w:rStyle w:val="Hyperlink"/>
            <w:vertAlign w:val="superscript"/>
          </w:rPr>
          <w:t>15</w:t>
        </w:r>
      </w:hyperlink>
      <w:r>
        <w:rPr>
          <w:vertAlign w:val="superscript"/>
        </w:rPr>
        <w:t>–</w:t>
      </w:r>
      <w:hyperlink w:anchor="ref-CrothersJessicaWood2020">
        <w:r>
          <w:rPr>
            <w:rStyle w:val="Hyperlink"/>
            <w:vertAlign w:val="superscript"/>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w:t>
      </w:r>
      <w:hyperlink w:anchor="ref-Kao2017">
        <w:r>
          <w:rPr>
            <w:rStyle w:val="Hyperlink"/>
            <w:vertAlign w:val="superscript"/>
          </w:rPr>
          <w:t>15</w:t>
        </w:r>
      </w:hyperlink>
      <w:r>
        <w:rPr>
          <w:vertAlign w:val="superscript"/>
        </w:rPr>
        <w:t>,</w:t>
      </w:r>
      <w:hyperlink w:anchor="ref-Cold2019">
        <w:r>
          <w:rPr>
            <w:rStyle w:val="Hyperlink"/>
            <w:vertAlign w:val="superscript"/>
          </w:rPr>
          <w:t>18</w:t>
        </w:r>
      </w:hyperlink>
      <w:r>
        <w:t>, it is not yet clear whether they have equivalent efficacy for UC.</w:t>
      </w:r>
    </w:p>
    <w:p w:rsidR="00675192" w:rsidRDefault="00820F0F">
      <w:pPr>
        <w:pStyle w:val="BodyText"/>
      </w:pPr>
      <w:r>
        <w:lastRenderedPageBreak/>
        <w:t>Many optimizations of FMT for UC—antibiotic pretreatment, repeated maintenance doses, anaerobic preparation, etc.—assume that effectiveness depends on the sustained transfer of microbial taxa and their functional capacities</w:t>
      </w:r>
      <w:hyperlink w:anchor="ref-Borody2019">
        <w:r>
          <w:rPr>
            <w:rStyle w:val="Hyperlink"/>
            <w:vertAlign w:val="superscript"/>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w:t>
      </w:r>
      <w:hyperlink w:anchor="ref-Borody2019">
        <w:r>
          <w:rPr>
            <w:rStyle w:val="Hyperlink"/>
            <w:vertAlign w:val="superscript"/>
          </w:rPr>
          <w:t>19</w:t>
        </w:r>
      </w:hyperlink>
      <w:r>
        <w:rPr>
          <w:vertAlign w:val="superscript"/>
        </w:rPr>
        <w:t>–</w:t>
      </w:r>
      <w:hyperlink w:anchor="ref-Singh2020">
        <w:r>
          <w:rPr>
            <w:rStyle w:val="Hyperlink"/>
            <w:vertAlign w:val="superscript"/>
          </w:rPr>
          <w:t>21</w:t>
        </w:r>
      </w:hyperlink>
      <w:r>
        <w:t>. An important challenge for understanding the role of engraftment is in distinguishing taxa originating in donors’ or recipients’ microbiomes</w:t>
      </w:r>
      <w:hyperlink w:anchor="ref-Smillie2018">
        <w:r>
          <w:rPr>
            <w:rStyle w:val="Hyperlink"/>
            <w:vertAlign w:val="superscript"/>
          </w:rPr>
          <w:t>22</w:t>
        </w:r>
      </w:hyperlink>
      <w:r>
        <w:rPr>
          <w:vertAlign w:val="superscript"/>
        </w:rPr>
        <w:t>,</w:t>
      </w:r>
      <w:hyperlink w:anchor="ref-Chu2019">
        <w:r>
          <w:rPr>
            <w:rStyle w:val="Hyperlink"/>
            <w:vertAlign w:val="superscript"/>
          </w:rPr>
          <w:t>23</w:t>
        </w:r>
      </w:hyperlink>
      <w:r>
        <w:t>. 16S rRNA gene surveys and most tools that operate on shotgun metagenomic libraries cannot differentiate between donor and patient populations of the same species, due to limited taxonomic resolution</w:t>
      </w:r>
      <w:hyperlink w:anchor="ref-Johnson2019a">
        <w:r>
          <w:rPr>
            <w:rStyle w:val="Hyperlink"/>
            <w:vertAlign w:val="superscript"/>
          </w:rPr>
          <w:t>24</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675192" w:rsidRDefault="00820F0F">
      <w:pPr>
        <w:pStyle w:val="BodyText"/>
      </w:pPr>
      <w:r>
        <w:t>Furthermore, recent work has attempted to identify a link between the metabolic function of the gut microbiota and UC</w:t>
      </w:r>
      <w:hyperlink w:anchor="ref-Paramsothy2019">
        <w:r>
          <w:rPr>
            <w:rStyle w:val="Hyperlink"/>
            <w:vertAlign w:val="superscript"/>
          </w:rPr>
          <w:t>25</w:t>
        </w:r>
      </w:hyperlink>
      <w:r>
        <w:t>. Numerous results indicate involvement of bile acids (BAs) in IBD and recovery, in particular their transformation to secondary BAs by microbes</w:t>
      </w:r>
      <w:hyperlink w:anchor="ref-Labbe2014">
        <w:r>
          <w:rPr>
            <w:rStyle w:val="Hyperlink"/>
            <w:vertAlign w:val="superscript"/>
          </w:rPr>
          <w:t>26</w:t>
        </w:r>
      </w:hyperlink>
      <w:r>
        <w:rPr>
          <w:vertAlign w:val="superscript"/>
        </w:rPr>
        <w:t>–</w:t>
      </w:r>
      <w:hyperlink w:anchor="ref-Yang2021">
        <w:r>
          <w:rPr>
            <w:rStyle w:val="Hyperlink"/>
            <w:vertAlign w:val="superscript"/>
          </w:rPr>
          <w:t>34</w:t>
        </w:r>
      </w:hyperlink>
      <w:r>
        <w:t>. Paired BA metabolomics with metagenomic sequencing before, during, and after FMT might help to elucidate the importance of these signalling compounds in UC treatment</w:t>
      </w:r>
      <w:hyperlink w:anchor="ref-Yalchin2019">
        <w:r>
          <w:rPr>
            <w:rStyle w:val="Hyperlink"/>
            <w:vertAlign w:val="superscript"/>
          </w:rPr>
          <w:t>1</w:t>
        </w:r>
      </w:hyperlink>
      <w:r>
        <w:rPr>
          <w:vertAlign w:val="superscript"/>
        </w:rPr>
        <w:t>,</w:t>
      </w:r>
      <w:hyperlink w:anchor="ref-Paramsothy2019">
        <w:r>
          <w:rPr>
            <w:rStyle w:val="Hyperlink"/>
            <w:vertAlign w:val="superscript"/>
          </w:rPr>
          <w:t>25</w:t>
        </w:r>
      </w:hyperlink>
      <w:r>
        <w:t>.</w:t>
      </w:r>
    </w:p>
    <w:p w:rsidR="00675192" w:rsidRDefault="00820F0F">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675192" w:rsidRDefault="00820F0F">
      <w:pPr>
        <w:pStyle w:val="Heading2"/>
      </w:pPr>
      <w:bookmarkStart w:id="2" w:name="results"/>
      <w:bookmarkEnd w:id="1"/>
      <w:r>
        <w:t>Results</w:t>
      </w:r>
    </w:p>
    <w:p w:rsidR="00675192" w:rsidRDefault="00820F0F">
      <w:pPr>
        <w:pStyle w:val="Heading3"/>
      </w:pPr>
      <w:bookmarkStart w:id="3" w:name="Xca59363a8266ddda25ac5708ba027dd4975f5fd"/>
      <w:r>
        <w:t>Study design and patient demographics We conducted a prospective trial of</w:t>
      </w:r>
    </w:p>
    <w:p w:rsidR="00675192" w:rsidRDefault="00820F0F">
      <w:pPr>
        <w:pStyle w:val="FirstParagraph"/>
      </w:pPr>
      <w:r>
        <w:t>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07001D">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675192" w:rsidRDefault="00820F0F">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675192" w:rsidRDefault="00820F0F">
      <w:pPr>
        <w:pStyle w:val="BodyText"/>
      </w:pPr>
      <w:r>
        <w:t xml:space="preserve">Patients were interviewed for the occurrence of solicited adverse events during each study visit and up to 12 months after completion of the study. Minor events included self-limited abdominal </w:t>
      </w:r>
      <w:r>
        <w:lastRenderedPageBreak/>
        <w:t>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07001D">
        <w:t>S</w:t>
      </w:r>
      <w:r>
        <w:t>2.</w:t>
      </w:r>
    </w:p>
    <w:p w:rsidR="00675192" w:rsidRDefault="00820F0F">
      <w:bookmarkStart w:id="4" w:name="fig:design-and-efficacy"/>
      <w:r>
        <w:rPr>
          <w:noProof/>
        </w:rPr>
        <w:drawing>
          <wp:inline distT="0" distB="0" distL="0" distR="0">
            <wp:extent cx="5145198" cy="4060921"/>
            <wp:effectExtent l="0" t="0" r="0"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fig/design_and_efficacy_figure.pd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45198" cy="4060921"/>
                    </a:xfrm>
                    <a:prstGeom prst="rect">
                      <a:avLst/>
                    </a:prstGeom>
                    <a:noFill/>
                    <a:ln w="9525">
                      <a:noFill/>
                      <a:headEnd/>
                      <a:tailEnd/>
                    </a:ln>
                  </pic:spPr>
                </pic:pic>
              </a:graphicData>
            </a:graphic>
          </wp:inline>
        </w:drawing>
      </w:r>
      <w:bookmarkEnd w:id="4"/>
    </w:p>
    <w:p w:rsidR="00675192" w:rsidRDefault="00820F0F">
      <w:pPr>
        <w:pStyle w:val="ImageCaption"/>
      </w:pPr>
      <w:bookmarkStart w:id="5" w:name="fig1"/>
      <w:r w:rsidRPr="006E4439">
        <w:rPr>
          <w:b/>
          <w:bCs/>
        </w:rPr>
        <w:t>Figure </w:t>
      </w:r>
      <w:r w:rsidRPr="006E4439">
        <w:rPr>
          <w:b/>
          <w:bCs/>
        </w:rPr>
        <w:fldChar w:fldCharType="begin"/>
      </w:r>
      <w:r w:rsidRPr="006E4439">
        <w:rPr>
          <w:b/>
          <w:bCs/>
        </w:rPr>
        <w:instrText xml:space="preserve">SEQ Figure \* ARABIC </w:instrText>
      </w:r>
      <w:r w:rsidRPr="006E4439">
        <w:rPr>
          <w:b/>
          <w:bCs/>
        </w:rPr>
        <w:fldChar w:fldCharType="separate"/>
      </w:r>
      <w:r w:rsidRPr="006E4439">
        <w:rPr>
          <w:b/>
          <w:bCs/>
        </w:rPr>
        <w:t>1</w:t>
      </w:r>
      <w:r w:rsidRPr="006E4439">
        <w:rPr>
          <w:b/>
          <w:bCs/>
        </w:rPr>
        <w:fldChar w:fldCharType="end"/>
      </w:r>
      <w:r w:rsidRPr="006E4439">
        <w:rPr>
          <w:b/>
          <w:bCs/>
        </w:rPr>
        <w:t>:</w:t>
      </w:r>
      <w:r>
        <w:t xml:space="preserve"> </w:t>
      </w:r>
      <w:bookmarkEnd w:id="5"/>
      <w:r>
        <w:t xml:space="preserve">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675192" w:rsidRDefault="00820F0F">
      <w:pPr>
        <w:pStyle w:val="Heading3"/>
      </w:pPr>
      <w:bookmarkStart w:id="6" w:name="X0f73846c07ba995ebcdf89ffadc80100013b18e"/>
      <w:bookmarkEnd w:id="3"/>
      <w:r>
        <w:t>Antibiotic pretreatment may increase FMT efficacy</w:t>
      </w:r>
    </w:p>
    <w:p w:rsidR="00675192" w:rsidRDefault="00820F0F">
      <w:pPr>
        <w:pStyle w:val="FirstParagraph"/>
      </w:pPr>
      <w:r>
        <w:t>We evaluated the clinical impact of treatment using the Mayo score, which compounds subscores including the severity of rectal bleeding, stool frequency, and an endoscopic assessment of epithelial inflammation</w:t>
      </w:r>
      <w:hyperlink w:anchor="ref-Schroeder1987">
        <w:r>
          <w:rPr>
            <w:rStyle w:val="Hyperlink"/>
            <w:vertAlign w:val="superscript"/>
          </w:rPr>
          <w:t>35</w:t>
        </w:r>
      </w:hyperlink>
      <w:r>
        <w:t xml:space="preserve">. Clinical remission, defined as a total Mayo score ≤2 at </w:t>
      </w:r>
      <w:r>
        <w:lastRenderedPageBreak/>
        <w:t>the first follow-up (time-point F1) and endoscopic improvement by ≥1, was reached in a total of 8 patients out of the 20 who received a follow-up colonoscopy, consistent with past studies of FMT for UC</w:t>
      </w:r>
      <w:hyperlink w:anchor="ref-Mocanu2021">
        <w:r>
          <w:rPr>
            <w:rStyle w:val="Hyperlink"/>
            <w:vertAlign w:val="superscript"/>
          </w:rPr>
          <w:t>6</w:t>
        </w:r>
      </w:hyperlink>
      <w:r>
        <w:t>. Of these, 6 of 9 (67%) ABX+ patients achieved remission, while only 2 of 11 (18%) did in the ABX- arms (odds ratio: 2.08, 95% confidence interval: 0.00 - 4.16, p=0.065 by two-sided Fisher exact test). While short of a traditional significance threshold, our results nonetheless suggest increased remission in patients receiving antibiotic pretreatment.</w:t>
      </w:r>
    </w:p>
    <w:p w:rsidR="00675192" w:rsidRDefault="00820F0F">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675192" w:rsidRDefault="00820F0F">
      <w:pPr>
        <w:pStyle w:val="BodyText"/>
      </w:pPr>
      <w:r>
        <w:t>Overall, Mayo scores decreased from initial FMT (D0 time point)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675192" w:rsidRDefault="00820F0F">
      <w:pPr>
        <w:pStyle w:val="Heading3"/>
      </w:pPr>
      <w:bookmarkStart w:id="7" w:name="Xf1cf3edf6f86a16bb26fdc54f0f71518af20cb2"/>
      <w:bookmarkEnd w:id="6"/>
      <w:r>
        <w:t>Metagenomics and metabolomics generate complementary representations of patients’ microbiomes before, during, and after treatment</w:t>
      </w:r>
    </w:p>
    <w:p w:rsidR="00675192" w:rsidRDefault="00820F0F">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07001D">
        <w:t>S</w:t>
      </w:r>
      <w:r>
        <w:t>3-</w:t>
      </w:r>
      <w:r w:rsidR="0007001D">
        <w:t>S</w:t>
      </w:r>
      <w:r>
        <w:t>6.</w:t>
      </w:r>
    </w:p>
    <w:p w:rsidR="00675192" w:rsidRDefault="00820F0F">
      <w:pPr>
        <w:pStyle w:val="BodyText"/>
      </w:pPr>
      <w:r>
        <w:t>Sequencing surveys of the 16S rRNA gene revealed 857 unique amplicon sequence variants (ASVs). In addition, shotgun metagenomic libraries metagenotyped with GT-PRO</w:t>
      </w:r>
      <w:hyperlink w:anchor="ref-Shi2020">
        <w:r>
          <w:rPr>
            <w:rStyle w:val="Hyperlink"/>
            <w:vertAlign w:val="superscript"/>
          </w:rPr>
          <w:t>36</w:t>
        </w:r>
      </w:hyperlink>
      <w:r>
        <w:t xml:space="preserve"> identified 371 species. To increase the resolution of the taxonomic data, we leveraged single nucleotide polymorphisms (SNPs) as a means to distinguish strains within the broader species categories. Using Strain Finder</w:t>
      </w:r>
      <w:hyperlink w:anchor="ref-Smillie2018">
        <w:r>
          <w:rPr>
            <w:rStyle w:val="Hyperlink"/>
            <w:vertAlign w:val="superscript"/>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675192" w:rsidRDefault="00820F0F">
      <w:pPr>
        <w:pStyle w:val="BodyText"/>
      </w:pPr>
      <w:r>
        <w:t xml:space="preserve">Functional gene composition was characterized by annotating shotgun metagenomic reads with KEGG gene families (KOs), which identified 7587 unique annotations. Metabolomics identified </w:t>
      </w:r>
      <w:r>
        <w:lastRenderedPageBreak/>
        <w:t>and quantified a total of 51 primary and secondary BAs across all samples, reflecting the remarkable chemical diversity of these molecules.</w:t>
      </w:r>
    </w:p>
    <w:p w:rsidR="00675192" w:rsidRDefault="00820F0F">
      <w:pPr>
        <w:pStyle w:val="Heading3"/>
      </w:pPr>
      <w:bookmarkStart w:id="8" w:name="X77a78e3c472556329e53410b4a0e74299a2b693"/>
      <w:bookmarkEnd w:id="7"/>
      <w:r>
        <w:t>Microbiome features cluster by both patient and donor after FMT</w:t>
      </w:r>
    </w:p>
    <w:p w:rsidR="00675192" w:rsidRDefault="00820F0F">
      <w:pPr>
        <w:pStyle w:val="FirstParagraph"/>
      </w:pPr>
      <w:r>
        <w:t>To determine the extent to which FMT modified the patients’ microbiomes, we examined the clustering of genomic and metabolic profiles by patient and by donor during and after FMT treatment (see Fig. 2).</w:t>
      </w:r>
    </w:p>
    <w:p w:rsidR="00675192" w:rsidRDefault="00820F0F">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675192" w:rsidRDefault="00820F0F">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w:t>
      </w:r>
    </w:p>
    <w:p w:rsidR="00675192" w:rsidRDefault="00820F0F">
      <w:pPr>
        <w:pStyle w:val="BodyText"/>
      </w:pPr>
      <w:r>
        <w:t>Despite the perturbation of FMT treatment, clustering by patient across time points was observed for all four microbiome profiles (Fig. 2F, Supplementary Fig. </w:t>
      </w:r>
      <w:r w:rsidR="0007001D">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423481" w:rsidRDefault="00423481" w:rsidP="00423481">
      <w:pPr>
        <w:pStyle w:val="ImageCaption"/>
      </w:pPr>
      <w:bookmarkStart w:id="9" w:name="fig2"/>
      <w:r w:rsidRPr="006E4439">
        <w:rPr>
          <w:b/>
          <w:bCs/>
        </w:rPr>
        <w:t>Figure </w:t>
      </w:r>
      <w:r w:rsidRPr="006E4439">
        <w:rPr>
          <w:b/>
          <w:bCs/>
        </w:rPr>
        <w:fldChar w:fldCharType="begin"/>
      </w:r>
      <w:r w:rsidRPr="006E4439">
        <w:rPr>
          <w:b/>
          <w:bCs/>
        </w:rPr>
        <w:instrText xml:space="preserve">SEQ Figure \* ARABIC </w:instrText>
      </w:r>
      <w:r w:rsidRPr="006E4439">
        <w:rPr>
          <w:b/>
          <w:bCs/>
        </w:rPr>
        <w:fldChar w:fldCharType="separate"/>
      </w:r>
      <w:r w:rsidRPr="006E4439">
        <w:rPr>
          <w:b/>
          <w:bCs/>
        </w:rPr>
        <w:t>2</w:t>
      </w:r>
      <w:r w:rsidRPr="006E4439">
        <w:rPr>
          <w:b/>
          <w:bCs/>
        </w:rPr>
        <w:fldChar w:fldCharType="end"/>
      </w:r>
      <w:r w:rsidRPr="006E4439">
        <w:rPr>
          <w:b/>
          <w:bCs/>
        </w:rPr>
        <w:t>:</w:t>
      </w:r>
      <w:r>
        <w:t xml:space="preserve"> </w:t>
      </w:r>
      <w:bookmarkEnd w:id="9"/>
      <w:r>
        <w:t xml:space="preserve">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675192" w:rsidRDefault="00820F0F">
      <w:bookmarkStart w:id="10" w:name="fig:multiomics"/>
      <w:r>
        <w:rPr>
          <w:noProof/>
        </w:rPr>
        <w:lastRenderedPageBreak/>
        <w:drawing>
          <wp:inline distT="0" distB="0" distL="0" distR="0">
            <wp:extent cx="5943600" cy="8249124"/>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multiomics_clustering_optionA_figure.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8249124"/>
                    </a:xfrm>
                    <a:prstGeom prst="rect">
                      <a:avLst/>
                    </a:prstGeom>
                    <a:noFill/>
                    <a:ln w="9525">
                      <a:noFill/>
                      <a:headEnd/>
                      <a:tailEnd/>
                    </a:ln>
                  </pic:spPr>
                </pic:pic>
              </a:graphicData>
            </a:graphic>
          </wp:inline>
        </w:drawing>
      </w:r>
      <w:bookmarkEnd w:id="10"/>
    </w:p>
    <w:p w:rsidR="00675192" w:rsidRDefault="00820F0F">
      <w:pPr>
        <w:pStyle w:val="Heading3"/>
      </w:pPr>
      <w:bookmarkStart w:id="11" w:name="X3a4a656af43a09d1be816f2f4e5ee0e3745e7cd"/>
      <w:bookmarkEnd w:id="8"/>
      <w:r>
        <w:lastRenderedPageBreak/>
        <w:t>Taxonomic analysis reveals rapid and extensive transfer of donor species and strains to patients</w:t>
      </w:r>
    </w:p>
    <w:p w:rsidR="00675192" w:rsidRDefault="00820F0F">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675192" w:rsidRDefault="00820F0F">
      <w:pPr>
        <w:pStyle w:val="BodyText"/>
      </w:pPr>
      <w:r>
        <w:t>By contrast, only a median of 24% of strains were shared at baseline. Using strains therefore creates more opportunities to infer transfer and engraftment and greatly improves the taxonomic resolution of our analyses (see Fig. 3).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310084" w:rsidRDefault="00310084" w:rsidP="00310084">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423481" w:rsidRDefault="00423481" w:rsidP="00423481">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w:t>
      </w:r>
      <w:hyperlink w:anchor="ref-Parks2018">
        <w:r>
          <w:rPr>
            <w:rStyle w:val="Hyperlink"/>
            <w:vertAlign w:val="superscript"/>
          </w:rPr>
          <w:t>37</w:t>
        </w:r>
      </w:hyperlink>
      <w:r>
        <w:rPr>
          <w:vertAlign w:val="superscript"/>
        </w:rPr>
        <w:t>,</w:t>
      </w:r>
      <w:hyperlink w:anchor="ref-Parks2020">
        <w:r>
          <w:rPr>
            <w:rStyle w:val="Hyperlink"/>
            <w:vertAlign w:val="superscript"/>
          </w:rPr>
          <w:t>38</w:t>
        </w:r>
      </w:hyperlink>
      <w:r>
        <w:t xml:space="preserve">—from 29% for </w:t>
      </w:r>
      <w:proofErr w:type="spellStart"/>
      <w:r>
        <w:t>Actinobacteriota</w:t>
      </w:r>
      <w:proofErr w:type="spellEnd"/>
      <w:r>
        <w:t xml:space="preserve"> (98 of 339 opportunities) and 26% for Firmicutes A (1138 of 4305 opportunities) to 34% for </w:t>
      </w:r>
      <w:proofErr w:type="spellStart"/>
      <w:r>
        <w:t>Bacteroidota</w:t>
      </w:r>
      <w:proofErr w:type="spellEnd"/>
      <w:r>
        <w:t xml:space="preserve"> (362 of 1062 opportunities, significantly different from Firmicutes A, p&lt;0.001, by two-sided Fisher exact test). Interestingly, the </w:t>
      </w:r>
      <w:proofErr w:type="spellStart"/>
      <w:r>
        <w:t>Verrucomicrobiota</w:t>
      </w:r>
      <w:proofErr w:type="spellEnd"/>
      <w:r>
        <w:t xml:space="preserve">, represented exclusively by strains of </w:t>
      </w:r>
      <w:proofErr w:type="spellStart"/>
      <w:r>
        <w:rPr>
          <w:i/>
          <w:iCs/>
        </w:rPr>
        <w:t>Akkermansia</w:t>
      </w:r>
      <w:proofErr w:type="spellEnd"/>
      <w:r>
        <w:rPr>
          <w:i/>
          <w:iCs/>
        </w:rPr>
        <w:t xml:space="preserve"> </w:t>
      </w:r>
      <w:proofErr w:type="spellStart"/>
      <w:r>
        <w:rPr>
          <w:i/>
          <w:iCs/>
        </w:rPr>
        <w:t>muciniphila</w:t>
      </w:r>
      <w:proofErr w:type="spellEnd"/>
      <w:r>
        <w:t xml:space="preserve">, had by far the lowest transfer rate at 2.9% (1 of 35 opportunities). Even taking into account the small number of donor-specific strains from the species, this was significantly below the rate for other phyla (p=0.002, 0.035, and 0.011 for </w:t>
      </w:r>
      <w:proofErr w:type="spellStart"/>
      <w:r>
        <w:t>Actinobacteriota</w:t>
      </w:r>
      <w:proofErr w:type="spellEnd"/>
      <w:r>
        <w:t xml:space="preserve">, Firmicutes A, and Proteobacteria, respectively, and &lt;0.001 for </w:t>
      </w:r>
      <w:proofErr w:type="spellStart"/>
      <w:r>
        <w:t>Bacteroidota</w:t>
      </w:r>
      <w:proofErr w:type="spellEnd"/>
      <w:r>
        <w:t xml:space="preserve">). </w:t>
      </w:r>
      <w:r>
        <w:rPr>
          <w:i/>
          <w:iCs/>
        </w:rPr>
        <w:t xml:space="preserve">A. </w:t>
      </w:r>
      <w:proofErr w:type="spellStart"/>
      <w:r>
        <w:rPr>
          <w:i/>
          <w:iCs/>
        </w:rPr>
        <w:t>muciniphila</w:t>
      </w:r>
      <w:proofErr w:type="spellEnd"/>
      <w:r>
        <w:t xml:space="preserve"> has been shown to be depleted in UC patients relative to healthy subjects</w:t>
      </w:r>
      <w:hyperlink w:anchor="ref-Earley2019">
        <w:r>
          <w:rPr>
            <w:rStyle w:val="Hyperlink"/>
            <w:vertAlign w:val="superscript"/>
          </w:rPr>
          <w:t>39</w:t>
        </w:r>
      </w:hyperlink>
      <w:r>
        <w:t>, and to ameliorate colitis in a chemically induced mouse model</w:t>
      </w:r>
      <w:hyperlink w:anchor="ref-Bian2019">
        <w:r>
          <w:rPr>
            <w:rStyle w:val="Hyperlink"/>
            <w:vertAlign w:val="superscript"/>
          </w:rPr>
          <w:t>40</w:t>
        </w:r>
      </w:hyperlink>
      <w:r>
        <w:t xml:space="preserve">. While we are hesitant to speculate based on this observation alone, FMT protocols optimized to transfer </w:t>
      </w:r>
      <w:r>
        <w:rPr>
          <w:i/>
          <w:iCs/>
        </w:rPr>
        <w:t xml:space="preserve">A. </w:t>
      </w:r>
      <w:proofErr w:type="spellStart"/>
      <w:r>
        <w:rPr>
          <w:i/>
          <w:iCs/>
        </w:rPr>
        <w:t>muciniphila</w:t>
      </w:r>
      <w:proofErr w:type="spellEnd"/>
      <w:r>
        <w:t xml:space="preserve"> might show increased remissions rates if the species indeed plays a role in recovery.</w:t>
      </w:r>
    </w:p>
    <w:p w:rsidR="00310084" w:rsidRDefault="00310084">
      <w:pPr>
        <w:pStyle w:val="BodyText"/>
      </w:pPr>
    </w:p>
    <w:p w:rsidR="00675192" w:rsidRDefault="00820F0F">
      <w:bookmarkStart w:id="12" w:name="fig:engraftment"/>
      <w:r>
        <w:rPr>
          <w:noProof/>
        </w:rPr>
        <w:lastRenderedPageBreak/>
        <w:drawing>
          <wp:inline distT="0" distB="0" distL="0" distR="0">
            <wp:extent cx="5933116" cy="718053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engraftment_figure.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3116" cy="7180539"/>
                    </a:xfrm>
                    <a:prstGeom prst="rect">
                      <a:avLst/>
                    </a:prstGeom>
                    <a:noFill/>
                    <a:ln w="9525">
                      <a:noFill/>
                      <a:headEnd/>
                      <a:tailEnd/>
                    </a:ln>
                  </pic:spPr>
                </pic:pic>
              </a:graphicData>
            </a:graphic>
          </wp:inline>
        </w:drawing>
      </w:r>
      <w:bookmarkEnd w:id="12"/>
    </w:p>
    <w:p w:rsidR="00423481" w:rsidRDefault="00423481" w:rsidP="00423481">
      <w:pPr>
        <w:pStyle w:val="ImageCaption"/>
      </w:pPr>
      <w:bookmarkStart w:id="13" w:name="fig3"/>
      <w:r w:rsidRPr="006E4439">
        <w:rPr>
          <w:b/>
          <w:bCs/>
        </w:rPr>
        <w:t>Figure </w:t>
      </w:r>
      <w:r w:rsidRPr="006E4439">
        <w:rPr>
          <w:b/>
          <w:bCs/>
        </w:rPr>
        <w:fldChar w:fldCharType="begin"/>
      </w:r>
      <w:r w:rsidRPr="006E4439">
        <w:rPr>
          <w:b/>
          <w:bCs/>
        </w:rPr>
        <w:instrText xml:space="preserve">SEQ Figure \* ARABIC </w:instrText>
      </w:r>
      <w:r w:rsidRPr="006E4439">
        <w:rPr>
          <w:b/>
          <w:bCs/>
        </w:rPr>
        <w:fldChar w:fldCharType="separate"/>
      </w:r>
      <w:r w:rsidRPr="006E4439">
        <w:rPr>
          <w:b/>
          <w:bCs/>
        </w:rPr>
        <w:t>3</w:t>
      </w:r>
      <w:r w:rsidRPr="006E4439">
        <w:rPr>
          <w:b/>
          <w:bCs/>
        </w:rPr>
        <w:fldChar w:fldCharType="end"/>
      </w:r>
      <w:r w:rsidRPr="006E4439">
        <w:rPr>
          <w:b/>
          <w:bCs/>
        </w:rPr>
        <w:t>:</w:t>
      </w:r>
      <w:r>
        <w:t xml:space="preserve"> </w:t>
      </w:r>
      <w:bookmarkEnd w:id="13"/>
      <w:r>
        <w:t xml:space="preserve">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t>
      </w:r>
      <w:r>
        <w:lastRenderedPageBreak/>
        <w:t>with the median also marked (dotted line). In all panels, symbols indicate individual time points (A-D) and taxa (E) with p-values less than 0.1 (•) or 0.05 (*) by MWU test for differences between patients who did or did not receive antibiotic pretreatment.</w:t>
      </w:r>
    </w:p>
    <w:p w:rsidR="00675192" w:rsidRDefault="00820F0F">
      <w:pPr>
        <w:pStyle w:val="Heading3"/>
      </w:pPr>
      <w:bookmarkStart w:id="14" w:name="Xd09d4dd2eaa6401e23371ede10fcfa7627c0f0f"/>
      <w:bookmarkEnd w:id="11"/>
      <w:r>
        <w:t>Antibiotics modulate effects of FMT on the microbiome</w:t>
      </w:r>
    </w:p>
    <w:p w:rsidR="00675192" w:rsidRDefault="00820F0F">
      <w:pPr>
        <w:pStyle w:val="FirstParagraph"/>
      </w:pPr>
      <w:r>
        <w:t>We next examined whether maintenance method, donor, and antibiotic pretreatment affected the outcomes of FMT.</w:t>
      </w:r>
    </w:p>
    <w:p w:rsidR="00675192" w:rsidRDefault="00820F0F">
      <w:pPr>
        <w:pStyle w:val="BodyText"/>
      </w:pPr>
      <w:r>
        <w:t>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675192" w:rsidRDefault="00820F0F">
      <w:pPr>
        <w:pStyle w:val="BodyText"/>
      </w:pPr>
      <w:r>
        <w:t>Overall, a slightly larger fraction of donor-specific bacterial strains were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675192" w:rsidRDefault="00820F0F">
      <w:pPr>
        <w:pStyle w:val="Heading3"/>
      </w:pPr>
      <w:bookmarkStart w:id="15" w:name="X9c5e029272321f2d63ef88ceae72f7068b362bf"/>
      <w:bookmarkEnd w:id="14"/>
      <w:r>
        <w:t>Changes in taxonomic profiles after FMT correlate with changes in functional gene and BA profiles.</w:t>
      </w:r>
    </w:p>
    <w:p w:rsidR="00675192" w:rsidRDefault="00820F0F">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675192" w:rsidRDefault="00820F0F">
      <w:bookmarkStart w:id="16" w:name="fig:mantel"/>
      <w:r>
        <w:rPr>
          <w:noProof/>
        </w:rPr>
        <w:lastRenderedPageBreak/>
        <w:drawing>
          <wp:inline distT="0" distB="0" distL="0" distR="0">
            <wp:extent cx="3806490" cy="4403365"/>
            <wp:effectExtent l="0" t="0" r="381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correlated_multiomics_figure.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06490" cy="4403365"/>
                    </a:xfrm>
                    <a:prstGeom prst="rect">
                      <a:avLst/>
                    </a:prstGeom>
                    <a:noFill/>
                    <a:ln w="9525">
                      <a:noFill/>
                      <a:headEnd/>
                      <a:tailEnd/>
                    </a:ln>
                  </pic:spPr>
                </pic:pic>
              </a:graphicData>
            </a:graphic>
          </wp:inline>
        </w:drawing>
      </w:r>
      <w:bookmarkEnd w:id="16"/>
    </w:p>
    <w:p w:rsidR="00675192" w:rsidRDefault="00820F0F">
      <w:pPr>
        <w:pStyle w:val="ImageCaption"/>
      </w:pPr>
      <w:bookmarkStart w:id="17" w:name="fig4"/>
      <w:r w:rsidRPr="006E4439">
        <w:rPr>
          <w:b/>
          <w:bCs/>
        </w:rPr>
        <w:t>Figure </w:t>
      </w:r>
      <w:r w:rsidRPr="006E4439">
        <w:rPr>
          <w:b/>
          <w:bCs/>
        </w:rPr>
        <w:fldChar w:fldCharType="begin"/>
      </w:r>
      <w:r w:rsidRPr="006E4439">
        <w:rPr>
          <w:b/>
          <w:bCs/>
        </w:rPr>
        <w:instrText xml:space="preserve">SEQ Figure \* ARABIC </w:instrText>
      </w:r>
      <w:r w:rsidRPr="006E4439">
        <w:rPr>
          <w:b/>
          <w:bCs/>
        </w:rPr>
        <w:fldChar w:fldCharType="separate"/>
      </w:r>
      <w:r w:rsidRPr="006E4439">
        <w:rPr>
          <w:b/>
          <w:bCs/>
        </w:rPr>
        <w:t>4</w:t>
      </w:r>
      <w:r w:rsidRPr="006E4439">
        <w:rPr>
          <w:b/>
          <w:bCs/>
        </w:rPr>
        <w:fldChar w:fldCharType="end"/>
      </w:r>
      <w:r w:rsidRPr="006E4439">
        <w:rPr>
          <w:b/>
          <w:bCs/>
        </w:rPr>
        <w:t>:</w:t>
      </w:r>
      <w:r>
        <w:t xml:space="preserve"> </w:t>
      </w:r>
      <w:bookmarkEnd w:id="17"/>
      <w:r>
        <w:t xml:space="preserve">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675192" w:rsidRDefault="00820F0F">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675192" w:rsidRDefault="00820F0F">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675192" w:rsidRDefault="00820F0F">
      <w:pPr>
        <w:pStyle w:val="BodyText"/>
      </w:pPr>
      <w:r>
        <w:lastRenderedPageBreak/>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w:t>
      </w:r>
      <w:hyperlink w:anchor="ref-Vital2019">
        <w:r>
          <w:rPr>
            <w:rStyle w:val="Hyperlink"/>
            <w:vertAlign w:val="superscript"/>
          </w:rPr>
          <w:t>41</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w:t>
      </w:r>
      <w:hyperlink w:anchor="ref-Song2019">
        <w:r>
          <w:rPr>
            <w:rStyle w:val="Hyperlink"/>
            <w:vertAlign w:val="superscript"/>
          </w:rPr>
          <w:t>42</w:t>
        </w:r>
      </w:hyperlink>
      <w:r>
        <w:t>. This result further highlights the importance of strain-level analysis for understanding the drivers of functional differences in microbiomes during FMT.</w:t>
      </w:r>
    </w:p>
    <w:p w:rsidR="00675192" w:rsidRDefault="00820F0F">
      <w:pPr>
        <w:pStyle w:val="Heading2"/>
      </w:pPr>
      <w:bookmarkStart w:id="18" w:name="discussion"/>
      <w:bookmarkEnd w:id="2"/>
      <w:bookmarkEnd w:id="15"/>
      <w:r>
        <w:t>Discussion</w:t>
      </w:r>
    </w:p>
    <w:p w:rsidR="00675192" w:rsidRDefault="00820F0F">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675192" w:rsidRDefault="00820F0F">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w:t>
      </w:r>
      <w:hyperlink w:anchor="ref-Kao2017">
        <w:r>
          <w:rPr>
            <w:rStyle w:val="Hyperlink"/>
            <w:vertAlign w:val="superscript"/>
          </w:rPr>
          <w:t>15</w:t>
        </w:r>
      </w:hyperlink>
      <w:r>
        <w:rPr>
          <w:vertAlign w:val="superscript"/>
        </w:rPr>
        <w:t>,</w:t>
      </w:r>
      <w:hyperlink w:anchor="ref-Cold2019">
        <w:r>
          <w:rPr>
            <w:rStyle w:val="Hyperlink"/>
            <w:vertAlign w:val="superscript"/>
          </w:rPr>
          <w:t>18</w:t>
        </w:r>
      </w:hyperlink>
      <w:r>
        <w:rPr>
          <w:vertAlign w:val="superscript"/>
        </w:rPr>
        <w:t>,</w:t>
      </w:r>
      <w:hyperlink w:anchor="ref-Rao2017">
        <w:r>
          <w:rPr>
            <w:rStyle w:val="Hyperlink"/>
            <w:vertAlign w:val="superscript"/>
          </w:rPr>
          <w:t>43</w:t>
        </w:r>
      </w:hyperlink>
      <w:r>
        <w:t>. Meta-analyses have shown an association between maintenance dosing and increased remission</w:t>
      </w:r>
      <w:hyperlink w:anchor="ref-Mocanu2021">
        <w:r>
          <w:rPr>
            <w:rStyle w:val="Hyperlink"/>
            <w:vertAlign w:val="superscript"/>
          </w:rPr>
          <w:t>6</w:t>
        </w:r>
      </w:hyperlink>
      <w:r>
        <w:t>, although the frequency and duration has varied considerably, and previous studies with only two maintenance doses have also demonstrated the effectiveness of FMT therapy for UC</w:t>
      </w:r>
      <w:hyperlink w:anchor="ref-Costello2019">
        <w:r>
          <w:rPr>
            <w:rStyle w:val="Hyperlink"/>
            <w:vertAlign w:val="superscript"/>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675192" w:rsidRDefault="00820F0F">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w:t>
      </w:r>
      <w:hyperlink w:anchor="ref-Wilson2019">
        <w:r>
          <w:rPr>
            <w:rStyle w:val="Hyperlink"/>
            <w:vertAlign w:val="superscript"/>
          </w:rPr>
          <w:t>44</w:t>
        </w:r>
      </w:hyperlink>
      <w:r>
        <w:t>), although our study was not designed to find subtle effects of this type if they do exist.</w:t>
      </w:r>
    </w:p>
    <w:p w:rsidR="00675192" w:rsidRDefault="00820F0F">
      <w:pPr>
        <w:pStyle w:val="BodyText"/>
      </w:pPr>
      <w:r>
        <w:lastRenderedPageBreak/>
        <w:t>This pilot study was limited by the small number of participants completing the full protocol, as well as the large number of primary and exploratory analyses. 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675192" w:rsidRDefault="00820F0F">
      <w:pPr>
        <w:pStyle w:val="BodyText"/>
      </w:pPr>
      <w:r>
        <w:t>We find that the use of strain haplotypes inferred from SNP profiles</w:t>
      </w:r>
      <w:hyperlink w:anchor="ref-Smillie2018">
        <w:r>
          <w:rPr>
            <w:rStyle w:val="Hyperlink"/>
            <w:vertAlign w:val="superscript"/>
          </w:rPr>
          <w:t>22</w:t>
        </w:r>
      </w:hyperlink>
      <w:r>
        <w:t xml:space="preserve">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w:t>
      </w:r>
      <w:hyperlink w:anchor="ref-Anyansi2020">
        <w:r>
          <w:rPr>
            <w:rStyle w:val="Hyperlink"/>
            <w:vertAlign w:val="superscript"/>
          </w:rPr>
          <w:t>45</w:t>
        </w:r>
      </w:hyperlink>
      <w:r>
        <w:t>) either require high quality strain reference sets</w:t>
      </w:r>
      <w:hyperlink w:anchor="ref-Albanese2017">
        <w:r>
          <w:rPr>
            <w:rStyle w:val="Hyperlink"/>
            <w:vertAlign w:val="superscript"/>
          </w:rPr>
          <w:t>46</w:t>
        </w:r>
      </w:hyperlink>
      <w:r>
        <w:t>, or use heuristics based on dissimilarities between metagenotypes that assume species have one dominant strain per sample</w:t>
      </w:r>
      <w:hyperlink w:anchor="ref-Truong2017">
        <w:r>
          <w:rPr>
            <w:rStyle w:val="Hyperlink"/>
            <w:vertAlign w:val="superscript"/>
          </w:rPr>
          <w:t>47</w:t>
        </w:r>
      </w:hyperlink>
      <w:r>
        <w:t xml:space="preserve"> or ignore the possibility of rare strains (e.g. less than 10% in</w:t>
      </w:r>
      <w:hyperlink w:anchor="ref-Podlesny2020">
        <w:r>
          <w:rPr>
            <w:rStyle w:val="Hyperlink"/>
            <w:vertAlign w:val="superscript"/>
          </w:rPr>
          <w:t>48</w:t>
        </w:r>
      </w:hyperlink>
      <w:r>
        <w:t>). None of these alternative approaches is optimal for the tracking of discrete strains in a study where donor and recipient communities are intentionally mixed through FMT. Continued development of haplotype deconvolution methods will empower further studies of strain-specific functions and ecological dynamics in FMT.</w:t>
      </w:r>
    </w:p>
    <w:p w:rsidR="00675192" w:rsidRDefault="00820F0F">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w:t>
      </w:r>
      <w:hyperlink w:anchor="ref-Allegretti2018">
        <w:r>
          <w:rPr>
            <w:rStyle w:val="Hyperlink"/>
            <w:vertAlign w:val="superscript"/>
          </w:rPr>
          <w:t>49</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675192" w:rsidRDefault="00820F0F">
      <w:pPr>
        <w:pStyle w:val="Heading2"/>
      </w:pPr>
      <w:bookmarkStart w:id="19" w:name="conclusions"/>
      <w:bookmarkEnd w:id="18"/>
      <w:r>
        <w:t>Conclusions</w:t>
      </w:r>
    </w:p>
    <w:p w:rsidR="00675192" w:rsidRDefault="00820F0F">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675192" w:rsidRDefault="00820F0F">
      <w:pPr>
        <w:pStyle w:val="Heading2"/>
      </w:pPr>
      <w:bookmarkStart w:id="20" w:name="methods"/>
      <w:bookmarkEnd w:id="19"/>
      <w:r>
        <w:lastRenderedPageBreak/>
        <w:t>Methods</w:t>
      </w:r>
    </w:p>
    <w:p w:rsidR="00675192" w:rsidRDefault="00820F0F">
      <w:pPr>
        <w:pStyle w:val="Heading3"/>
      </w:pPr>
      <w:bookmarkStart w:id="21" w:name="X7dba8dd1311a6d849f79a9aaf1fd032c8a5bc2d"/>
      <w:r>
        <w:t>Patient recruitment, ethics approval, and concurrent therapies</w:t>
      </w:r>
    </w:p>
    <w:p w:rsidR="00675192" w:rsidRDefault="00820F0F">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675192" w:rsidRDefault="00820F0F">
      <w:pPr>
        <w:pStyle w:val="BodyText"/>
      </w:pPr>
      <w:r>
        <w:t xml:space="preserve">All participants were recruited between March 2017 and March 2020 </w:t>
      </w:r>
      <w:r w:rsidR="006E4439">
        <w:t xml:space="preserve">at the University of California, San Francisco, </w:t>
      </w:r>
      <w:r>
        <w:t xml:space="preserve">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w:t>
      </w:r>
      <w:r w:rsidR="00097A39">
        <w:t>30/</w:t>
      </w:r>
      <w:r>
        <w:t>1</w:t>
      </w:r>
      <w:r w:rsidR="00097A39">
        <w:t>2/</w:t>
      </w:r>
      <w:r>
        <w:t>2016). All methods were performed in accordance with the relevant guidelines and regulations.</w:t>
      </w:r>
    </w:p>
    <w:p w:rsidR="00675192" w:rsidRDefault="00820F0F">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675192" w:rsidRDefault="00820F0F">
      <w:pPr>
        <w:pStyle w:val="Heading3"/>
      </w:pPr>
      <w:bookmarkStart w:id="22" w:name="study-design-and-clinical-details"/>
      <w:bookmarkEnd w:id="21"/>
      <w:r>
        <w:t>Study design and clinical details</w:t>
      </w:r>
    </w:p>
    <w:p w:rsidR="00675192" w:rsidRDefault="00820F0F">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w:t>
      </w:r>
      <w:hyperlink w:anchor="ref-Kassam2019">
        <w:r>
          <w:rPr>
            <w:rStyle w:val="Hyperlink"/>
            <w:vertAlign w:val="superscript"/>
          </w:rPr>
          <w:t>50</w:t>
        </w:r>
      </w:hyperlink>
      <w:r>
        <w:t>. Participants were assigned a single donor for all doses throughout the study period. Deviations from the prescribed design are detailed in Supplementary Table </w:t>
      </w:r>
      <w:r w:rsidR="0007001D">
        <w:t>S</w:t>
      </w:r>
      <w:r>
        <w:t>7.</w:t>
      </w:r>
    </w:p>
    <w:p w:rsidR="00675192" w:rsidRDefault="00820F0F">
      <w:pPr>
        <w:pStyle w:val="BodyText"/>
      </w:pPr>
      <w:r>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w:t>
      </w:r>
      <w:hyperlink w:anchor="ref-Gilat1987">
        <w:r>
          <w:rPr>
            <w:rStyle w:val="Hyperlink"/>
            <w:vertAlign w:val="superscript"/>
          </w:rPr>
          <w:t>51</w:t>
        </w:r>
      </w:hyperlink>
      <w:r>
        <w:rPr>
          <w:vertAlign w:val="superscript"/>
        </w:rPr>
        <w:t>–</w:t>
      </w:r>
      <w:hyperlink w:anchor="ref-Mantzaris2001">
        <w:r>
          <w:rPr>
            <w:rStyle w:val="Hyperlink"/>
            <w:vertAlign w:val="superscript"/>
          </w:rPr>
          <w:t>54</w:t>
        </w:r>
      </w:hyperlink>
      <w:r>
        <w:t>, and due to the short duration of antibiotic treatment in this study.</w:t>
      </w:r>
    </w:p>
    <w:p w:rsidR="00675192" w:rsidRDefault="00820F0F">
      <w:pPr>
        <w:pStyle w:val="BodyText"/>
      </w:pPr>
      <w:r>
        <w:lastRenderedPageBreak/>
        <w:t>Baseline data including serum inflammatory markers, infectious stool studies and fecal calprotectin were obtained prior to D0 (the initial FMT) and F1. A full list of clinical assessments is available in Supplementary Table </w:t>
      </w:r>
      <w:r w:rsidR="0007001D">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675192" w:rsidRDefault="00820F0F">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07001D">
        <w:t>S</w:t>
      </w:r>
      <w:r>
        <w:t>3-</w:t>
      </w:r>
      <w:r w:rsidR="0007001D">
        <w:t>S</w:t>
      </w:r>
      <w:r>
        <w:t>6, respectively.</w:t>
      </w:r>
    </w:p>
    <w:p w:rsidR="00675192" w:rsidRDefault="00820F0F">
      <w:pPr>
        <w:pStyle w:val="Heading3"/>
      </w:pPr>
      <w:bookmarkStart w:id="23" w:name="data-processing-and-reproducibility"/>
      <w:bookmarkEnd w:id="22"/>
      <w:r>
        <w:t>Data processing and reproducibility</w:t>
      </w:r>
    </w:p>
    <w:p w:rsidR="00675192" w:rsidRDefault="00820F0F">
      <w:pPr>
        <w:pStyle w:val="Heading4"/>
      </w:pPr>
      <w:bookmarkStart w:id="24" w:name="environment-and-pipeline"/>
      <w:r>
        <w:t>Environment and pipeline</w:t>
      </w:r>
    </w:p>
    <w:p w:rsidR="00675192" w:rsidRDefault="00820F0F">
      <w:pPr>
        <w:pStyle w:val="FirstParagraph"/>
      </w:pPr>
      <w:r>
        <w:t>Sequence and metabolite data were analyzed using a reproducible pipeline implemented with the Snakemake workflow manager</w:t>
      </w:r>
      <w:hyperlink w:anchor="ref-Koster2012">
        <w:r>
          <w:rPr>
            <w:rStyle w:val="Hyperlink"/>
            <w:vertAlign w:val="superscript"/>
          </w:rPr>
          <w:t>55</w:t>
        </w:r>
      </w:hyperlink>
      <w:r>
        <w:t>. Our computational environment is available as a Docker container &lt;</w:t>
      </w:r>
      <w:hyperlink r:id="rId13">
        <w:r>
          <w:rPr>
            <w:rStyle w:val="Hyperlink"/>
          </w:rPr>
          <w:t>https://hub.docker.com/repository/docker/bsmith89/compbio</w:t>
        </w:r>
      </w:hyperlink>
      <w:r>
        <w:t>&gt;</w:t>
      </w:r>
      <w:hyperlink w:anchor="ref-Merkel2014">
        <w:r>
          <w:rPr>
            <w:rStyle w:val="Hyperlink"/>
            <w:vertAlign w:val="superscript"/>
          </w:rPr>
          <w:t>56</w:t>
        </w:r>
      </w:hyperlink>
      <w:r>
        <w:t xml:space="preserve"> and uses Conda</w:t>
      </w:r>
      <w:hyperlink w:anchor="ref-anaconda">
        <w:r>
          <w:rPr>
            <w:rStyle w:val="Hyperlink"/>
            <w:vertAlign w:val="superscript"/>
          </w:rPr>
          <w:t>57</w:t>
        </w:r>
      </w:hyperlink>
      <w:r>
        <w:t xml:space="preserve"> for most software installations. Final analyses were performed and visualized in Python and R using the </w:t>
      </w:r>
      <w:proofErr w:type="spellStart"/>
      <w:r>
        <w:t>Jupyter</w:t>
      </w:r>
      <w:proofErr w:type="spellEnd"/>
      <w:r>
        <w:t xml:space="preserve"> Notebook environment</w:t>
      </w:r>
      <w:hyperlink w:anchor="ref-Kluyver2016">
        <w:r>
          <w:rPr>
            <w:rStyle w:val="Hyperlink"/>
            <w:vertAlign w:val="superscript"/>
          </w:rPr>
          <w:t>58</w:t>
        </w:r>
      </w:hyperlink>
      <w:r>
        <w:t>. Where randomization was used, random number generators were seeded with a fixed value for reproducibility. Detailed descriptions of the data analysis pipeline is included in the Supplementary Methods.</w:t>
      </w:r>
    </w:p>
    <w:p w:rsidR="00675192" w:rsidRDefault="00820F0F">
      <w:pPr>
        <w:pStyle w:val="Heading4"/>
      </w:pPr>
      <w:bookmarkStart w:id="25" w:name="taxonomic-profiling"/>
      <w:bookmarkEnd w:id="24"/>
      <w:r>
        <w:t>Taxonomic profiling</w:t>
      </w:r>
    </w:p>
    <w:p w:rsidR="00675192" w:rsidRDefault="00820F0F">
      <w:pPr>
        <w:pStyle w:val="FirstParagraph"/>
      </w:pPr>
      <w:r>
        <w:t>We applied GT-PRO</w:t>
      </w:r>
      <w:hyperlink w:anchor="ref-Shi2020">
        <w:r>
          <w:rPr>
            <w:rStyle w:val="Hyperlink"/>
            <w:vertAlign w:val="superscript"/>
          </w:rPr>
          <w:t>36</w:t>
        </w:r>
      </w:hyperlink>
      <w:r>
        <w:t xml:space="preserve"> to count t</w:t>
      </w:r>
      <w:bookmarkStart w:id="26" w:name="_GoBack"/>
      <w:bookmarkEnd w:id="26"/>
      <w:r>
        <w:t>he occurences of reads containing exact k-mers representative of previously identified, per-species, bi-allelic positions in the UHGG</w:t>
      </w:r>
      <w:hyperlink w:anchor="ref-Almeida2021">
        <w:r>
          <w:rPr>
            <w:rStyle w:val="Hyperlink"/>
            <w:vertAlign w:val="superscript"/>
          </w:rPr>
          <w:t>59</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675192" w:rsidRDefault="00820F0F">
      <w:pPr>
        <w:pStyle w:val="BodyText"/>
      </w:pPr>
      <w:r>
        <w:t>The GT-PRO metagenotypes were also used to estimate the abundance of haplotypes (referred to as strains above) in each species. This was accomplished using the tool Strain Finder</w:t>
      </w:r>
      <w:hyperlink w:anchor="ref-Smillie2018">
        <w:r>
          <w:rPr>
            <w:rStyle w:val="Hyperlink"/>
            <w:vertAlign w:val="superscript"/>
          </w:rPr>
          <w:t>22</w:t>
        </w:r>
      </w:hyperlink>
      <w:r>
        <w:t>,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675192" w:rsidRDefault="00820F0F">
      <w:pPr>
        <w:pStyle w:val="BodyText"/>
      </w:pPr>
      <w:r>
        <w:lastRenderedPageBreak/>
        <w:t>We demonstrate improvements in sensitivity to transfer events using this approach in a Supplementary Note.</w:t>
      </w:r>
    </w:p>
    <w:p w:rsidR="00675192" w:rsidRDefault="00820F0F">
      <w:pPr>
        <w:pStyle w:val="Heading3"/>
      </w:pPr>
      <w:bookmarkStart w:id="27" w:name="statistical-analysis"/>
      <w:bookmarkEnd w:id="23"/>
      <w:bookmarkEnd w:id="25"/>
      <w:r>
        <w:t>Statistical analysis</w:t>
      </w:r>
    </w:p>
    <w:p w:rsidR="00675192" w:rsidRDefault="00820F0F">
      <w:pPr>
        <w:pStyle w:val="Heading4"/>
      </w:pPr>
      <w:bookmarkStart w:id="28" w:name="Xce877760c4c4962b30d435bc41d05e3e8ac4036"/>
      <w:r>
        <w:t>Patient/sample exclusion and efficacy statistics</w:t>
      </w:r>
    </w:p>
    <w:p w:rsidR="00675192" w:rsidRDefault="00820F0F">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07001D">
        <w:t>S</w:t>
      </w:r>
      <w:r>
        <w:t>3-</w:t>
      </w:r>
      <w:r w:rsidR="0007001D">
        <w:t>S</w:t>
      </w:r>
      <w:r>
        <w:t>6.</w:t>
      </w:r>
    </w:p>
    <w:p w:rsidR="00675192" w:rsidRDefault="00820F0F">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675192" w:rsidRDefault="00820F0F">
      <w:pPr>
        <w:pStyle w:val="BodyText"/>
      </w:pPr>
      <w:r>
        <w:t>Given the small sample size and exploratory analyses, statistical significance was not corrected for multiple testing, throughout.</w:t>
      </w:r>
    </w:p>
    <w:p w:rsidR="00675192" w:rsidRDefault="00820F0F">
      <w:pPr>
        <w:pStyle w:val="Heading4"/>
      </w:pPr>
      <w:bookmarkStart w:id="29" w:name="X5acd4262891c8c4349f12b5f1b2a0d9b1ceaf87"/>
      <w:bookmarkEnd w:id="28"/>
      <w:r>
        <w:t>Profile comparisons: Dissimilarities, ordination, clustering analysis</w:t>
      </w:r>
    </w:p>
    <w:p w:rsidR="00675192" w:rsidRDefault="00820F0F">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w:t>
      </w:r>
      <w:hyperlink w:anchor="ref-Parks2018">
        <w:r>
          <w:rPr>
            <w:rStyle w:val="Hyperlink"/>
            <w:vertAlign w:val="superscript"/>
          </w:rPr>
          <w:t>37</w:t>
        </w:r>
      </w:hyperlink>
      <w:r>
        <w:rPr>
          <w:vertAlign w:val="superscript"/>
        </w:rPr>
        <w:t>,</w:t>
      </w:r>
      <w:hyperlink w:anchor="ref-Parks2020">
        <w:r>
          <w:rPr>
            <w:rStyle w:val="Hyperlink"/>
            <w:vertAlign w:val="superscript"/>
          </w:rPr>
          <w:t>38</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w:t>
      </w:r>
      <w:hyperlink w:anchor="ref-Pedregosa2012">
        <w:r>
          <w:rPr>
            <w:rStyle w:val="Hyperlink"/>
            <w:vertAlign w:val="superscript"/>
          </w:rPr>
          <w:t>60</w:t>
        </w:r>
      </w:hyperlink>
      <w:r>
        <w:t>. Clustering of profiles by donor and patient was tested with ANOSIM using 9999 permutations to calculate a p-value.</w:t>
      </w:r>
    </w:p>
    <w:p w:rsidR="00675192" w:rsidRDefault="00820F0F">
      <w:pPr>
        <w:pStyle w:val="Heading4"/>
      </w:pPr>
      <w:bookmarkStart w:id="30" w:name="longitudinal-data-analysis"/>
      <w:bookmarkEnd w:id="29"/>
      <w:r>
        <w:t>Longitudinal data analysis</w:t>
      </w:r>
    </w:p>
    <w:p w:rsidR="00675192" w:rsidRDefault="00820F0F">
      <w:pPr>
        <w:pStyle w:val="FirstParagraph"/>
      </w:pPr>
      <w:r>
        <w:t>For response variables with repeated measures on the same patients, the effects of treatment parameters were tested under the general estimating equations framework (implemented in the geepack package for R</w:t>
      </w:r>
      <w:hyperlink w:anchor="ref-Hojsgaard2005">
        <w:r>
          <w:rPr>
            <w:rStyle w:val="Hyperlink"/>
            <w:vertAlign w:val="superscript"/>
          </w:rPr>
          <w:t>61</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 confounding random effect.</w:t>
      </w:r>
    </w:p>
    <w:p w:rsidR="00675192" w:rsidRDefault="00820F0F">
      <w:pPr>
        <w:pStyle w:val="Heading4"/>
      </w:pPr>
      <w:bookmarkStart w:id="31" w:name="mantel-tests"/>
      <w:bookmarkEnd w:id="30"/>
      <w:r>
        <w:lastRenderedPageBreak/>
        <w:t>Mantel tests</w:t>
      </w:r>
    </w:p>
    <w:p w:rsidR="00675192" w:rsidRDefault="00820F0F">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w:t>
      </w:r>
      <w:hyperlink w:anchor="ref-Guillot2013">
        <w:r>
          <w:rPr>
            <w:rStyle w:val="Hyperlink"/>
            <w:vertAlign w:val="superscript"/>
          </w:rPr>
          <w:t>62</w:t>
        </w:r>
      </w:hyperlink>
      <w:r>
        <w:t>, the method has been applied in past studies linking different features of the microbiome</w:t>
      </w:r>
      <w:hyperlink w:anchor="ref-Lloyd-Price2019">
        <w:r>
          <w:rPr>
            <w:rStyle w:val="Hyperlink"/>
            <w:vertAlign w:val="superscript"/>
          </w:rPr>
          <w:t>63</w:t>
        </w:r>
      </w:hyperlink>
      <w:r>
        <w:t>. In addition, spatial and temporal autocorrelation is expected to result in decreased power, making this approach a conservative measure of associations across data types.</w:t>
      </w:r>
    </w:p>
    <w:p w:rsidR="00675192" w:rsidRDefault="00820F0F">
      <w:pPr>
        <w:pStyle w:val="Heading2"/>
      </w:pPr>
      <w:bookmarkStart w:id="32" w:name="endmatter"/>
      <w:bookmarkEnd w:id="20"/>
      <w:bookmarkEnd w:id="27"/>
      <w:bookmarkEnd w:id="31"/>
      <w:r>
        <w:t>Endmatter</w:t>
      </w:r>
    </w:p>
    <w:p w:rsidR="00675192" w:rsidRDefault="00820F0F">
      <w:pPr>
        <w:pStyle w:val="Heading3"/>
      </w:pPr>
      <w:bookmarkStart w:id="33" w:name="acknowledgements"/>
      <w:r>
        <w:t>Acknowledgements</w:t>
      </w:r>
    </w:p>
    <w:p w:rsidR="00675192" w:rsidRDefault="00820F0F">
      <w:pPr>
        <w:pStyle w:val="Compact"/>
        <w:numPr>
          <w:ilvl w:val="0"/>
          <w:numId w:val="17"/>
        </w:numPr>
      </w:pPr>
      <w:r>
        <w:t>BJS and BZ are supported by funding from the National Institutes of Health grant number 5T32DK007007.</w:t>
      </w:r>
    </w:p>
    <w:p w:rsidR="00675192" w:rsidRDefault="00820F0F">
      <w:pPr>
        <w:pStyle w:val="Compact"/>
        <w:numPr>
          <w:ilvl w:val="0"/>
          <w:numId w:val="17"/>
        </w:numPr>
      </w:pPr>
      <w:r>
        <w:t>KSP and BJS were supported by funding from National Science Foundation grant number 1563159, Chan Zuckerberg Biohub, and Gladstone Institutes.</w:t>
      </w:r>
    </w:p>
    <w:p w:rsidR="00675192" w:rsidRDefault="00820F0F">
      <w:pPr>
        <w:pStyle w:val="Compact"/>
        <w:numPr>
          <w:ilvl w:val="0"/>
          <w:numId w:val="17"/>
        </w:numPr>
      </w:pPr>
      <w:r>
        <w:t>NE, MZ and YMP were supported by funding from the Kenneth Rainin Foundation</w:t>
      </w:r>
    </w:p>
    <w:p w:rsidR="00675192" w:rsidRDefault="00820F0F">
      <w:pPr>
        <w:pStyle w:val="Compact"/>
        <w:numPr>
          <w:ilvl w:val="0"/>
          <w:numId w:val="17"/>
        </w:numPr>
      </w:pPr>
      <w:r>
        <w:t>Kole Lynch and Doug Fadrosh prepared libraries and sequenced 16S rRNA gene amplicons.</w:t>
      </w:r>
    </w:p>
    <w:p w:rsidR="00675192" w:rsidRDefault="00820F0F">
      <w:pPr>
        <w:pStyle w:val="Compact"/>
        <w:numPr>
          <w:ilvl w:val="0"/>
          <w:numId w:val="17"/>
        </w:numPr>
      </w:pPr>
      <w:r>
        <w:t>Françoise Chanut provided editorial support.</w:t>
      </w:r>
    </w:p>
    <w:p w:rsidR="00675192" w:rsidRDefault="00820F0F">
      <w:pPr>
        <w:pStyle w:val="Heading3"/>
      </w:pPr>
      <w:bookmarkStart w:id="34" w:name="competing-interests"/>
      <w:bookmarkEnd w:id="33"/>
      <w:r>
        <w:t>Competing Interests</w:t>
      </w:r>
    </w:p>
    <w:p w:rsidR="00675192" w:rsidRDefault="00820F0F">
      <w:pPr>
        <w:pStyle w:val="Compact"/>
        <w:numPr>
          <w:ilvl w:val="0"/>
          <w:numId w:val="18"/>
        </w:numPr>
      </w:pPr>
      <w:r>
        <w:t>YMP is an employee of Symbiome, Inc.</w:t>
      </w:r>
    </w:p>
    <w:p w:rsidR="00675192" w:rsidRDefault="00820F0F">
      <w:pPr>
        <w:pStyle w:val="Compact"/>
        <w:numPr>
          <w:ilvl w:val="0"/>
          <w:numId w:val="18"/>
        </w:numPr>
      </w:pPr>
      <w:r>
        <w:t>ZK is an employee/shareholder at Finch Therapeutics</w:t>
      </w:r>
    </w:p>
    <w:p w:rsidR="00675192" w:rsidRDefault="00820F0F">
      <w:pPr>
        <w:pStyle w:val="Compact"/>
        <w:numPr>
          <w:ilvl w:val="0"/>
          <w:numId w:val="18"/>
        </w:numPr>
      </w:pPr>
      <w:r>
        <w:t>SVL is co-founder and shareholder of Siolta Therapeutics, Inc. and serves as both a consultant and a member of its Board of Directors.</w:t>
      </w:r>
    </w:p>
    <w:p w:rsidR="00675192" w:rsidRDefault="00820F0F">
      <w:pPr>
        <w:pStyle w:val="Compact"/>
        <w:numPr>
          <w:ilvl w:val="0"/>
          <w:numId w:val="18"/>
        </w:numPr>
      </w:pPr>
      <w:r>
        <w:t>KSP is on the scientific advisory board of Phylagen.</w:t>
      </w:r>
    </w:p>
    <w:p w:rsidR="00675192" w:rsidRDefault="00820F0F">
      <w:pPr>
        <w:pStyle w:val="Compact"/>
        <w:numPr>
          <w:ilvl w:val="0"/>
          <w:numId w:val="18"/>
        </w:numPr>
      </w:pPr>
      <w:r>
        <w:t>NE has received research support from Finch Therapeutics and Assembly Biosciences, and has been a consultant for Federation Bio and Ferring Pharmaceuticals.</w:t>
      </w:r>
    </w:p>
    <w:p w:rsidR="00675192" w:rsidRDefault="00820F0F">
      <w:pPr>
        <w:pStyle w:val="Compact"/>
        <w:numPr>
          <w:ilvl w:val="0"/>
          <w:numId w:val="18"/>
        </w:numPr>
      </w:pPr>
      <w:r>
        <w:t>All other authors declare no competing interests</w:t>
      </w:r>
    </w:p>
    <w:p w:rsidR="00675192" w:rsidRDefault="00820F0F">
      <w:pPr>
        <w:pStyle w:val="Heading3"/>
      </w:pPr>
      <w:bookmarkStart w:id="35" w:name="data-availability"/>
      <w:bookmarkEnd w:id="34"/>
      <w:r>
        <w:t>Data availability</w:t>
      </w:r>
    </w:p>
    <w:p w:rsidR="00675192" w:rsidRDefault="00820F0F">
      <w:pPr>
        <w:pStyle w:val="FirstParagraph"/>
      </w:pPr>
      <w:r>
        <w:t>Amplicon sequences from the 16S rRNA gene and metagenomic sequences with human reads removed were uploaded to the SRA under BioProject PRJNA737472. All code and metadata needed to reproduce our results are available at &lt;</w:t>
      </w:r>
      <w:hyperlink r:id="rId14">
        <w:r>
          <w:rPr>
            <w:rStyle w:val="Hyperlink"/>
          </w:rPr>
          <w:t>https://github.com/bsmith89/ucfmt2</w:t>
        </w:r>
      </w:hyperlink>
      <w:r>
        <w:t>&gt;.</w:t>
      </w:r>
    </w:p>
    <w:p w:rsidR="00675192" w:rsidRDefault="00820F0F">
      <w:pPr>
        <w:pStyle w:val="Heading2"/>
      </w:pPr>
      <w:bookmarkStart w:id="36" w:name="references"/>
      <w:bookmarkEnd w:id="32"/>
      <w:bookmarkEnd w:id="35"/>
      <w:r>
        <w:t>References</w:t>
      </w:r>
    </w:p>
    <w:p w:rsidR="00675192" w:rsidRDefault="00820F0F">
      <w:pPr>
        <w:pStyle w:val="Bibliography"/>
      </w:pPr>
      <w:bookmarkStart w:id="37" w:name="ref-Yalchin2019"/>
      <w:bookmarkStart w:id="38" w:name="refs"/>
      <w:r>
        <w:t xml:space="preserve">1. </w:t>
      </w:r>
      <w:r>
        <w:tab/>
        <w:t xml:space="preserve">Yalchin, M. </w:t>
      </w:r>
      <w:r>
        <w:rPr>
          <w:i/>
          <w:iCs/>
        </w:rPr>
        <w:t>et al.</w:t>
      </w:r>
      <w:r>
        <w:t xml:space="preserve"> Gaps in knowledge and future directions for the use of faecal microbiota transplant in the treatment of inflammatory bowel disease. </w:t>
      </w:r>
      <w:r>
        <w:rPr>
          <w:i/>
          <w:iCs/>
        </w:rPr>
        <w:t>Therap Adv Gastroenterol</w:t>
      </w:r>
      <w:r>
        <w:t xml:space="preserve"> </w:t>
      </w:r>
      <w:r>
        <w:rPr>
          <w:b/>
          <w:bCs/>
        </w:rPr>
        <w:t>12</w:t>
      </w:r>
      <w:r>
        <w:t>, 1756284819891038 (2019).</w:t>
      </w:r>
    </w:p>
    <w:p w:rsidR="00675192" w:rsidRDefault="00820F0F">
      <w:pPr>
        <w:pStyle w:val="Bibliography"/>
      </w:pPr>
      <w:bookmarkStart w:id="39" w:name="ref-Lopetuso2020"/>
      <w:bookmarkEnd w:id="37"/>
      <w:r>
        <w:t xml:space="preserve">2. </w:t>
      </w:r>
      <w:r>
        <w:tab/>
        <w:t xml:space="preserve">Lopetuso, L. R. </w:t>
      </w:r>
      <w:r>
        <w:rPr>
          <w:i/>
          <w:iCs/>
        </w:rPr>
        <w:t>et al.</w:t>
      </w:r>
      <w:r>
        <w:t xml:space="preserve"> Fecal transplantation for ulcerative colitis: Current evidence and future applications. </w:t>
      </w:r>
      <w:r>
        <w:rPr>
          <w:i/>
          <w:iCs/>
        </w:rPr>
        <w:t>Expert Opin. Biol. Ther.</w:t>
      </w:r>
      <w:r>
        <w:t xml:space="preserve"> </w:t>
      </w:r>
      <w:r>
        <w:rPr>
          <w:b/>
          <w:bCs/>
        </w:rPr>
        <w:t>20</w:t>
      </w:r>
      <w:r>
        <w:t>, 343–351 (2020).</w:t>
      </w:r>
    </w:p>
    <w:p w:rsidR="00675192" w:rsidRDefault="00820F0F">
      <w:pPr>
        <w:pStyle w:val="Bibliography"/>
      </w:pPr>
      <w:bookmarkStart w:id="40" w:name="ref-Paramsothy2017d"/>
      <w:bookmarkEnd w:id="39"/>
      <w:r>
        <w:lastRenderedPageBreak/>
        <w:t xml:space="preserve">3. </w:t>
      </w:r>
      <w:r>
        <w:tab/>
        <w:t xml:space="preserve">Paramsothy, S. </w:t>
      </w:r>
      <w:r>
        <w:rPr>
          <w:i/>
          <w:iCs/>
        </w:rPr>
        <w:t>et al.</w:t>
      </w:r>
      <w:r>
        <w:t xml:space="preserve"> Faecal Microbiota Transplantation for Inflammatory Bowel Disease: A Systematic Review and Meta-analysis. </w:t>
      </w:r>
      <w:r>
        <w:rPr>
          <w:i/>
          <w:iCs/>
        </w:rPr>
        <w:t>J Crohns Colitis</w:t>
      </w:r>
      <w:r>
        <w:t xml:space="preserve"> </w:t>
      </w:r>
      <w:r>
        <w:rPr>
          <w:b/>
          <w:bCs/>
        </w:rPr>
        <w:t>11</w:t>
      </w:r>
      <w:r>
        <w:t>, 1180–1199 (2017).</w:t>
      </w:r>
    </w:p>
    <w:p w:rsidR="00675192" w:rsidRDefault="00820F0F">
      <w:pPr>
        <w:pStyle w:val="Bibliography"/>
      </w:pPr>
      <w:bookmarkStart w:id="41" w:name="ref-Costello2017"/>
      <w:bookmarkEnd w:id="40"/>
      <w:r>
        <w:t xml:space="preserve">4. </w:t>
      </w:r>
      <w:r>
        <w:tab/>
        <w:t xml:space="preserve">Costello, S. P. </w:t>
      </w:r>
      <w:r>
        <w:rPr>
          <w:i/>
          <w:iCs/>
        </w:rPr>
        <w:t>et al.</w:t>
      </w:r>
      <w:r>
        <w:t xml:space="preserve"> Systematic review with meta-analysis: Faecal microbiota transplantation for the induction of remission for active ulcerative colitis. </w:t>
      </w:r>
      <w:r>
        <w:rPr>
          <w:i/>
          <w:iCs/>
        </w:rPr>
        <w:t>Aliment. Pharmacol. Ther.</w:t>
      </w:r>
      <w:r>
        <w:t xml:space="preserve"> </w:t>
      </w:r>
      <w:r>
        <w:rPr>
          <w:b/>
          <w:bCs/>
        </w:rPr>
        <w:t>46</w:t>
      </w:r>
      <w:r>
        <w:t>, 213–224 (2017).</w:t>
      </w:r>
    </w:p>
    <w:p w:rsidR="00675192" w:rsidRDefault="00820F0F">
      <w:pPr>
        <w:pStyle w:val="Bibliography"/>
      </w:pPr>
      <w:bookmarkStart w:id="42" w:name="ref-Lam2019"/>
      <w:bookmarkEnd w:id="41"/>
      <w:r>
        <w:t xml:space="preserve">5. </w:t>
      </w:r>
      <w:r>
        <w:tab/>
        <w:t xml:space="preserve">Lam, T. J. &amp; Ye, Y. CRISPRs for Strain Tracking and Their Application to Microbiota Transplantation Data Analysis. </w:t>
      </w:r>
      <w:r>
        <w:rPr>
          <w:i/>
          <w:iCs/>
        </w:rPr>
        <w:t>CRISPR J</w:t>
      </w:r>
      <w:r>
        <w:t xml:space="preserve"> </w:t>
      </w:r>
      <w:r>
        <w:rPr>
          <w:b/>
          <w:bCs/>
        </w:rPr>
        <w:t>2</w:t>
      </w:r>
      <w:r>
        <w:t>, 41–50 (2019).</w:t>
      </w:r>
    </w:p>
    <w:p w:rsidR="00675192" w:rsidRDefault="00820F0F">
      <w:pPr>
        <w:pStyle w:val="Bibliography"/>
      </w:pPr>
      <w:bookmarkStart w:id="43" w:name="ref-Mocanu2021"/>
      <w:bookmarkEnd w:id="42"/>
      <w:r>
        <w:t xml:space="preserve">6. </w:t>
      </w:r>
      <w:r>
        <w:tab/>
        <w:t xml:space="preserve">Mocanu, V. </w:t>
      </w:r>
      <w:r>
        <w:rPr>
          <w:i/>
          <w:iCs/>
        </w:rPr>
        <w:t>et al.</w:t>
      </w:r>
      <w:r>
        <w:t xml:space="preserve"> Repeated Fecal Microbial Transplantations and Antibiotic Pre-Treatment Are Linked to Improved Clinical Response and Remission in Inflammatory Bowel Disease: A Systematic Review and Pooled Proportion Meta-Analysis. </w:t>
      </w:r>
      <w:r>
        <w:rPr>
          <w:i/>
          <w:iCs/>
        </w:rPr>
        <w:t>J. Clin. Med.</w:t>
      </w:r>
      <w:r>
        <w:t xml:space="preserve"> </w:t>
      </w:r>
      <w:r>
        <w:rPr>
          <w:b/>
          <w:bCs/>
        </w:rPr>
        <w:t>10</w:t>
      </w:r>
      <w:r>
        <w:t>, 959 (2021).</w:t>
      </w:r>
    </w:p>
    <w:p w:rsidR="00675192" w:rsidRDefault="00820F0F">
      <w:pPr>
        <w:pStyle w:val="Bibliography"/>
      </w:pPr>
      <w:bookmarkStart w:id="44" w:name="ref-Rossen2015"/>
      <w:bookmarkEnd w:id="43"/>
      <w:r>
        <w:t xml:space="preserve">7. </w:t>
      </w:r>
      <w:r>
        <w:tab/>
        <w:t xml:space="preserve">Rossen, N. G. </w:t>
      </w:r>
      <w:r>
        <w:rPr>
          <w:i/>
          <w:iCs/>
        </w:rPr>
        <w:t>et al.</w:t>
      </w:r>
      <w:r>
        <w:t xml:space="preserve"> Findings From a Randomized Controlled Trial of Fecal Transplantation for Patients With Ulcerative Colitis. </w:t>
      </w:r>
      <w:r>
        <w:rPr>
          <w:i/>
          <w:iCs/>
        </w:rPr>
        <w:t>Gastroenterology</w:t>
      </w:r>
      <w:r>
        <w:t xml:space="preserve"> </w:t>
      </w:r>
      <w:r>
        <w:rPr>
          <w:b/>
          <w:bCs/>
        </w:rPr>
        <w:t>149</w:t>
      </w:r>
      <w:r>
        <w:t>, 110–118 (2015).</w:t>
      </w:r>
    </w:p>
    <w:p w:rsidR="00675192" w:rsidRDefault="00820F0F">
      <w:pPr>
        <w:pStyle w:val="Bibliography"/>
      </w:pPr>
      <w:bookmarkStart w:id="45" w:name="ref-Moayyedi2015"/>
      <w:bookmarkEnd w:id="44"/>
      <w:r>
        <w:t xml:space="preserve">8. </w:t>
      </w:r>
      <w:r>
        <w:tab/>
        <w:t xml:space="preserve">Moayyedi, P. </w:t>
      </w:r>
      <w:r>
        <w:rPr>
          <w:i/>
          <w:iCs/>
        </w:rPr>
        <w:t>et al.</w:t>
      </w:r>
      <w:r>
        <w:t xml:space="preserve"> Fecal Microbiota Transplantation Induces Remission in Patients With Active Ulcerative Colitis in a Randomized Controlled Trial. </w:t>
      </w:r>
      <w:r>
        <w:rPr>
          <w:i/>
          <w:iCs/>
        </w:rPr>
        <w:t>Gastroenterology</w:t>
      </w:r>
      <w:r>
        <w:t xml:space="preserve"> </w:t>
      </w:r>
      <w:r>
        <w:rPr>
          <w:b/>
          <w:bCs/>
        </w:rPr>
        <w:t>149</w:t>
      </w:r>
      <w:r>
        <w:t>, 102–109 (2015).</w:t>
      </w:r>
    </w:p>
    <w:p w:rsidR="00675192" w:rsidRDefault="00820F0F">
      <w:pPr>
        <w:pStyle w:val="Bibliography"/>
      </w:pPr>
      <w:bookmarkStart w:id="46" w:name="ref-Paramsothy2017"/>
      <w:bookmarkEnd w:id="45"/>
      <w:r>
        <w:t xml:space="preserve">9. </w:t>
      </w:r>
      <w:r>
        <w:tab/>
        <w:t xml:space="preserve">Paramsothy, S. </w:t>
      </w:r>
      <w:r>
        <w:rPr>
          <w:i/>
          <w:iCs/>
        </w:rPr>
        <w:t>et al.</w:t>
      </w:r>
      <w:r>
        <w:t xml:space="preserve"> Multidonor intensive faecal microbiota transplantation for active ulcerative colitis: A randomised placebo-controlled trial. </w:t>
      </w:r>
      <w:r>
        <w:rPr>
          <w:i/>
          <w:iCs/>
        </w:rPr>
        <w:t>The Lancet</w:t>
      </w:r>
      <w:r>
        <w:t xml:space="preserve"> </w:t>
      </w:r>
      <w:r>
        <w:rPr>
          <w:b/>
          <w:bCs/>
        </w:rPr>
        <w:t>389</w:t>
      </w:r>
      <w:r>
        <w:t>, 1218–1228 (2017).</w:t>
      </w:r>
    </w:p>
    <w:p w:rsidR="00675192" w:rsidRDefault="00820F0F">
      <w:pPr>
        <w:pStyle w:val="Bibliography"/>
      </w:pPr>
      <w:bookmarkStart w:id="47" w:name="ref-Costello2019"/>
      <w:bookmarkEnd w:id="46"/>
      <w:r>
        <w:t xml:space="preserve">10. </w:t>
      </w:r>
      <w:r>
        <w:tab/>
        <w:t xml:space="preserve">Costello, S. P. </w:t>
      </w:r>
      <w:r>
        <w:rPr>
          <w:i/>
          <w:iCs/>
        </w:rPr>
        <w:t>et al.</w:t>
      </w:r>
      <w:r>
        <w:t xml:space="preserve"> Effect of Fecal Microbiota Transplantation on 8-Week Remission in Patients With Ulcerative Colitis: A Randomized Clinical Trial. </w:t>
      </w:r>
      <w:r>
        <w:rPr>
          <w:i/>
          <w:iCs/>
        </w:rPr>
        <w:t>JAMA</w:t>
      </w:r>
      <w:r>
        <w:t xml:space="preserve"> </w:t>
      </w:r>
      <w:r>
        <w:rPr>
          <w:b/>
          <w:bCs/>
        </w:rPr>
        <w:t>321</w:t>
      </w:r>
      <w:r>
        <w:t>, 156–164 (2019).</w:t>
      </w:r>
    </w:p>
    <w:p w:rsidR="00675192" w:rsidRDefault="00820F0F">
      <w:pPr>
        <w:pStyle w:val="Bibliography"/>
      </w:pPr>
      <w:bookmarkStart w:id="48" w:name="ref-Ni2017"/>
      <w:bookmarkEnd w:id="47"/>
      <w:r>
        <w:t xml:space="preserve">11. </w:t>
      </w:r>
      <w:r>
        <w:tab/>
        <w:t xml:space="preserve">Ni, J., Wu, G. D., Albenberg, L. &amp; Tomov, V. T. Gut microbiota and IBD: Causation or correlation? </w:t>
      </w:r>
      <w:r>
        <w:rPr>
          <w:i/>
          <w:iCs/>
        </w:rPr>
        <w:t>Nat. Rev. Gastroenterol. Hepatol.</w:t>
      </w:r>
      <w:r>
        <w:t xml:space="preserve"> </w:t>
      </w:r>
      <w:r>
        <w:rPr>
          <w:b/>
          <w:bCs/>
        </w:rPr>
        <w:t>14</w:t>
      </w:r>
      <w:r>
        <w:t>, 573–584 (2017).</w:t>
      </w:r>
    </w:p>
    <w:p w:rsidR="00675192" w:rsidRDefault="00820F0F">
      <w:pPr>
        <w:pStyle w:val="Bibliography"/>
      </w:pPr>
      <w:bookmarkStart w:id="49" w:name="ref-Khan2019"/>
      <w:bookmarkEnd w:id="48"/>
      <w:r>
        <w:t xml:space="preserve">12. </w:t>
      </w:r>
      <w:r>
        <w:tab/>
        <w:t xml:space="preserve">Khan, I. </w:t>
      </w:r>
      <w:r>
        <w:rPr>
          <w:i/>
          <w:iCs/>
        </w:rPr>
        <w:t>et al.</w:t>
      </w:r>
      <w:r>
        <w:t xml:space="preserve"> Alteration of Gut Microbiota in Inflammatory Bowel Disease (IBD): Cause or Consequence? IBD Treatment Targeting the Gut Microbiome. </w:t>
      </w:r>
      <w:r>
        <w:rPr>
          <w:i/>
          <w:iCs/>
        </w:rPr>
        <w:t>Pathogens</w:t>
      </w:r>
      <w:r>
        <w:t xml:space="preserve"> </w:t>
      </w:r>
      <w:r>
        <w:rPr>
          <w:b/>
          <w:bCs/>
        </w:rPr>
        <w:t>8</w:t>
      </w:r>
      <w:r>
        <w:t>, 126 (2019).</w:t>
      </w:r>
    </w:p>
    <w:p w:rsidR="00675192" w:rsidRDefault="00820F0F">
      <w:pPr>
        <w:pStyle w:val="Bibliography"/>
      </w:pPr>
      <w:bookmarkStart w:id="50" w:name="ref-Ishikawa2017"/>
      <w:bookmarkEnd w:id="49"/>
      <w:r>
        <w:t xml:space="preserve">13. </w:t>
      </w:r>
      <w:r>
        <w:tab/>
        <w:t xml:space="preserve">Ishikawa, D. </w:t>
      </w:r>
      <w:r>
        <w:rPr>
          <w:i/>
          <w:iCs/>
        </w:rPr>
        <w:t>et al.</w:t>
      </w:r>
      <w:r>
        <w:t xml:space="preserve"> Changes in Intestinal Microbiota Following Combination Therapy with Fecal Microbial Transplantation and Antibiotics for Ulcerative Colitis. </w:t>
      </w:r>
      <w:r>
        <w:rPr>
          <w:i/>
          <w:iCs/>
        </w:rPr>
        <w:t>Inflamm Bowel Dis</w:t>
      </w:r>
      <w:r>
        <w:t xml:space="preserve"> </w:t>
      </w:r>
      <w:r>
        <w:rPr>
          <w:b/>
          <w:bCs/>
        </w:rPr>
        <w:t>23</w:t>
      </w:r>
      <w:r>
        <w:t>, 116–125 (2017).</w:t>
      </w:r>
    </w:p>
    <w:p w:rsidR="00675192" w:rsidRDefault="00820F0F">
      <w:pPr>
        <w:pStyle w:val="Bibliography"/>
      </w:pPr>
      <w:bookmarkStart w:id="51" w:name="ref-Kump2018"/>
      <w:bookmarkEnd w:id="50"/>
      <w:r>
        <w:t xml:space="preserve">14. </w:t>
      </w:r>
      <w:r>
        <w:tab/>
        <w:t xml:space="preserve">Kump, P. </w:t>
      </w:r>
      <w:r>
        <w:rPr>
          <w:i/>
          <w:iCs/>
        </w:rPr>
        <w:t>et al.</w:t>
      </w:r>
      <w:r>
        <w:t xml:space="preserve"> The taxonomic composition of the donor intestinal microbiota is a major factor influencing the efficacy of faecal microbiota transplantation in therapy refractory ulcerative colitis. </w:t>
      </w:r>
      <w:r>
        <w:rPr>
          <w:i/>
          <w:iCs/>
        </w:rPr>
        <w:t>Aliment. Pharmacol. Ther.</w:t>
      </w:r>
      <w:r>
        <w:t xml:space="preserve"> </w:t>
      </w:r>
      <w:r>
        <w:rPr>
          <w:b/>
          <w:bCs/>
        </w:rPr>
        <w:t>47</w:t>
      </w:r>
      <w:r>
        <w:t>, 67–77 (2018).</w:t>
      </w:r>
    </w:p>
    <w:p w:rsidR="00675192" w:rsidRDefault="00820F0F">
      <w:pPr>
        <w:pStyle w:val="Bibliography"/>
      </w:pPr>
      <w:bookmarkStart w:id="52" w:name="ref-Kao2017"/>
      <w:bookmarkEnd w:id="51"/>
      <w:r>
        <w:t xml:space="preserve">15. </w:t>
      </w:r>
      <w:r>
        <w:tab/>
        <w:t xml:space="preserve">Kao, D. </w:t>
      </w:r>
      <w:r>
        <w:rPr>
          <w:i/>
          <w:iCs/>
        </w:rPr>
        <w:t>et al.</w:t>
      </w:r>
      <w:r>
        <w:t xml:space="preserve"> Effect of oral capsule vs colonoscopy-delivered fecal microbiota transplantation on recurrent Clostridium difficile infection: A randomized clinical trial. </w:t>
      </w:r>
      <w:r>
        <w:rPr>
          <w:i/>
          <w:iCs/>
        </w:rPr>
        <w:t>JAMA - J. Am. Med. Assoc.</w:t>
      </w:r>
      <w:r>
        <w:t xml:space="preserve"> </w:t>
      </w:r>
      <w:r>
        <w:rPr>
          <w:b/>
          <w:bCs/>
        </w:rPr>
        <w:t>318</w:t>
      </w:r>
      <w:r>
        <w:t>, 1985–1993 (2017).</w:t>
      </w:r>
    </w:p>
    <w:p w:rsidR="00675192" w:rsidRDefault="00820F0F">
      <w:pPr>
        <w:pStyle w:val="Bibliography"/>
      </w:pPr>
      <w:bookmarkStart w:id="53" w:name="ref-Adler2019"/>
      <w:bookmarkEnd w:id="52"/>
      <w:r>
        <w:t xml:space="preserve">16. </w:t>
      </w:r>
      <w:r>
        <w:tab/>
        <w:t xml:space="preserve">Adler, E. </w:t>
      </w:r>
      <w:r>
        <w:rPr>
          <w:i/>
          <w:iCs/>
        </w:rPr>
        <w:t>et al.</w:t>
      </w:r>
      <w:r>
        <w:t xml:space="preserve"> Capsule-Delivered Fecal Microbiota Transplant Is Safe and Well Tolerated in Patients with Ulcerative Colitis. </w:t>
      </w:r>
      <w:r>
        <w:rPr>
          <w:i/>
          <w:iCs/>
        </w:rPr>
        <w:t>Dig Dis Sci</w:t>
      </w:r>
      <w:r>
        <w:t xml:space="preserve"> </w:t>
      </w:r>
      <w:r>
        <w:rPr>
          <w:b/>
          <w:bCs/>
        </w:rPr>
        <w:t>64</w:t>
      </w:r>
      <w:r>
        <w:t>, 2452–2454 (2019).</w:t>
      </w:r>
    </w:p>
    <w:p w:rsidR="00675192" w:rsidRDefault="00820F0F">
      <w:pPr>
        <w:pStyle w:val="Bibliography"/>
      </w:pPr>
      <w:bookmarkStart w:id="54" w:name="ref-CrothersJessicaWood2020"/>
      <w:bookmarkEnd w:id="53"/>
      <w:r>
        <w:t xml:space="preserve">17. </w:t>
      </w:r>
      <w:r>
        <w:tab/>
        <w:t>Crothers, Jessica Wood &amp; TODO. Daily, Oral FMT for Long-Term Maintenance Therapy in Ulcerative Colitis: Results of a Single-Center, Prospective, Randomized Pilot Study. (2020) doi:</w:t>
      </w:r>
      <w:hyperlink r:id="rId15">
        <w:r>
          <w:rPr>
            <w:rStyle w:val="Hyperlink"/>
          </w:rPr>
          <w:t>10.21203/rs.3.rs-62372/v1</w:t>
        </w:r>
      </w:hyperlink>
      <w:r>
        <w:t>.</w:t>
      </w:r>
    </w:p>
    <w:p w:rsidR="00675192" w:rsidRDefault="00820F0F">
      <w:pPr>
        <w:pStyle w:val="Bibliography"/>
      </w:pPr>
      <w:bookmarkStart w:id="55" w:name="ref-Cold2019"/>
      <w:bookmarkEnd w:id="54"/>
      <w:r>
        <w:lastRenderedPageBreak/>
        <w:t xml:space="preserve">18. </w:t>
      </w:r>
      <w:r>
        <w:tab/>
        <w:t xml:space="preserve">Cold, F. </w:t>
      </w:r>
      <w:r>
        <w:rPr>
          <w:i/>
          <w:iCs/>
        </w:rPr>
        <w:t>et al.</w:t>
      </w:r>
      <w:r>
        <w:t xml:space="preserve"> Multidonor FMT capsules improve symptoms and decrease fecal calprotectin in ulcerative colitis patients while treated  an open-label pilot study. </w:t>
      </w:r>
      <w:r>
        <w:rPr>
          <w:i/>
          <w:iCs/>
        </w:rPr>
        <w:t>Scand. J. Gastroenterol.</w:t>
      </w:r>
      <w:r>
        <w:t xml:space="preserve"> </w:t>
      </w:r>
      <w:r>
        <w:rPr>
          <w:b/>
          <w:bCs/>
        </w:rPr>
        <w:t>54</w:t>
      </w:r>
      <w:r>
        <w:t>, 289–296 (2019).</w:t>
      </w:r>
    </w:p>
    <w:p w:rsidR="00675192" w:rsidRDefault="00820F0F">
      <w:pPr>
        <w:pStyle w:val="Bibliography"/>
      </w:pPr>
      <w:bookmarkStart w:id="56" w:name="ref-Borody2019"/>
      <w:bookmarkEnd w:id="55"/>
      <w:r>
        <w:t xml:space="preserve">19. </w:t>
      </w:r>
      <w:r>
        <w:tab/>
        <w:t xml:space="preserve">Borody, T. J. &amp; Clancy, A. Fecal microbiota transplantation for ulcerative colitiswhere to from here? </w:t>
      </w:r>
      <w:r>
        <w:rPr>
          <w:i/>
          <w:iCs/>
        </w:rPr>
        <w:t>Transl Gastroenterol Hepatol</w:t>
      </w:r>
      <w:r>
        <w:t xml:space="preserve"> </w:t>
      </w:r>
      <w:r>
        <w:rPr>
          <w:b/>
          <w:bCs/>
        </w:rPr>
        <w:t>4</w:t>
      </w:r>
      <w:r>
        <w:t>, (2019).</w:t>
      </w:r>
    </w:p>
    <w:p w:rsidR="00675192" w:rsidRDefault="00820F0F">
      <w:pPr>
        <w:pStyle w:val="Bibliography"/>
      </w:pPr>
      <w:bookmarkStart w:id="57" w:name="ref-Bibbo2020"/>
      <w:bookmarkEnd w:id="56"/>
      <w:r>
        <w:t xml:space="preserve">20. </w:t>
      </w:r>
      <w:r>
        <w:tab/>
        <w:t xml:space="preserve">Bibbò, S. </w:t>
      </w:r>
      <w:r>
        <w:rPr>
          <w:i/>
          <w:iCs/>
        </w:rPr>
        <w:t>et al.</w:t>
      </w:r>
      <w:r>
        <w:t xml:space="preserve"> Fecal Microbiota Transplantation: Screening and Selection to Choose the Optimal Donor. </w:t>
      </w:r>
      <w:r>
        <w:rPr>
          <w:i/>
          <w:iCs/>
        </w:rPr>
        <w:t>J Clin Med</w:t>
      </w:r>
      <w:r>
        <w:t xml:space="preserve"> </w:t>
      </w:r>
      <w:r>
        <w:rPr>
          <w:b/>
          <w:bCs/>
        </w:rPr>
        <w:t>9</w:t>
      </w:r>
      <w:r>
        <w:t>, (2020).</w:t>
      </w:r>
    </w:p>
    <w:p w:rsidR="00675192" w:rsidRDefault="00820F0F">
      <w:pPr>
        <w:pStyle w:val="Bibliography"/>
      </w:pPr>
      <w:bookmarkStart w:id="58" w:name="ref-Singh2020"/>
      <w:bookmarkEnd w:id="57"/>
      <w:r>
        <w:t xml:space="preserve">21. </w:t>
      </w:r>
      <w:r>
        <w:tab/>
        <w:t xml:space="preserve">Singh, A., Mahajan, R., Kao, D., Midha, V. &amp; Sood, A. Long term management of ulcerative colitis with Faecal Microbiota Transplantation. </w:t>
      </w:r>
      <w:r>
        <w:rPr>
          <w:i/>
          <w:iCs/>
        </w:rPr>
        <w:t>Medicine in Microecology</w:t>
      </w:r>
      <w:r>
        <w:t xml:space="preserve"> </w:t>
      </w:r>
      <w:r>
        <w:rPr>
          <w:b/>
          <w:bCs/>
        </w:rPr>
        <w:t>6</w:t>
      </w:r>
      <w:r>
        <w:t>, 100026 (2020).</w:t>
      </w:r>
    </w:p>
    <w:p w:rsidR="00675192" w:rsidRDefault="00820F0F">
      <w:pPr>
        <w:pStyle w:val="Bibliography"/>
      </w:pPr>
      <w:bookmarkStart w:id="59" w:name="ref-Smillie2018"/>
      <w:bookmarkEnd w:id="58"/>
      <w:r>
        <w:t xml:space="preserve">22. </w:t>
      </w:r>
      <w:r>
        <w:tab/>
        <w:t xml:space="preserve">Smillie, C. S. </w:t>
      </w:r>
      <w:r>
        <w:rPr>
          <w:i/>
          <w:iCs/>
        </w:rPr>
        <w:t>et al.</w:t>
      </w:r>
      <w:r>
        <w:t xml:space="preserve"> Strain Tracking Reveals the Determinants of Bacterial Engraftment in the Human Gut Following Fecal Microbiota Transplantation. </w:t>
      </w:r>
      <w:r>
        <w:rPr>
          <w:i/>
          <w:iCs/>
        </w:rPr>
        <w:t>Cell Host Microbe</w:t>
      </w:r>
      <w:r>
        <w:t xml:space="preserve"> </w:t>
      </w:r>
      <w:r>
        <w:rPr>
          <w:b/>
          <w:bCs/>
        </w:rPr>
        <w:t>23</w:t>
      </w:r>
      <w:r>
        <w:t>, 229–240.e5 (2018).</w:t>
      </w:r>
    </w:p>
    <w:p w:rsidR="00675192" w:rsidRDefault="00820F0F">
      <w:pPr>
        <w:pStyle w:val="Bibliography"/>
      </w:pPr>
      <w:bookmarkStart w:id="60" w:name="ref-Chu2019"/>
      <w:bookmarkEnd w:id="59"/>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16">
        <w:r>
          <w:rPr>
            <w:rStyle w:val="Hyperlink"/>
          </w:rPr>
          <w:t>10.1101/649384</w:t>
        </w:r>
      </w:hyperlink>
      <w:r>
        <w:t>.</w:t>
      </w:r>
    </w:p>
    <w:p w:rsidR="00675192" w:rsidRDefault="00820F0F">
      <w:pPr>
        <w:pStyle w:val="Bibliography"/>
      </w:pPr>
      <w:bookmarkStart w:id="61" w:name="ref-Johnson2019a"/>
      <w:bookmarkEnd w:id="60"/>
      <w:r>
        <w:t xml:space="preserve">24. </w:t>
      </w:r>
      <w:r>
        <w:tab/>
        <w:t xml:space="preserve">Johnson, J. S. </w:t>
      </w:r>
      <w:r>
        <w:rPr>
          <w:i/>
          <w:iCs/>
        </w:rPr>
        <w:t>et al.</w:t>
      </w:r>
      <w:r>
        <w:t xml:space="preserve"> Evaluation of 16S rRNA gene sequencing for species and strain-level microbiome analysis. </w:t>
      </w:r>
      <w:r>
        <w:rPr>
          <w:i/>
          <w:iCs/>
        </w:rPr>
        <w:t>Nat Commun</w:t>
      </w:r>
      <w:r>
        <w:t xml:space="preserve"> </w:t>
      </w:r>
      <w:r>
        <w:rPr>
          <w:b/>
          <w:bCs/>
        </w:rPr>
        <w:t>10</w:t>
      </w:r>
      <w:r>
        <w:t>, 5029 (2019).</w:t>
      </w:r>
    </w:p>
    <w:p w:rsidR="00675192" w:rsidRDefault="00820F0F">
      <w:pPr>
        <w:pStyle w:val="Bibliography"/>
      </w:pPr>
      <w:bookmarkStart w:id="62" w:name="ref-Paramsothy2019"/>
      <w:bookmarkEnd w:id="61"/>
      <w:r>
        <w:t xml:space="preserve">25. </w:t>
      </w:r>
      <w:r>
        <w:tab/>
        <w:t xml:space="preserve">Paramsothy, S. </w:t>
      </w:r>
      <w:r>
        <w:rPr>
          <w:i/>
          <w:iCs/>
        </w:rPr>
        <w:t>et al.</w:t>
      </w:r>
      <w:r>
        <w:t xml:space="preserve"> Specific Bacteria and Metabolites Associated With Response to Fecal Microbiota Transplantation in Patients With Ulcerative Colitis. </w:t>
      </w:r>
      <w:r>
        <w:rPr>
          <w:i/>
          <w:iCs/>
        </w:rPr>
        <w:t>Gastroenterology</w:t>
      </w:r>
      <w:r>
        <w:t xml:space="preserve"> </w:t>
      </w:r>
      <w:r>
        <w:rPr>
          <w:b/>
          <w:bCs/>
        </w:rPr>
        <w:t>156</w:t>
      </w:r>
      <w:r>
        <w:t>, 1440–1454.e2 (2019).</w:t>
      </w:r>
    </w:p>
    <w:p w:rsidR="00675192" w:rsidRDefault="00820F0F">
      <w:pPr>
        <w:pStyle w:val="Bibliography"/>
      </w:pPr>
      <w:bookmarkStart w:id="63" w:name="ref-Labbe2014"/>
      <w:bookmarkEnd w:id="62"/>
      <w:r>
        <w:t xml:space="preserve">26. </w:t>
      </w:r>
      <w:r>
        <w:tab/>
        <w:t xml:space="preserve">Labbé, A., Ganopolsky, J. G., Martoni, C. J., Prakash, S. &amp; Jones, M. L. Bacterial Bile Metabolising Gene Abundance in Crohn’s, Ulcerative Colitis and Type 2 Diabetes Metagenomes. </w:t>
      </w:r>
      <w:r>
        <w:rPr>
          <w:i/>
          <w:iCs/>
        </w:rPr>
        <w:t>PLOS ONE</w:t>
      </w:r>
      <w:r>
        <w:t xml:space="preserve"> </w:t>
      </w:r>
      <w:r>
        <w:rPr>
          <w:b/>
          <w:bCs/>
        </w:rPr>
        <w:t>9</w:t>
      </w:r>
      <w:r>
        <w:t>, e115175 (2014).</w:t>
      </w:r>
    </w:p>
    <w:p w:rsidR="00675192" w:rsidRDefault="00820F0F">
      <w:pPr>
        <w:pStyle w:val="Bibliography"/>
      </w:pPr>
      <w:bookmarkStart w:id="64" w:name="ref-Tiratterra2018"/>
      <w:bookmarkEnd w:id="63"/>
      <w:r>
        <w:t xml:space="preserve">27. </w:t>
      </w:r>
      <w:r>
        <w:tab/>
        <w:t xml:space="preserve">Tiratterra, E. </w:t>
      </w:r>
      <w:r>
        <w:rPr>
          <w:i/>
          <w:iCs/>
        </w:rPr>
        <w:t>et al.</w:t>
      </w:r>
      <w:r>
        <w:t xml:space="preserve"> Role of bile acids in inflammatory bowel disease. </w:t>
      </w:r>
      <w:r>
        <w:rPr>
          <w:i/>
          <w:iCs/>
        </w:rPr>
        <w:t>Ann Gastroenterol</w:t>
      </w:r>
      <w:r>
        <w:t xml:space="preserve"> </w:t>
      </w:r>
      <w:r>
        <w:rPr>
          <w:b/>
          <w:bCs/>
        </w:rPr>
        <w:t>31</w:t>
      </w:r>
      <w:r>
        <w:t>, 266–272 (2018).</w:t>
      </w:r>
    </w:p>
    <w:p w:rsidR="00675192" w:rsidRDefault="00820F0F">
      <w:pPr>
        <w:pStyle w:val="Bibliography"/>
      </w:pPr>
      <w:bookmarkStart w:id="65" w:name="ref-Heinken2019"/>
      <w:bookmarkEnd w:id="64"/>
      <w:r>
        <w:t xml:space="preserve">28. </w:t>
      </w:r>
      <w:r>
        <w:tab/>
        <w:t xml:space="preserve">Heinken, A. </w:t>
      </w:r>
      <w:r>
        <w:rPr>
          <w:i/>
          <w:iCs/>
        </w:rPr>
        <w:t>et al.</w:t>
      </w:r>
      <w:r>
        <w:t xml:space="preserve"> Systematic assessment of secondary bile acid metabolism in gut microbes reveals distinct metabolic capabilities in inflammatory bowel disease. </w:t>
      </w:r>
      <w:r>
        <w:rPr>
          <w:i/>
          <w:iCs/>
        </w:rPr>
        <w:t>Microbiome</w:t>
      </w:r>
      <w:r>
        <w:t xml:space="preserve"> </w:t>
      </w:r>
      <w:r>
        <w:rPr>
          <w:b/>
          <w:bCs/>
        </w:rPr>
        <w:t>7</w:t>
      </w:r>
      <w:r>
        <w:t>, 75 (2019).</w:t>
      </w:r>
    </w:p>
    <w:p w:rsidR="00675192" w:rsidRDefault="00820F0F">
      <w:pPr>
        <w:pStyle w:val="Bibliography"/>
      </w:pPr>
      <w:bookmarkStart w:id="66" w:name="ref-Vaughn2019"/>
      <w:bookmarkEnd w:id="65"/>
      <w:r>
        <w:t xml:space="preserve">29. </w:t>
      </w:r>
      <w:r>
        <w:tab/>
        <w:t xml:space="preserve">Vaughn, B. P. </w:t>
      </w:r>
      <w:r>
        <w:rPr>
          <w:i/>
          <w:iCs/>
        </w:rPr>
        <w:t>et al.</w:t>
      </w:r>
      <w:r>
        <w:t xml:space="preserve"> A pilot study of fecal bile acid and microbiota profiles in inflammatory bowel disease and primary sclerosing cholangitis. </w:t>
      </w:r>
      <w:r>
        <w:rPr>
          <w:i/>
          <w:iCs/>
        </w:rPr>
        <w:t>Clin Exp Gastroenterol</w:t>
      </w:r>
      <w:r>
        <w:t xml:space="preserve"> </w:t>
      </w:r>
      <w:r>
        <w:rPr>
          <w:b/>
          <w:bCs/>
        </w:rPr>
        <w:t>12</w:t>
      </w:r>
      <w:r>
        <w:t>, 9–19 (2019).</w:t>
      </w:r>
    </w:p>
    <w:p w:rsidR="00675192" w:rsidRDefault="00820F0F">
      <w:pPr>
        <w:pStyle w:val="Bibliography"/>
      </w:pPr>
      <w:bookmarkStart w:id="67" w:name="ref-Lavelle2020"/>
      <w:bookmarkEnd w:id="66"/>
      <w:r>
        <w:t xml:space="preserve">30. </w:t>
      </w:r>
      <w:r>
        <w:tab/>
        <w:t xml:space="preserve">Lavelle, A. &amp; Sokol, H. Gut microbiota-derived metabolites as key actors in inflammatory bowel disease. </w:t>
      </w:r>
      <w:r>
        <w:rPr>
          <w:i/>
          <w:iCs/>
        </w:rPr>
        <w:t>Nat. Rev. Gastroenterol. Hepatol.</w:t>
      </w:r>
      <w:r>
        <w:t xml:space="preserve"> </w:t>
      </w:r>
      <w:r>
        <w:rPr>
          <w:b/>
          <w:bCs/>
        </w:rPr>
        <w:t>17</w:t>
      </w:r>
      <w:r>
        <w:t>, 223–237 (2020).</w:t>
      </w:r>
    </w:p>
    <w:p w:rsidR="00675192" w:rsidRDefault="00820F0F">
      <w:pPr>
        <w:pStyle w:val="Bibliography"/>
      </w:pPr>
      <w:bookmarkStart w:id="68" w:name="ref-Sinha2020"/>
      <w:bookmarkEnd w:id="67"/>
      <w:r>
        <w:t xml:space="preserve">31. </w:t>
      </w:r>
      <w:r>
        <w:tab/>
        <w:t xml:space="preserve">Sinha, S. R. </w:t>
      </w:r>
      <w:r>
        <w:rPr>
          <w:i/>
          <w:iCs/>
        </w:rPr>
        <w:t>et al.</w:t>
      </w:r>
      <w:r>
        <w:t xml:space="preserve"> Dysbiosis-Induced Secondary Bile Acid Deficiency Promotes Intestinal Inflammation. </w:t>
      </w:r>
      <w:r>
        <w:rPr>
          <w:i/>
          <w:iCs/>
        </w:rPr>
        <w:t>Cell Host &amp; Microbe</w:t>
      </w:r>
      <w:r>
        <w:t xml:space="preserve"> </w:t>
      </w:r>
      <w:r>
        <w:rPr>
          <w:b/>
          <w:bCs/>
        </w:rPr>
        <w:t>27</w:t>
      </w:r>
      <w:r>
        <w:t>, 659–670.e5 (2020).</w:t>
      </w:r>
    </w:p>
    <w:p w:rsidR="00675192" w:rsidRDefault="00820F0F">
      <w:pPr>
        <w:pStyle w:val="Bibliography"/>
      </w:pPr>
      <w:bookmarkStart w:id="69" w:name="ref-Sun2021"/>
      <w:bookmarkEnd w:id="68"/>
      <w:r>
        <w:t xml:space="preserve">32. </w:t>
      </w:r>
      <w:r>
        <w:tab/>
        <w:t xml:space="preserve">Sun, R., Xu, C., Feng, B., Gao, X. &amp; Liu, Z. Critical roles of bile acids in regulating intestinal mucosal immune responses. </w:t>
      </w:r>
      <w:r>
        <w:rPr>
          <w:i/>
          <w:iCs/>
        </w:rPr>
        <w:t>Therap Adv Gastroenterol</w:t>
      </w:r>
      <w:r>
        <w:t xml:space="preserve"> </w:t>
      </w:r>
      <w:r>
        <w:rPr>
          <w:b/>
          <w:bCs/>
        </w:rPr>
        <w:t>14</w:t>
      </w:r>
      <w:r>
        <w:t>, 17562848211018098 (2021).</w:t>
      </w:r>
    </w:p>
    <w:p w:rsidR="00675192" w:rsidRDefault="00820F0F">
      <w:pPr>
        <w:pStyle w:val="Bibliography"/>
      </w:pPr>
      <w:bookmarkStart w:id="70" w:name="ref-Fiorucci2021"/>
      <w:bookmarkEnd w:id="69"/>
      <w:r>
        <w:t xml:space="preserve">33. </w:t>
      </w:r>
      <w:r>
        <w:tab/>
        <w:t xml:space="preserve">Fiorucci, S. </w:t>
      </w:r>
      <w:r>
        <w:rPr>
          <w:i/>
          <w:iCs/>
        </w:rPr>
        <w:t>et al.</w:t>
      </w:r>
      <w:r>
        <w:t xml:space="preserve"> Bile Acid Signaling in Inflammatory Bowel Diseases. </w:t>
      </w:r>
      <w:r>
        <w:rPr>
          <w:i/>
          <w:iCs/>
        </w:rPr>
        <w:t>Dig Dis Sci</w:t>
      </w:r>
      <w:r>
        <w:t xml:space="preserve"> </w:t>
      </w:r>
      <w:r>
        <w:rPr>
          <w:b/>
          <w:bCs/>
        </w:rPr>
        <w:t>66</w:t>
      </w:r>
      <w:r>
        <w:t>, 674–693 (2021).</w:t>
      </w:r>
    </w:p>
    <w:p w:rsidR="00675192" w:rsidRDefault="00820F0F">
      <w:pPr>
        <w:pStyle w:val="Bibliography"/>
      </w:pPr>
      <w:bookmarkStart w:id="71" w:name="ref-Yang2021"/>
      <w:bookmarkEnd w:id="70"/>
      <w:r>
        <w:lastRenderedPageBreak/>
        <w:t xml:space="preserve">34. </w:t>
      </w:r>
      <w:r>
        <w:tab/>
        <w:t xml:space="preserve">Yang, Z.-H. </w:t>
      </w:r>
      <w:r>
        <w:rPr>
          <w:i/>
          <w:iCs/>
        </w:rPr>
        <w:t>et al.</w:t>
      </w:r>
      <w:r>
        <w:t xml:space="preserve"> Altered profiles of fecal bile acids correlate with gut microbiota and inflammatory responses in patients with ulcerative colitis. </w:t>
      </w:r>
      <w:r>
        <w:rPr>
          <w:i/>
          <w:iCs/>
        </w:rPr>
        <w:t>World J Gastroenterol</w:t>
      </w:r>
      <w:r>
        <w:t xml:space="preserve"> </w:t>
      </w:r>
      <w:r>
        <w:rPr>
          <w:b/>
          <w:bCs/>
        </w:rPr>
        <w:t>27</w:t>
      </w:r>
      <w:r>
        <w:t>, 3609–3629 (2021).</w:t>
      </w:r>
    </w:p>
    <w:p w:rsidR="00675192" w:rsidRDefault="00820F0F">
      <w:pPr>
        <w:pStyle w:val="Bibliography"/>
      </w:pPr>
      <w:bookmarkStart w:id="72" w:name="ref-Schroeder1987"/>
      <w:bookmarkEnd w:id="71"/>
      <w:r>
        <w:t xml:space="preserve">35. </w:t>
      </w:r>
      <w:r>
        <w:tab/>
        <w:t xml:space="preserve">Schroeder, K. W., Tremaine, W. J. &amp; Ilstrup, D. M. Coated Oral 5-Aminosalicylic Acid Therapy for Mildly to Moderately Active Ulcerative Colitis. </w:t>
      </w:r>
      <w:r>
        <w:rPr>
          <w:i/>
          <w:iCs/>
        </w:rPr>
        <w:t>N. Engl. J. Med.</w:t>
      </w:r>
      <w:r>
        <w:t xml:space="preserve"> </w:t>
      </w:r>
      <w:r>
        <w:rPr>
          <w:b/>
          <w:bCs/>
        </w:rPr>
        <w:t>317</w:t>
      </w:r>
      <w:r>
        <w:t>, 1625–1629 (1987).</w:t>
      </w:r>
    </w:p>
    <w:p w:rsidR="00675192" w:rsidRDefault="00820F0F">
      <w:pPr>
        <w:pStyle w:val="Bibliography"/>
      </w:pPr>
      <w:bookmarkStart w:id="73" w:name="ref-Shi2020"/>
      <w:bookmarkEnd w:id="72"/>
      <w:r>
        <w:t xml:space="preserve">36. </w:t>
      </w:r>
      <w:r>
        <w:tab/>
        <w:t xml:space="preserve">Shi, Z. J., Dimitrov, B., Zhao, C., Nayfach, S. &amp; Pollard, K. S. Ultra-rapid metagenotyping of the human gut microbiome. </w:t>
      </w:r>
      <w:r>
        <w:rPr>
          <w:i/>
          <w:iCs/>
        </w:rPr>
        <w:t>bioRxiv</w:t>
      </w:r>
      <w:r>
        <w:t xml:space="preserve"> 2020.06.12.149336 (2020) doi:</w:t>
      </w:r>
      <w:hyperlink r:id="rId17">
        <w:r>
          <w:rPr>
            <w:rStyle w:val="Hyperlink"/>
          </w:rPr>
          <w:t>10.1101/2020.06.12.149336</w:t>
        </w:r>
      </w:hyperlink>
      <w:r>
        <w:t>.</w:t>
      </w:r>
    </w:p>
    <w:p w:rsidR="00675192" w:rsidRDefault="00820F0F">
      <w:pPr>
        <w:pStyle w:val="Bibliography"/>
      </w:pPr>
      <w:bookmarkStart w:id="74" w:name="ref-Parks2018"/>
      <w:bookmarkEnd w:id="73"/>
      <w:r>
        <w:t xml:space="preserve">37. </w:t>
      </w:r>
      <w:r>
        <w:tab/>
        <w:t xml:space="preserve">Parks, D. H. </w:t>
      </w:r>
      <w:r>
        <w:rPr>
          <w:i/>
          <w:iCs/>
        </w:rPr>
        <w:t>et al.</w:t>
      </w:r>
      <w:r>
        <w:t xml:space="preserve"> A standardized bacterial taxonomy based on genome phylogeny substantially revises the tree of life. </w:t>
      </w:r>
      <w:r>
        <w:rPr>
          <w:i/>
          <w:iCs/>
        </w:rPr>
        <w:t>Nat. Biotechnol.</w:t>
      </w:r>
      <w:r>
        <w:t xml:space="preserve"> </w:t>
      </w:r>
      <w:r>
        <w:rPr>
          <w:b/>
          <w:bCs/>
        </w:rPr>
        <w:t>36</w:t>
      </w:r>
      <w:r>
        <w:t>, 996–1004 (2018).</w:t>
      </w:r>
    </w:p>
    <w:p w:rsidR="00675192" w:rsidRDefault="00820F0F">
      <w:pPr>
        <w:pStyle w:val="Bibliography"/>
      </w:pPr>
      <w:bookmarkStart w:id="75" w:name="ref-Parks2020"/>
      <w:bookmarkEnd w:id="74"/>
      <w:r>
        <w:t xml:space="preserve">38. </w:t>
      </w:r>
      <w:r>
        <w:tab/>
        <w:t xml:space="preserve">Parks, D. H. </w:t>
      </w:r>
      <w:r>
        <w:rPr>
          <w:i/>
          <w:iCs/>
        </w:rPr>
        <w:t>et al.</w:t>
      </w:r>
      <w:r>
        <w:t xml:space="preserve"> A complete domain-to-species taxonomy for Bacteria and Archaea. </w:t>
      </w:r>
      <w:r>
        <w:rPr>
          <w:i/>
          <w:iCs/>
        </w:rPr>
        <w:t>Nat Biotechnol</w:t>
      </w:r>
      <w:r>
        <w:t xml:space="preserve"> </w:t>
      </w:r>
      <w:r>
        <w:rPr>
          <w:b/>
          <w:bCs/>
        </w:rPr>
        <w:t>38</w:t>
      </w:r>
      <w:r>
        <w:t>, 1079–1086 (2020).</w:t>
      </w:r>
    </w:p>
    <w:p w:rsidR="00675192" w:rsidRDefault="00820F0F">
      <w:pPr>
        <w:pStyle w:val="Bibliography"/>
      </w:pPr>
      <w:bookmarkStart w:id="76" w:name="ref-Earley2019"/>
      <w:bookmarkEnd w:id="75"/>
      <w:r>
        <w:t xml:space="preserve">39. </w:t>
      </w:r>
      <w:r>
        <w:tab/>
        <w:t xml:space="preserve">Earley, H. </w:t>
      </w:r>
      <w:r>
        <w:rPr>
          <w:i/>
          <w:iCs/>
        </w:rPr>
        <w:t>et al.</w:t>
      </w:r>
      <w:r>
        <w:t xml:space="preserve"> The abundance of Akkermansia muciniphila and its relationship with sulphated colonic mucins in health and ulcerative colitis. </w:t>
      </w:r>
      <w:r>
        <w:rPr>
          <w:i/>
          <w:iCs/>
        </w:rPr>
        <w:t>Sci Rep</w:t>
      </w:r>
      <w:r>
        <w:t xml:space="preserve"> </w:t>
      </w:r>
      <w:r>
        <w:rPr>
          <w:b/>
          <w:bCs/>
        </w:rPr>
        <w:t>9</w:t>
      </w:r>
      <w:r>
        <w:t>, 15683 (2019).</w:t>
      </w:r>
    </w:p>
    <w:p w:rsidR="00675192" w:rsidRDefault="00820F0F">
      <w:pPr>
        <w:pStyle w:val="Bibliography"/>
      </w:pPr>
      <w:bookmarkStart w:id="77" w:name="ref-Bian2019"/>
      <w:bookmarkEnd w:id="76"/>
      <w:r>
        <w:t xml:space="preserve">40. </w:t>
      </w:r>
      <w:r>
        <w:tab/>
        <w:t xml:space="preserve">Bian, X. </w:t>
      </w:r>
      <w:r>
        <w:rPr>
          <w:i/>
          <w:iCs/>
        </w:rPr>
        <w:t>et al.</w:t>
      </w:r>
      <w:r>
        <w:t xml:space="preserve"> Administration of Akkermansia muciniphila Ameliorates Dextran Sulfate Sodium-Induced Ulcerative Colitis in Mice. </w:t>
      </w:r>
      <w:r>
        <w:rPr>
          <w:i/>
          <w:iCs/>
        </w:rPr>
        <w:t>Front. Microbiol.</w:t>
      </w:r>
      <w:r>
        <w:t xml:space="preserve"> </w:t>
      </w:r>
      <w:r>
        <w:rPr>
          <w:b/>
          <w:bCs/>
        </w:rPr>
        <w:t>0</w:t>
      </w:r>
      <w:r>
        <w:t>, (2019).</w:t>
      </w:r>
    </w:p>
    <w:p w:rsidR="00675192" w:rsidRDefault="00820F0F">
      <w:pPr>
        <w:pStyle w:val="Bibliography"/>
      </w:pPr>
      <w:bookmarkStart w:id="78" w:name="ref-Vital2019"/>
      <w:bookmarkEnd w:id="77"/>
      <w:r>
        <w:t xml:space="preserve">41. </w:t>
      </w:r>
      <w:r>
        <w:tab/>
        <w:t>Vital, M., Rud, T., Rath, S., Pieper, D. H. &amp; Schlüter, D. Diversity of Bacteria Exhibiting Bile Acid-inducible 7</w:t>
      </w:r>
      <m:oMath>
        <m:r>
          <w:rPr>
            <w:rFonts w:ascii="Cambria Math" w:hAnsi="Cambria Math"/>
          </w:rPr>
          <m:t>α</m:t>
        </m:r>
      </m:oMath>
      <w:r>
        <w:t xml:space="preserve">-dehydroxylation Genes in the Human Gut. </w:t>
      </w:r>
      <w:r>
        <w:rPr>
          <w:i/>
          <w:iCs/>
        </w:rPr>
        <w:t>Comput Struct Biotechnol J</w:t>
      </w:r>
      <w:r>
        <w:t xml:space="preserve"> </w:t>
      </w:r>
      <w:r>
        <w:rPr>
          <w:b/>
          <w:bCs/>
        </w:rPr>
        <w:t>17</w:t>
      </w:r>
      <w:r>
        <w:t>, 1016–1019 (2019).</w:t>
      </w:r>
    </w:p>
    <w:p w:rsidR="00675192" w:rsidRDefault="00820F0F">
      <w:pPr>
        <w:pStyle w:val="Bibliography"/>
      </w:pPr>
      <w:bookmarkStart w:id="79" w:name="ref-Song2019"/>
      <w:bookmarkEnd w:id="78"/>
      <w:r>
        <w:t xml:space="preserve">42. </w:t>
      </w:r>
      <w:r>
        <w:tab/>
        <w:t xml:space="preserve">Song, Z. </w:t>
      </w:r>
      <w:r>
        <w:rPr>
          <w:i/>
          <w:iCs/>
        </w:rPr>
        <w:t>et al.</w:t>
      </w:r>
      <w:r>
        <w:t xml:space="preserve"> Taxonomic profiling and populational patterns of bacterial bile salt hydrolase (BSH) genes based on worldwide human gut microbiome. </w:t>
      </w:r>
      <w:r>
        <w:rPr>
          <w:i/>
          <w:iCs/>
        </w:rPr>
        <w:t>Microbiome</w:t>
      </w:r>
      <w:r>
        <w:t xml:space="preserve"> </w:t>
      </w:r>
      <w:r>
        <w:rPr>
          <w:b/>
          <w:bCs/>
        </w:rPr>
        <w:t>7</w:t>
      </w:r>
      <w:r>
        <w:t>, 9 (2019).</w:t>
      </w:r>
    </w:p>
    <w:p w:rsidR="00675192" w:rsidRDefault="00820F0F">
      <w:pPr>
        <w:pStyle w:val="Bibliography"/>
      </w:pPr>
      <w:bookmarkStart w:id="80" w:name="ref-Rao2017"/>
      <w:bookmarkEnd w:id="79"/>
      <w:r>
        <w:t xml:space="preserve">43. </w:t>
      </w:r>
      <w:r>
        <w:tab/>
        <w:t xml:space="preserve">Rao, K., Young, V. B. &amp; Malani, P. N. Capsules for Fecal Microbiota Transplantation in Recurrent Clostridium difficile Infection: The New Way Forward or a Tough Pill to Swallow? </w:t>
      </w:r>
      <w:r>
        <w:rPr>
          <w:i/>
          <w:iCs/>
        </w:rPr>
        <w:t>JAMA</w:t>
      </w:r>
      <w:r>
        <w:t xml:space="preserve"> </w:t>
      </w:r>
      <w:r>
        <w:rPr>
          <w:b/>
          <w:bCs/>
        </w:rPr>
        <w:t>318</w:t>
      </w:r>
      <w:r>
        <w:t>, 1979–1980 (2017).</w:t>
      </w:r>
    </w:p>
    <w:p w:rsidR="00675192" w:rsidRDefault="00820F0F">
      <w:pPr>
        <w:pStyle w:val="Bibliography"/>
      </w:pPr>
      <w:bookmarkStart w:id="81" w:name="ref-Wilson2019"/>
      <w:bookmarkEnd w:id="80"/>
      <w:r>
        <w:t xml:space="preserve">44. </w:t>
      </w:r>
      <w:r>
        <w:tab/>
        <w:t xml:space="preserve">Wilson, B. C., Vatanen, T., Cutfield, W. S. &amp; O’Sullivan, J. M. The Super-Donor Phenomenon in Fecal Microbiota Transplantation. </w:t>
      </w:r>
      <w:r>
        <w:rPr>
          <w:i/>
          <w:iCs/>
        </w:rPr>
        <w:t>Front. Cell. Infect. Microbiol.</w:t>
      </w:r>
      <w:r>
        <w:t xml:space="preserve"> </w:t>
      </w:r>
      <w:r>
        <w:rPr>
          <w:b/>
          <w:bCs/>
        </w:rPr>
        <w:t>9</w:t>
      </w:r>
      <w:r>
        <w:t>, (2019).</w:t>
      </w:r>
    </w:p>
    <w:p w:rsidR="00675192" w:rsidRDefault="00820F0F">
      <w:pPr>
        <w:pStyle w:val="Bibliography"/>
      </w:pPr>
      <w:bookmarkStart w:id="82" w:name="ref-Anyansi2020"/>
      <w:bookmarkEnd w:id="81"/>
      <w:r>
        <w:t xml:space="preserve">45. </w:t>
      </w:r>
      <w:r>
        <w:tab/>
        <w:t xml:space="preserve">Anyansi, C., Straub, T. J., Manson, A. L., Earl, A. M. &amp; Abeel, T. Computational Methods for Strain-Level Microbial Detection in Colony and Metagenome Sequencing Data. </w:t>
      </w:r>
      <w:r>
        <w:rPr>
          <w:i/>
          <w:iCs/>
        </w:rPr>
        <w:t>Front. Microbiol.</w:t>
      </w:r>
      <w:r>
        <w:t xml:space="preserve"> </w:t>
      </w:r>
      <w:r>
        <w:rPr>
          <w:b/>
          <w:bCs/>
        </w:rPr>
        <w:t>11</w:t>
      </w:r>
      <w:r>
        <w:t>, (2020).</w:t>
      </w:r>
    </w:p>
    <w:p w:rsidR="00675192" w:rsidRDefault="00820F0F">
      <w:pPr>
        <w:pStyle w:val="Bibliography"/>
      </w:pPr>
      <w:bookmarkStart w:id="83" w:name="ref-Albanese2017"/>
      <w:bookmarkEnd w:id="82"/>
      <w:r>
        <w:t xml:space="preserve">46. </w:t>
      </w:r>
      <w:r>
        <w:tab/>
        <w:t xml:space="preserve">Albanese, D. &amp; Donati, C. Strain profiling and epidemiology of bacterial species from metagenomic sequencing. </w:t>
      </w:r>
      <w:r>
        <w:rPr>
          <w:i/>
          <w:iCs/>
        </w:rPr>
        <w:t>Nat. Commun.</w:t>
      </w:r>
      <w:r>
        <w:t xml:space="preserve"> </w:t>
      </w:r>
      <w:r>
        <w:rPr>
          <w:b/>
          <w:bCs/>
        </w:rPr>
        <w:t>8</w:t>
      </w:r>
      <w:r>
        <w:t>, 2260 (2017).</w:t>
      </w:r>
    </w:p>
    <w:p w:rsidR="00675192" w:rsidRDefault="00820F0F">
      <w:pPr>
        <w:pStyle w:val="Bibliography"/>
      </w:pPr>
      <w:bookmarkStart w:id="84" w:name="ref-Truong2017"/>
      <w:bookmarkEnd w:id="83"/>
      <w:r>
        <w:t xml:space="preserve">47. </w:t>
      </w:r>
      <w:r>
        <w:tab/>
        <w:t xml:space="preserve">Truong, D. T., Tett, A., Pasolli, E., Huttenhower, C. &amp; Segata, N. Microbial strain-level population structure and genetic diversity from metagenomes. </w:t>
      </w:r>
      <w:r>
        <w:rPr>
          <w:i/>
          <w:iCs/>
        </w:rPr>
        <w:t>Genome Res.</w:t>
      </w:r>
      <w:r>
        <w:t xml:space="preserve"> </w:t>
      </w:r>
      <w:r>
        <w:rPr>
          <w:b/>
          <w:bCs/>
        </w:rPr>
        <w:t>27</w:t>
      </w:r>
      <w:r>
        <w:t>, 626–638 (2017).</w:t>
      </w:r>
    </w:p>
    <w:p w:rsidR="00675192" w:rsidRDefault="00820F0F">
      <w:pPr>
        <w:pStyle w:val="Bibliography"/>
      </w:pPr>
      <w:bookmarkStart w:id="85" w:name="ref-Podlesny2020"/>
      <w:bookmarkEnd w:id="84"/>
      <w:r>
        <w:t xml:space="preserve">48. </w:t>
      </w:r>
      <w:r>
        <w:tab/>
        <w:t xml:space="preserve">Podlesny, D. &amp; Fricke, W. F. Microbial Strain Engraftment, Persistence and Replacement after Fecal Microbiota Transplantation. </w:t>
      </w:r>
      <w:r>
        <w:rPr>
          <w:i/>
          <w:iCs/>
        </w:rPr>
        <w:t>medRxiv</w:t>
      </w:r>
      <w:r>
        <w:t xml:space="preserve"> 2020.09.29.20203638 (2020) doi:</w:t>
      </w:r>
      <w:hyperlink r:id="rId18">
        <w:r>
          <w:rPr>
            <w:rStyle w:val="Hyperlink"/>
          </w:rPr>
          <w:t>10.1101/2020.09.29.20203638</w:t>
        </w:r>
      </w:hyperlink>
      <w:r>
        <w:t>.</w:t>
      </w:r>
    </w:p>
    <w:p w:rsidR="00675192" w:rsidRDefault="00820F0F">
      <w:pPr>
        <w:pStyle w:val="Bibliography"/>
      </w:pPr>
      <w:bookmarkStart w:id="86" w:name="ref-Allegretti2018"/>
      <w:bookmarkEnd w:id="85"/>
      <w:r>
        <w:lastRenderedPageBreak/>
        <w:t xml:space="preserve">49. </w:t>
      </w:r>
      <w:r>
        <w:tab/>
        <w:t xml:space="preserve">Allegretti, J. R. </w:t>
      </w:r>
      <w:r>
        <w:rPr>
          <w:i/>
          <w:iCs/>
        </w:rPr>
        <w:t>et al.</w:t>
      </w:r>
      <w:r>
        <w:t xml:space="preserve"> Bile Acid Profiles are Not Altered by Fecal Microbiota Transplantation for the Treatment of Primary Sclerosing Cholangitis: Category Award (Liver): Presidential Poster Award: 1017. </w:t>
      </w:r>
      <w:r>
        <w:rPr>
          <w:i/>
          <w:iCs/>
        </w:rPr>
        <w:t>Off. J. Am. Coll. Gastroenterol. ACG</w:t>
      </w:r>
      <w:r>
        <w:t xml:space="preserve"> </w:t>
      </w:r>
      <w:r>
        <w:rPr>
          <w:b/>
          <w:bCs/>
        </w:rPr>
        <w:t>113</w:t>
      </w:r>
      <w:r>
        <w:t>, S574 (2018).</w:t>
      </w:r>
    </w:p>
    <w:p w:rsidR="00675192" w:rsidRDefault="00820F0F">
      <w:pPr>
        <w:pStyle w:val="Bibliography"/>
      </w:pPr>
      <w:bookmarkStart w:id="87" w:name="ref-Kassam2019"/>
      <w:bookmarkEnd w:id="86"/>
      <w:r>
        <w:t xml:space="preserve">50. </w:t>
      </w:r>
      <w:r>
        <w:tab/>
        <w:t xml:space="preserve">Kassam, Z. </w:t>
      </w:r>
      <w:r>
        <w:rPr>
          <w:i/>
          <w:iCs/>
        </w:rPr>
        <w:t>et al.</w:t>
      </w:r>
      <w:r>
        <w:t xml:space="preserve"> Donor Screening for Fecal Microbiota Transplantation. </w:t>
      </w:r>
      <w:r>
        <w:rPr>
          <w:i/>
          <w:iCs/>
        </w:rPr>
        <w:t>N. Engl. J. Med.</w:t>
      </w:r>
      <w:r>
        <w:t xml:space="preserve"> 2 (2019).</w:t>
      </w:r>
    </w:p>
    <w:p w:rsidR="00675192" w:rsidRDefault="00820F0F">
      <w:pPr>
        <w:pStyle w:val="Bibliography"/>
      </w:pPr>
      <w:bookmarkStart w:id="88" w:name="ref-Gilat1987"/>
      <w:bookmarkEnd w:id="87"/>
      <w:r>
        <w:t xml:space="preserve">51. </w:t>
      </w:r>
      <w:r>
        <w:tab/>
        <w:t xml:space="preserve">Gilat, T. </w:t>
      </w:r>
      <w:r>
        <w:rPr>
          <w:i/>
          <w:iCs/>
        </w:rPr>
        <w:t>et al.</w:t>
      </w:r>
      <w:r>
        <w:t xml:space="preserve"> A comparative study of metronidazole and sulfasalazine in active, not severe, ulcerative colitis. An Israeli multicenter trial. </w:t>
      </w:r>
      <w:r>
        <w:rPr>
          <w:i/>
          <w:iCs/>
        </w:rPr>
        <w:t>J Clin Gastroenterol</w:t>
      </w:r>
      <w:r>
        <w:t xml:space="preserve"> </w:t>
      </w:r>
      <w:r>
        <w:rPr>
          <w:b/>
          <w:bCs/>
        </w:rPr>
        <w:t>9</w:t>
      </w:r>
      <w:r>
        <w:t>, 415–417 (1987).</w:t>
      </w:r>
    </w:p>
    <w:p w:rsidR="00675192" w:rsidRDefault="00820F0F">
      <w:pPr>
        <w:pStyle w:val="Bibliography"/>
      </w:pPr>
      <w:bookmarkStart w:id="89" w:name="ref-Chapman1986"/>
      <w:bookmarkEnd w:id="88"/>
      <w:r>
        <w:t xml:space="preserve">52. </w:t>
      </w:r>
      <w:r>
        <w:tab/>
        <w:t xml:space="preserve">Chapman, R. W., Selby, W. S. &amp; Jewell, D. P. Controlled trial of intravenous metronidazole as an adjunct to corticosteroids in severe ulcerative colitis. </w:t>
      </w:r>
      <w:r>
        <w:rPr>
          <w:i/>
          <w:iCs/>
        </w:rPr>
        <w:t>Gut</w:t>
      </w:r>
      <w:r>
        <w:t xml:space="preserve"> </w:t>
      </w:r>
      <w:r>
        <w:rPr>
          <w:b/>
          <w:bCs/>
        </w:rPr>
        <w:t>27</w:t>
      </w:r>
      <w:r>
        <w:t>, 1210–1212 (1986).</w:t>
      </w:r>
    </w:p>
    <w:p w:rsidR="00675192" w:rsidRDefault="00820F0F">
      <w:pPr>
        <w:pStyle w:val="Bibliography"/>
      </w:pPr>
      <w:bookmarkStart w:id="90" w:name="ref-Mantzaris1997"/>
      <w:bookmarkEnd w:id="89"/>
      <w:r>
        <w:t xml:space="preserve">53.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675192" w:rsidRDefault="00820F0F">
      <w:pPr>
        <w:pStyle w:val="Bibliography"/>
      </w:pPr>
      <w:bookmarkStart w:id="91" w:name="ref-Mantzaris2001"/>
      <w:bookmarkEnd w:id="90"/>
      <w:r>
        <w:t xml:space="preserve">54. </w:t>
      </w:r>
      <w:r>
        <w:tab/>
        <w:t xml:space="preserve">Mantzaris, G. J. </w:t>
      </w:r>
      <w:r>
        <w:rPr>
          <w:i/>
          <w:iCs/>
        </w:rPr>
        <w:t>et al.</w:t>
      </w:r>
      <w:r>
        <w:t xml:space="preserve"> A prospective randomized controlled trial of intravenous ciprofloxacin as an adjunct to corticosteroids in acute, severe ulcerative colitis. </w:t>
      </w:r>
      <w:r>
        <w:rPr>
          <w:i/>
          <w:iCs/>
        </w:rPr>
        <w:t>Scand J Gastroenterol</w:t>
      </w:r>
      <w:r>
        <w:t xml:space="preserve"> </w:t>
      </w:r>
      <w:r>
        <w:rPr>
          <w:b/>
          <w:bCs/>
        </w:rPr>
        <w:t>36</w:t>
      </w:r>
      <w:r>
        <w:t>, 971–974 (2001).</w:t>
      </w:r>
    </w:p>
    <w:p w:rsidR="00675192" w:rsidRDefault="00820F0F">
      <w:pPr>
        <w:pStyle w:val="Bibliography"/>
      </w:pPr>
      <w:bookmarkStart w:id="92" w:name="ref-Koster2012"/>
      <w:bookmarkEnd w:id="91"/>
      <w:r>
        <w:t xml:space="preserve">55. </w:t>
      </w:r>
      <w:r>
        <w:tab/>
        <w:t xml:space="preserve">Köster, J. &amp; Rahmann, S. Snakemakea scalable bioinformatics workflow engine. </w:t>
      </w:r>
      <w:r>
        <w:rPr>
          <w:i/>
          <w:iCs/>
        </w:rPr>
        <w:t>Bioinformatics</w:t>
      </w:r>
      <w:r>
        <w:t xml:space="preserve"> </w:t>
      </w:r>
      <w:r>
        <w:rPr>
          <w:b/>
          <w:bCs/>
        </w:rPr>
        <w:t>28</w:t>
      </w:r>
      <w:r>
        <w:t>, 2520–2522 (2012).</w:t>
      </w:r>
    </w:p>
    <w:p w:rsidR="00675192" w:rsidRDefault="00820F0F">
      <w:pPr>
        <w:pStyle w:val="Bibliography"/>
      </w:pPr>
      <w:bookmarkStart w:id="93" w:name="ref-Merkel2014"/>
      <w:bookmarkEnd w:id="92"/>
      <w:r>
        <w:t xml:space="preserve">56. </w:t>
      </w:r>
      <w:r>
        <w:tab/>
        <w:t xml:space="preserve">Merkel, D. Docker: Lightweight Linux containers for consistent development and deployment. </w:t>
      </w:r>
      <w:r>
        <w:rPr>
          <w:i/>
          <w:iCs/>
        </w:rPr>
        <w:t>Linux J.</w:t>
      </w:r>
      <w:r>
        <w:t xml:space="preserve"> </w:t>
      </w:r>
      <w:r>
        <w:rPr>
          <w:b/>
          <w:bCs/>
        </w:rPr>
        <w:t>2014</w:t>
      </w:r>
      <w:r>
        <w:t>, 2:2 (2014).</w:t>
      </w:r>
    </w:p>
    <w:p w:rsidR="00675192" w:rsidRDefault="00820F0F">
      <w:pPr>
        <w:pStyle w:val="Bibliography"/>
      </w:pPr>
      <w:bookmarkStart w:id="94" w:name="ref-anaconda"/>
      <w:bookmarkEnd w:id="93"/>
      <w:r>
        <w:t xml:space="preserve">57. </w:t>
      </w:r>
      <w:r>
        <w:tab/>
      </w:r>
      <w:r>
        <w:rPr>
          <w:i/>
          <w:iCs/>
        </w:rPr>
        <w:t>Anaconda Software Distribution</w:t>
      </w:r>
      <w:r>
        <w:t>. (Anaconda Inc., 2020).</w:t>
      </w:r>
    </w:p>
    <w:p w:rsidR="00675192" w:rsidRDefault="00820F0F">
      <w:pPr>
        <w:pStyle w:val="Bibliography"/>
      </w:pPr>
      <w:bookmarkStart w:id="95" w:name="ref-Kluyver2016"/>
      <w:bookmarkEnd w:id="94"/>
      <w:r>
        <w:t xml:space="preserve">58.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19">
        <w:r>
          <w:rPr>
            <w:rStyle w:val="Hyperlink"/>
          </w:rPr>
          <w:t>10.3233/978-1-61499-649-1-87</w:t>
        </w:r>
      </w:hyperlink>
      <w:r>
        <w:t>.</w:t>
      </w:r>
    </w:p>
    <w:p w:rsidR="00675192" w:rsidRDefault="00820F0F">
      <w:pPr>
        <w:pStyle w:val="Bibliography"/>
      </w:pPr>
      <w:bookmarkStart w:id="96" w:name="ref-Almeida2021"/>
      <w:bookmarkEnd w:id="95"/>
      <w:r>
        <w:t xml:space="preserve">59. </w:t>
      </w:r>
      <w:r>
        <w:tab/>
        <w:t xml:space="preserve">Almeida, A. </w:t>
      </w:r>
      <w:r>
        <w:rPr>
          <w:i/>
          <w:iCs/>
        </w:rPr>
        <w:t>et al.</w:t>
      </w:r>
      <w:r>
        <w:t xml:space="preserve"> A unified catalog of 204,938 reference genomes from the human gut microbiome. </w:t>
      </w:r>
      <w:r>
        <w:rPr>
          <w:i/>
          <w:iCs/>
        </w:rPr>
        <w:t>Nat Biotechnol</w:t>
      </w:r>
      <w:r>
        <w:t xml:space="preserve"> </w:t>
      </w:r>
      <w:r>
        <w:rPr>
          <w:b/>
          <w:bCs/>
        </w:rPr>
        <w:t>39</w:t>
      </w:r>
      <w:r>
        <w:t>, 105–114 (2021).</w:t>
      </w:r>
    </w:p>
    <w:p w:rsidR="00675192" w:rsidRDefault="00820F0F">
      <w:pPr>
        <w:pStyle w:val="Bibliography"/>
      </w:pPr>
      <w:bookmarkStart w:id="97" w:name="ref-Pedregosa2012"/>
      <w:bookmarkEnd w:id="96"/>
      <w:r>
        <w:t xml:space="preserve">60. </w:t>
      </w:r>
      <w:r>
        <w:tab/>
        <w:t xml:space="preserve">Pedregosa, F. </w:t>
      </w:r>
      <w:r>
        <w:rPr>
          <w:i/>
          <w:iCs/>
        </w:rPr>
        <w:t>et al.</w:t>
      </w:r>
      <w:r>
        <w:t xml:space="preserve"> Scikit-learn: Machine learning in Python. </w:t>
      </w:r>
      <w:r>
        <w:rPr>
          <w:i/>
          <w:iCs/>
        </w:rPr>
        <w:t>J. Mach. Learn. Res.</w:t>
      </w:r>
      <w:r>
        <w:t xml:space="preserve"> </w:t>
      </w:r>
      <w:r>
        <w:rPr>
          <w:b/>
          <w:bCs/>
        </w:rPr>
        <w:t>12</w:t>
      </w:r>
      <w:r>
        <w:t>, 2825–2830 (2011).</w:t>
      </w:r>
    </w:p>
    <w:p w:rsidR="00675192" w:rsidRDefault="00820F0F">
      <w:pPr>
        <w:pStyle w:val="Bibliography"/>
      </w:pPr>
      <w:bookmarkStart w:id="98" w:name="ref-Hojsgaard2005"/>
      <w:bookmarkEnd w:id="97"/>
      <w:r>
        <w:t xml:space="preserve">61. </w:t>
      </w:r>
      <w:r>
        <w:tab/>
        <w:t xml:space="preserve">Højsgaard, S., Halekoh, U. &amp; Yan, J. The R Package geepack for Generalized Estimating Equations. </w:t>
      </w:r>
      <w:r>
        <w:rPr>
          <w:i/>
          <w:iCs/>
        </w:rPr>
        <w:t>J. Stat. Softw.</w:t>
      </w:r>
      <w:r>
        <w:t xml:space="preserve"> </w:t>
      </w:r>
      <w:r>
        <w:rPr>
          <w:b/>
          <w:bCs/>
        </w:rPr>
        <w:t>15</w:t>
      </w:r>
      <w:r>
        <w:t>, 1–11 (2005).</w:t>
      </w:r>
    </w:p>
    <w:p w:rsidR="00675192" w:rsidRDefault="00820F0F">
      <w:pPr>
        <w:pStyle w:val="Bibliography"/>
      </w:pPr>
      <w:bookmarkStart w:id="99" w:name="ref-Guillot2013"/>
      <w:bookmarkEnd w:id="98"/>
      <w:r>
        <w:t xml:space="preserve">62. </w:t>
      </w:r>
      <w:r>
        <w:tab/>
        <w:t xml:space="preserve">Guillot, G. &amp; Rousset, F. Dismantling the Mantel tests. </w:t>
      </w:r>
      <w:r>
        <w:rPr>
          <w:i/>
          <w:iCs/>
        </w:rPr>
        <w:t>Methods Ecol. Evol.</w:t>
      </w:r>
      <w:r>
        <w:t xml:space="preserve"> </w:t>
      </w:r>
      <w:r>
        <w:rPr>
          <w:b/>
          <w:bCs/>
        </w:rPr>
        <w:t>4</w:t>
      </w:r>
      <w:r>
        <w:t>, 336–344 (2013).</w:t>
      </w:r>
    </w:p>
    <w:p w:rsidR="005C214C" w:rsidRDefault="00820F0F">
      <w:pPr>
        <w:pStyle w:val="Bibliography"/>
      </w:pPr>
      <w:bookmarkStart w:id="100" w:name="ref-Lloyd-Price2019"/>
      <w:bookmarkEnd w:id="99"/>
      <w:r>
        <w:t xml:space="preserve">63. </w:t>
      </w:r>
      <w:r>
        <w:tab/>
        <w:t xml:space="preserve">Lloyd-Price, J. </w:t>
      </w:r>
      <w:r>
        <w:rPr>
          <w:i/>
          <w:iCs/>
        </w:rPr>
        <w:t>et al.</w:t>
      </w:r>
      <w:r>
        <w:t xml:space="preserve"> Multi-omics of the gut microbial ecosystem in inflammatory bowel diseases. </w:t>
      </w:r>
      <w:r>
        <w:rPr>
          <w:i/>
          <w:iCs/>
        </w:rPr>
        <w:t>Nature</w:t>
      </w:r>
      <w:r>
        <w:t xml:space="preserve"> </w:t>
      </w:r>
      <w:r>
        <w:rPr>
          <w:b/>
          <w:bCs/>
        </w:rPr>
        <w:t>569</w:t>
      </w:r>
      <w:r>
        <w:t>, 655–662 (2019).</w:t>
      </w:r>
      <w:bookmarkEnd w:id="36"/>
      <w:bookmarkEnd w:id="38"/>
      <w:bookmarkEnd w:id="100"/>
    </w:p>
    <w:p w:rsidR="005C214C" w:rsidRDefault="005C214C" w:rsidP="005C214C">
      <w:pPr>
        <w:pStyle w:val="Heading3"/>
      </w:pPr>
      <w:bookmarkStart w:id="101" w:name="author-contributions"/>
      <w:r>
        <w:t>Author Contributions</w:t>
      </w:r>
    </w:p>
    <w:p w:rsidR="005C214C" w:rsidRDefault="005C214C" w:rsidP="005C214C">
      <w:pPr>
        <w:pStyle w:val="Compact"/>
        <w:numPr>
          <w:ilvl w:val="0"/>
          <w:numId w:val="16"/>
        </w:numPr>
      </w:pPr>
      <w:r>
        <w:t>BJS: conceptualization, data curation, formal analysis, methodology, software, visualization, writing - original draft, writing - review &amp; editing.</w:t>
      </w:r>
    </w:p>
    <w:p w:rsidR="005C214C" w:rsidRDefault="005C214C" w:rsidP="005C214C">
      <w:pPr>
        <w:pStyle w:val="Compact"/>
        <w:numPr>
          <w:ilvl w:val="0"/>
          <w:numId w:val="16"/>
        </w:numPr>
      </w:pPr>
      <w:r>
        <w:t>YMP: methodology, investigation, writing - review &amp; editing.</w:t>
      </w:r>
    </w:p>
    <w:p w:rsidR="005C214C" w:rsidRDefault="005C214C" w:rsidP="005C214C">
      <w:pPr>
        <w:pStyle w:val="Compact"/>
        <w:numPr>
          <w:ilvl w:val="0"/>
          <w:numId w:val="16"/>
        </w:numPr>
      </w:pPr>
      <w:r>
        <w:t>KSP: conceptualization, methodology, writing - review &amp; editing, funding acquisition, supervision</w:t>
      </w:r>
    </w:p>
    <w:p w:rsidR="005C214C" w:rsidRDefault="005C214C" w:rsidP="005C214C">
      <w:pPr>
        <w:pStyle w:val="Compact"/>
        <w:numPr>
          <w:ilvl w:val="0"/>
          <w:numId w:val="16"/>
        </w:numPr>
      </w:pPr>
      <w:r>
        <w:lastRenderedPageBreak/>
        <w:t>LAS: Project administration, investigation, resources, writing - review and editing</w:t>
      </w:r>
    </w:p>
    <w:p w:rsidR="005C214C" w:rsidRDefault="005C214C" w:rsidP="005C214C">
      <w:pPr>
        <w:pStyle w:val="Compact"/>
        <w:numPr>
          <w:ilvl w:val="0"/>
          <w:numId w:val="16"/>
        </w:numPr>
      </w:pPr>
      <w:r>
        <w:t>NE: conceptualization, patient recruitment/enrollment, methodology, supervision, funding acquisition, writing- review and editing</w:t>
      </w:r>
    </w:p>
    <w:p w:rsidR="005C214C" w:rsidRDefault="005C214C" w:rsidP="005C214C">
      <w:pPr>
        <w:pStyle w:val="Compact"/>
        <w:numPr>
          <w:ilvl w:val="0"/>
          <w:numId w:val="16"/>
        </w:numPr>
      </w:pPr>
      <w:r>
        <w:t>MZ: project administration, data collection, writing - review and editing</w:t>
      </w:r>
    </w:p>
    <w:p w:rsidR="005C214C" w:rsidRDefault="005C214C" w:rsidP="005C214C">
      <w:pPr>
        <w:pStyle w:val="Compact"/>
        <w:numPr>
          <w:ilvl w:val="0"/>
          <w:numId w:val="16"/>
        </w:numPr>
      </w:pPr>
      <w:r>
        <w:t>ZK: conceptualization, methodology, writing - review and editing</w:t>
      </w:r>
    </w:p>
    <w:p w:rsidR="005C214C" w:rsidRDefault="005C214C" w:rsidP="005C214C">
      <w:pPr>
        <w:pStyle w:val="Compact"/>
        <w:numPr>
          <w:ilvl w:val="0"/>
          <w:numId w:val="16"/>
        </w:numPr>
      </w:pPr>
      <w:r>
        <w:t>JPT: patient recruitment, review and editing</w:t>
      </w:r>
    </w:p>
    <w:p w:rsidR="005C214C" w:rsidRDefault="005C214C" w:rsidP="005C214C">
      <w:pPr>
        <w:pStyle w:val="Compact"/>
        <w:numPr>
          <w:ilvl w:val="0"/>
          <w:numId w:val="16"/>
        </w:numPr>
      </w:pPr>
      <w:r>
        <w:t>AM: funding acquisition, conceptualization</w:t>
      </w:r>
    </w:p>
    <w:p w:rsidR="005C214C" w:rsidRDefault="005C214C" w:rsidP="005C214C">
      <w:pPr>
        <w:pStyle w:val="Compact"/>
        <w:numPr>
          <w:ilvl w:val="0"/>
          <w:numId w:val="16"/>
        </w:numPr>
      </w:pPr>
      <w:r>
        <w:t>BZ: data curation, methodology, formal analysis, writing - original draft, writing - review and editing</w:t>
      </w:r>
    </w:p>
    <w:p w:rsidR="005C214C" w:rsidRDefault="005C214C" w:rsidP="005C214C">
      <w:pPr>
        <w:pStyle w:val="Compact"/>
        <w:numPr>
          <w:ilvl w:val="0"/>
          <w:numId w:val="16"/>
        </w:numPr>
      </w:pPr>
      <w:r>
        <w:t>SVL: funding acquisition, conceptualization, supervision, writing - review and editing</w:t>
      </w:r>
    </w:p>
    <w:bookmarkEnd w:id="101"/>
    <w:p w:rsidR="005C214C" w:rsidRDefault="005C214C">
      <w:pPr>
        <w:pStyle w:val="Bibliography"/>
      </w:pPr>
    </w:p>
    <w:sectPr w:rsidR="005C214C" w:rsidSect="002E17C6">
      <w:headerReference w:type="even" r:id="rId20"/>
      <w:head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272C" w:rsidRDefault="0023272C">
      <w:pPr>
        <w:spacing w:before="0" w:after="0"/>
      </w:pPr>
      <w:r>
        <w:separator/>
      </w:r>
    </w:p>
  </w:endnote>
  <w:endnote w:type="continuationSeparator" w:id="0">
    <w:p w:rsidR="0023272C" w:rsidRDefault="002327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272C" w:rsidRDefault="0023272C">
      <w:r>
        <w:separator/>
      </w:r>
    </w:p>
  </w:footnote>
  <w:footnote w:type="continuationSeparator" w:id="0">
    <w:p w:rsidR="0023272C" w:rsidRDefault="00232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820F0F"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23272C"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820F0F"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23272C"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F02843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3D6E7F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C42528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D149E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CE37D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0CC326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976B15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466A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EE0A16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650FC1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9A675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A8C635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192"/>
    <w:rsid w:val="0007001D"/>
    <w:rsid w:val="0008258B"/>
    <w:rsid w:val="00097A39"/>
    <w:rsid w:val="000A60BA"/>
    <w:rsid w:val="00114AE8"/>
    <w:rsid w:val="0023272C"/>
    <w:rsid w:val="00310084"/>
    <w:rsid w:val="00415569"/>
    <w:rsid w:val="00423481"/>
    <w:rsid w:val="005C214C"/>
    <w:rsid w:val="00675192"/>
    <w:rsid w:val="006E4439"/>
    <w:rsid w:val="00763E34"/>
    <w:rsid w:val="00820F0F"/>
    <w:rsid w:val="00A42E19"/>
    <w:rsid w:val="00BF0FB2"/>
    <w:rsid w:val="00CD0B81"/>
    <w:rsid w:val="00D613CD"/>
    <w:rsid w:val="00EA3DD9"/>
    <w:rsid w:val="00F736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985C06"/>
  <w15:docId w15:val="{DD021608-F456-8A4F-9272-D94C5334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Pr>
      <w:rFonts w:ascii="Arial" w:hAnsi="Arial"/>
      <w:i/>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jwa.elnachef@ucsf.edu" TargetMode="External"/><Relationship Id="rId13" Type="http://schemas.openxmlformats.org/officeDocument/2006/relationships/hyperlink" Target="https://hub.docker.com/repository/docker/bsmith89/compbio" TargetMode="External"/><Relationship Id="rId18" Type="http://schemas.openxmlformats.org/officeDocument/2006/relationships/hyperlink" Target="https://doi.org/10.1101/2020.09.29.2020363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katherine.pollard@gladstone.ucsf.edu" TargetMode="External"/><Relationship Id="rId12" Type="http://schemas.openxmlformats.org/officeDocument/2006/relationships/image" Target="media/image4.png"/><Relationship Id="rId17" Type="http://schemas.openxmlformats.org/officeDocument/2006/relationships/hyperlink" Target="https://doi.org/10.1101/2020.06.12.149336" TargetMode="External"/><Relationship Id="rId2" Type="http://schemas.openxmlformats.org/officeDocument/2006/relationships/styles" Target="styles.xml"/><Relationship Id="rId16" Type="http://schemas.openxmlformats.org/officeDocument/2006/relationships/hyperlink" Target="https://doi.org/10.1101/64938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21203/rs.3.rs-62372/v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233/978-1-61499-649-1-8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bsmith89/ucfm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9667</Words>
  <Characters>55102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Clinical efficacy and increased donor strain engraftment after antibiotic pretreatment in a randomized trial of ulcerative colitis patients receiving fecal microbiota transplant</vt:lpstr>
    </vt:vector>
  </TitlesOfParts>
  <Company/>
  <LinksUpToDate>false</LinksUpToDate>
  <CharactersWithSpaces>64640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efficacy and increased donor strain engraftment after antibiotic pretreatment in a randomized trial of ulcerative colitis patients receiving fecal microbiota transplant</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13</cp:revision>
  <dcterms:created xsi:type="dcterms:W3CDTF">2021-08-30T23:55:00Z</dcterms:created>
  <dcterms:modified xsi:type="dcterms:W3CDTF">2021-08-31T01:54:00Z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