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Autospacing="0" w:before="240" w:afterAutospacing="0" w:after="240"/>
        <w:rPr/>
      </w:pPr>
      <w:bookmarkStart w:id="0" w:name="ref-Huerta-Cepas2017"/>
      <w:bookmarkStart w:id="1" w:name="refs"/>
      <w:bookmarkStart w:id="2" w:name="references"/>
      <w:bookmarkEnd w:id="0"/>
      <w:bookmarkEnd w:id="1"/>
      <w:bookmarkEnd w:id="2"/>
      <w:r>
        <w:rPr/>
        <w:t>Scalable microbial strain inference in metagenomic data using StrainFacts</w:t>
      </w:r>
    </w:p>
    <w:p>
      <w:pPr>
        <w:pStyle w:val="Author"/>
        <w:rPr/>
      </w:pPr>
      <w:r>
        <w:rPr/>
        <w:t xml:space="preserve">Byron J. Smith </w:t>
      </w:r>
      <w:r>
        <w:rPr>
          <w:vertAlign w:val="superscript"/>
        </w:rPr>
        <w:t xml:space="preserve">A,B </w:t>
      </w:r>
      <w:r>
        <w:rPr/>
        <w:t>(ORCID: 0000-0002-0182-404X)</w:t>
      </w:r>
    </w:p>
    <w:p>
      <w:pPr>
        <w:pStyle w:val="TextBody"/>
        <w:spacing w:before="0" w:after="0"/>
        <w:rPr>
          <w:vertAlign w:val="superscript"/>
        </w:rPr>
      </w:pPr>
      <w:r>
        <w:rPr/>
        <w:t xml:space="preserve">Xiangpeng Li </w:t>
      </w:r>
      <w:r>
        <w:rPr>
          <w:vertAlign w:val="superscript"/>
        </w:rPr>
        <w:t>C</w:t>
      </w:r>
    </w:p>
    <w:p>
      <w:pPr>
        <w:pStyle w:val="Author"/>
        <w:spacing w:before="0" w:after="0"/>
        <w:rPr>
          <w:vertAlign w:val="superscript"/>
        </w:rPr>
      </w:pPr>
      <w:r>
        <w:rPr/>
        <w:t xml:space="preserve">Zhou Jason Shi </w:t>
      </w:r>
      <w:r>
        <w:rPr>
          <w:vertAlign w:val="superscript"/>
        </w:rPr>
        <w:t>A,D</w:t>
      </w:r>
    </w:p>
    <w:p>
      <w:pPr>
        <w:pStyle w:val="Author"/>
        <w:rPr/>
      </w:pPr>
      <w:r>
        <w:rPr/>
        <w:t xml:space="preserve">Adam Abate </w:t>
      </w:r>
      <w:r>
        <w:rPr>
          <w:vertAlign w:val="superscript"/>
        </w:rPr>
        <w:t xml:space="preserve">C,D </w:t>
      </w:r>
      <w:r>
        <w:rPr/>
        <w:t>(ORCID: 0000-0001-9614-4831)</w:t>
      </w:r>
    </w:p>
    <w:p>
      <w:pPr>
        <w:pStyle w:val="Author"/>
        <w:rPr/>
      </w:pPr>
      <w:r>
        <w:rPr/>
        <w:t xml:space="preserve">Katherine S. Pollard </w:t>
      </w:r>
      <w:r>
        <w:rPr>
          <w:vertAlign w:val="superscript"/>
        </w:rPr>
        <w:t xml:space="preserve">A,B,D,* </w:t>
      </w:r>
      <w:r>
        <w:rPr/>
        <w:t>(ORCID: 0000-0002-9870-6196)</w:t>
      </w:r>
    </w:p>
    <w:p>
      <w:pPr>
        <w:pStyle w:val="FirstParagraph"/>
        <w:rPr/>
      </w:pPr>
      <w:r>
        <w:rPr>
          <w:vertAlign w:val="superscript"/>
        </w:rPr>
        <w:t>A</w:t>
      </w:r>
      <w:r>
        <w:rPr/>
        <w:t xml:space="preserve"> The Gladstone Institute of Data Science and Biotechnology, San Francisco, CA</w:t>
        <w:br/>
      </w:r>
      <w:r>
        <w:rPr>
          <w:vertAlign w:val="superscript"/>
        </w:rPr>
        <w:t>B</w:t>
      </w:r>
      <w:r>
        <w:rPr/>
        <w:t xml:space="preserve"> Department of Epidemiology and Biostatistics, University of California, San Francisco, CA</w:t>
        <w:br/>
      </w:r>
      <w:r>
        <w:rPr>
          <w:vertAlign w:val="superscript"/>
        </w:rPr>
        <w:t>C</w:t>
      </w:r>
      <w:r>
        <w:rPr/>
        <w:t xml:space="preserve"> Department of Bioengineering and Therapeutic Sciences, University of California, San Francisco, CA</w:t>
        <w:br/>
      </w:r>
      <w:r>
        <w:rPr>
          <w:vertAlign w:val="superscript"/>
        </w:rPr>
        <w:t>D</w:t>
      </w:r>
      <w:r>
        <w:rPr/>
        <w:t xml:space="preserve"> Chan-Zuckerberg Biohub, San Francisco, CA</w:t>
        <w:br/>
      </w:r>
    </w:p>
    <w:p>
      <w:pPr>
        <w:pStyle w:val="TextBody"/>
        <w:spacing w:lineRule="auto" w:line="240" w:before="180" w:after="180"/>
        <w:rPr/>
      </w:pPr>
      <w:r>
        <w:rPr/>
        <w:t>* Corresponding author:</w:t>
        <w:br/>
      </w:r>
      <w:hyperlink r:id="rId2">
        <w:r>
          <w:rPr>
            <w:rStyle w:val="InternetLink"/>
          </w:rPr>
          <w:t>katherine.pollard@gladstone.ucsf.edu</w:t>
        </w:r>
      </w:hyperlink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35511343"/>
    </w:sdtPr>
    <w:sdtContent>
      <w:p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>
    <w:pPr>
      <w:pStyle w:val="Header"/>
      <w:ind w:right="36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64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67cf3"/>
    <w:pPr>
      <w:widowControl/>
      <w:bidi w:val="0"/>
      <w:spacing w:lineRule="auto" w:line="360" w:before="180" w:after="1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bd6e7f"/>
    <w:pPr>
      <w:keepNext w:val="true"/>
      <w:keepLines/>
      <w:spacing w:before="480" w:after="0"/>
      <w:outlineLvl w:val="0"/>
    </w:pPr>
    <w:rPr>
      <w:rFonts w:ascii="Arial" w:hAnsi="Arial" w:eastAsia="ＭＳ ゴシック" w:cs="Arial"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bd6e7f"/>
    <w:pPr>
      <w:keepNext w:val="true"/>
      <w:keepLines/>
      <w:spacing w:before="200" w:after="0"/>
      <w:outlineLvl w:val="1"/>
    </w:pPr>
    <w:rPr>
      <w:rFonts w:ascii="Arial" w:hAnsi="Arial" w:eastAsia="ＭＳ ゴシック" w:cs="Arial" w:eastAsiaTheme="majorEastAsia"/>
      <w:b/>
      <w:bCs/>
      <w:color w:val="000000" w:themeColor="text1"/>
      <w:sz w:val="28"/>
      <w:szCs w:val="28"/>
    </w:rPr>
  </w:style>
  <w:style w:type="paragraph" w:styleId="Heading3">
    <w:name w:val="Heading 3"/>
    <w:basedOn w:val="TextBody"/>
    <w:next w:val="TextBody"/>
    <w:uiPriority w:val="9"/>
    <w:unhideWhenUsed/>
    <w:qFormat/>
    <w:rsid w:val="00f440ae"/>
    <w:pPr>
      <w:outlineLvl w:val="2"/>
    </w:pPr>
    <w:rPr>
      <w:b/>
      <w:bCs/>
      <w:sz w:val="24"/>
    </w:rPr>
  </w:style>
  <w:style w:type="paragraph" w:styleId="Heading4">
    <w:name w:val="Heading 4"/>
    <w:basedOn w:val="Normal"/>
    <w:next w:val="TextBody"/>
    <w:uiPriority w:val="9"/>
    <w:unhideWhenUsed/>
    <w:qFormat/>
    <w:rsid w:val="00cf7f59"/>
    <w:pPr>
      <w:keepNext w:val="true"/>
      <w:keepLines/>
      <w:spacing w:before="200" w:after="0"/>
      <w:outlineLvl w:val="3"/>
    </w:pPr>
    <w:rPr>
      <w:rFonts w:ascii="Arial" w:hAnsi="Arial" w:eastAsia="ＭＳ ゴシック" w:cs="Arial" w:eastAsiaTheme="majorEastAsia"/>
      <w:b/>
      <w:bCs/>
      <w:i/>
      <w:iCs/>
      <w:color w:val="000000" w:themeColor="tex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sid w:val="003f2c7c"/>
    <w:rPr>
      <w:rFonts w:ascii="Arial" w:hAnsi="Arial"/>
      <w:i/>
      <w:sz w:val="20"/>
      <w:szCs w:val="22"/>
    </w:rPr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i/>
      <w:sz w:val="22"/>
      <w:szCs w:val="22"/>
    </w:rPr>
  </w:style>
  <w:style w:type="character" w:styleId="FootnoteCharacters">
    <w:name w:val="Footnote Characters"/>
    <w:basedOn w:val="CaptionChar"/>
    <w:qFormat/>
    <w:rPr>
      <w:rFonts w:ascii="Arial" w:hAnsi="Arial"/>
      <w:i/>
      <w:sz w:val="22"/>
      <w:szCs w:val="22"/>
      <w:vertAlign w:val="superscript"/>
    </w:rPr>
  </w:style>
  <w:style w:type="character" w:styleId="FootnoteAnchor">
    <w:name w:val="Footnote Anchor"/>
    <w:rPr>
      <w:rFonts w:ascii="Arial" w:hAnsi="Arial"/>
      <w:i/>
      <w:sz w:val="22"/>
      <w:szCs w:val="22"/>
      <w:vertAlign w:val="superscript"/>
    </w:rPr>
  </w:style>
  <w:style w:type="character" w:styleId="InternetLink">
    <w:name w:val="Hyperlink"/>
    <w:basedOn w:val="CaptionChar"/>
    <w:rPr>
      <w:rFonts w:ascii="Arial" w:hAnsi="Arial"/>
      <w:i/>
      <w:color w:val="4F81BD" w:themeColor="accent1"/>
      <w:sz w:val="22"/>
      <w:szCs w:val="22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i/>
      <w:color w:val="007020"/>
      <w:sz w:val="22"/>
      <w:szCs w:val="22"/>
    </w:rPr>
  </w:style>
  <w:style w:type="character" w:styleId="DataTypeTok" w:customStyle="1">
    <w:name w:val="DataTypeTok"/>
    <w:basedOn w:val="VerbatimChar"/>
    <w:qFormat/>
    <w:rPr>
      <w:rFonts w:ascii="Consolas" w:hAnsi="Consolas"/>
      <w:i/>
      <w:color w:val="902000"/>
      <w:sz w:val="22"/>
      <w:szCs w:val="22"/>
    </w:rPr>
  </w:style>
  <w:style w:type="character" w:styleId="DecValTok" w:customStyle="1">
    <w:name w:val="DecValTok"/>
    <w:basedOn w:val="VerbatimChar"/>
    <w:qFormat/>
    <w:rPr>
      <w:rFonts w:ascii="Consolas" w:hAnsi="Consolas"/>
      <w:i/>
      <w:color w:val="40A070"/>
      <w:sz w:val="22"/>
      <w:szCs w:val="22"/>
    </w:rPr>
  </w:style>
  <w:style w:type="character" w:styleId="BaseNTok" w:customStyle="1">
    <w:name w:val="BaseNTok"/>
    <w:basedOn w:val="VerbatimChar"/>
    <w:qFormat/>
    <w:rPr>
      <w:rFonts w:ascii="Consolas" w:hAnsi="Consolas"/>
      <w:i/>
      <w:color w:val="40A070"/>
      <w:sz w:val="22"/>
      <w:szCs w:val="22"/>
    </w:rPr>
  </w:style>
  <w:style w:type="character" w:styleId="FloatTok" w:customStyle="1">
    <w:name w:val="FloatTok"/>
    <w:basedOn w:val="VerbatimChar"/>
    <w:qFormat/>
    <w:rPr>
      <w:rFonts w:ascii="Consolas" w:hAnsi="Consolas"/>
      <w:i/>
      <w:color w:val="40A070"/>
      <w:sz w:val="22"/>
      <w:szCs w:val="22"/>
    </w:rPr>
  </w:style>
  <w:style w:type="character" w:styleId="ConstantTok" w:customStyle="1">
    <w:name w:val="ConstantTok"/>
    <w:basedOn w:val="VerbatimChar"/>
    <w:qFormat/>
    <w:rPr>
      <w:rFonts w:ascii="Consolas" w:hAnsi="Consolas"/>
      <w:i/>
      <w:color w:val="880000"/>
      <w:sz w:val="22"/>
      <w:szCs w:val="22"/>
    </w:rPr>
  </w:style>
  <w:style w:type="character" w:styleId="CharTok" w:customStyle="1">
    <w:name w:val="CharTok"/>
    <w:basedOn w:val="VerbatimChar"/>
    <w:qFormat/>
    <w:rPr>
      <w:rFonts w:ascii="Consolas" w:hAnsi="Consolas"/>
      <w:i/>
      <w:color w:val="4070A0"/>
      <w:sz w:val="22"/>
      <w:szCs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i/>
      <w:color w:val="4070A0"/>
      <w:sz w:val="22"/>
      <w:szCs w:val="22"/>
    </w:rPr>
  </w:style>
  <w:style w:type="character" w:styleId="StringTok" w:customStyle="1">
    <w:name w:val="StringTok"/>
    <w:basedOn w:val="VerbatimChar"/>
    <w:qFormat/>
    <w:rPr>
      <w:rFonts w:ascii="Consolas" w:hAnsi="Consolas"/>
      <w:i/>
      <w:color w:val="4070A0"/>
      <w:sz w:val="22"/>
      <w:szCs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i/>
      <w:color w:val="4070A0"/>
      <w:sz w:val="22"/>
      <w:szCs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i/>
      <w:color w:val="BB6688"/>
      <w:sz w:val="22"/>
      <w:szCs w:val="22"/>
    </w:rPr>
  </w:style>
  <w:style w:type="character" w:styleId="ImportTok" w:customStyle="1">
    <w:name w:val="ImportTok"/>
    <w:basedOn w:val="VerbatimChar"/>
    <w:qFormat/>
    <w:rPr>
      <w:rFonts w:ascii="Consolas" w:hAnsi="Consolas"/>
      <w:i/>
      <w:sz w:val="22"/>
      <w:szCs w:val="22"/>
    </w:rPr>
  </w:style>
  <w:style w:type="character" w:styleId="CommentTok" w:customStyle="1">
    <w:name w:val="CommentTok"/>
    <w:basedOn w:val="VerbatimChar"/>
    <w:qFormat/>
    <w:rPr>
      <w:rFonts w:ascii="Consolas" w:hAnsi="Consolas"/>
      <w:i w:val="false"/>
      <w:color w:val="60A0B0"/>
      <w:sz w:val="22"/>
      <w:szCs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 w:val="false"/>
      <w:color w:val="BA2121"/>
      <w:sz w:val="22"/>
      <w:szCs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 w:val="false"/>
      <w:color w:val="60A0B0"/>
      <w:sz w:val="22"/>
      <w:szCs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 w:val="false"/>
      <w:color w:val="60A0B0"/>
      <w:sz w:val="22"/>
      <w:szCs w:val="22"/>
    </w:rPr>
  </w:style>
  <w:style w:type="character" w:styleId="OtherTok" w:customStyle="1">
    <w:name w:val="OtherTok"/>
    <w:basedOn w:val="VerbatimChar"/>
    <w:qFormat/>
    <w:rPr>
      <w:rFonts w:ascii="Consolas" w:hAnsi="Consolas"/>
      <w:i/>
      <w:color w:val="007020"/>
      <w:sz w:val="22"/>
      <w:szCs w:val="22"/>
    </w:rPr>
  </w:style>
  <w:style w:type="character" w:styleId="FunctionTok" w:customStyle="1">
    <w:name w:val="FunctionTok"/>
    <w:basedOn w:val="VerbatimChar"/>
    <w:qFormat/>
    <w:rPr>
      <w:rFonts w:ascii="Consolas" w:hAnsi="Consolas"/>
      <w:i/>
      <w:color w:val="06287E"/>
      <w:sz w:val="22"/>
      <w:szCs w:val="22"/>
    </w:rPr>
  </w:style>
  <w:style w:type="character" w:styleId="VariableTok" w:customStyle="1">
    <w:name w:val="VariableTok"/>
    <w:basedOn w:val="VerbatimChar"/>
    <w:qFormat/>
    <w:rPr>
      <w:rFonts w:ascii="Consolas" w:hAnsi="Consolas"/>
      <w:i/>
      <w:color w:val="19177C"/>
      <w:sz w:val="22"/>
      <w:szCs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i/>
      <w:color w:val="007020"/>
      <w:sz w:val="22"/>
      <w:szCs w:val="22"/>
    </w:rPr>
  </w:style>
  <w:style w:type="character" w:styleId="OperatorTok" w:customStyle="1">
    <w:name w:val="OperatorTok"/>
    <w:basedOn w:val="VerbatimChar"/>
    <w:qFormat/>
    <w:rPr>
      <w:rFonts w:ascii="Consolas" w:hAnsi="Consolas"/>
      <w:i/>
      <w:color w:val="666666"/>
      <w:sz w:val="22"/>
      <w:szCs w:val="22"/>
    </w:rPr>
  </w:style>
  <w:style w:type="character" w:styleId="BuiltInTok" w:customStyle="1">
    <w:name w:val="BuiltInTok"/>
    <w:basedOn w:val="VerbatimChar"/>
    <w:qFormat/>
    <w:rPr>
      <w:rFonts w:ascii="Consolas" w:hAnsi="Consolas"/>
      <w:i/>
      <w:sz w:val="22"/>
      <w:szCs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i/>
      <w:sz w:val="22"/>
      <w:szCs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BC7A00"/>
      <w:sz w:val="22"/>
      <w:szCs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i/>
      <w:color w:val="7D9029"/>
      <w:sz w:val="22"/>
      <w:szCs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i/>
      <w:sz w:val="22"/>
      <w:szCs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 w:val="false"/>
      <w:color w:val="60A0B0"/>
      <w:sz w:val="22"/>
      <w:szCs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 w:val="false"/>
      <w:color w:val="60A0B0"/>
      <w:sz w:val="22"/>
      <w:szCs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i/>
      <w:color w:val="FF0000"/>
      <w:sz w:val="22"/>
      <w:szCs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i/>
      <w:color w:val="FF0000"/>
      <w:sz w:val="22"/>
      <w:szCs w:val="22"/>
    </w:rPr>
  </w:style>
  <w:style w:type="character" w:styleId="NormalTok" w:customStyle="1">
    <w:name w:val="NormalTok"/>
    <w:basedOn w:val="VerbatimChar"/>
    <w:qFormat/>
    <w:rPr>
      <w:rFonts w:ascii="Consolas" w:hAnsi="Consolas"/>
      <w:i/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qFormat/>
    <w:rsid w:val="006c1b9b"/>
    <w:rPr>
      <w:rFonts w:ascii="Lucida Grande" w:hAnsi="Lucida Grande"/>
      <w:sz w:val="18"/>
      <w:szCs w:val="18"/>
    </w:rPr>
  </w:style>
  <w:style w:type="character" w:styleId="BodyTextChar" w:customStyle="1">
    <w:name w:val="Body Text Char"/>
    <w:basedOn w:val="DefaultParagraphFont"/>
    <w:link w:val="BodyText"/>
    <w:qFormat/>
    <w:rsid w:val="003d64c8"/>
    <w:rPr>
      <w:rFonts w:ascii="Arial" w:hAnsi="Arial" w:cs="Arial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34ce3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qFormat/>
    <w:rsid w:val="00f7051e"/>
    <w:rPr>
      <w:sz w:val="22"/>
      <w:szCs w:val="22"/>
    </w:rPr>
  </w:style>
  <w:style w:type="character" w:styleId="Pagenumber">
    <w:name w:val="page number"/>
    <w:basedOn w:val="DefaultParagraphFont"/>
    <w:semiHidden/>
    <w:unhideWhenUsed/>
    <w:qFormat/>
    <w:rsid w:val="00f7051e"/>
    <w:rPr/>
  </w:style>
  <w:style w:type="character" w:styleId="Linenumber">
    <w:name w:val="line number"/>
    <w:basedOn w:val="DefaultParagraphFont"/>
    <w:semiHidden/>
    <w:unhideWhenUsed/>
    <w:qFormat/>
    <w:rsid w:val="00a56714"/>
    <w:rPr>
      <w:rFonts w:ascii="Arial" w:hAnsi="Arial"/>
      <w:sz w:val="20"/>
    </w:rPr>
  </w:style>
  <w:style w:type="character" w:styleId="VisitedInternetLink">
    <w:name w:val="FollowedHyperlink"/>
    <w:basedOn w:val="DefaultParagraphFont"/>
    <w:semiHidden/>
    <w:unhideWhenUsed/>
    <w:rsid w:val="00bd6e7f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rsid w:val="003d64c8"/>
    <w:pPr>
      <w:spacing w:lineRule="auto" w:line="240"/>
    </w:pPr>
    <w:rPr>
      <w:rFonts w:ascii="Arial" w:hAnsi="Arial" w:cs="Arial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rsid w:val="00bd6e7f"/>
    <w:pPr/>
    <w:rPr/>
  </w:style>
  <w:style w:type="paragraph" w:styleId="Compact" w:customStyle="1">
    <w:name w:val="Compact"/>
    <w:basedOn w:val="TextBody"/>
    <w:qFormat/>
    <w:rsid w:val="006c1b9b"/>
    <w:pPr>
      <w:spacing w:before="36" w:after="36"/>
    </w:pPr>
    <w:rPr/>
  </w:style>
  <w:style w:type="paragraph" w:styleId="Title">
    <w:name w:val="Title"/>
    <w:basedOn w:val="NormalWeb"/>
    <w:next w:val="TextBody"/>
    <w:qFormat/>
    <w:rsid w:val="00b84ff0"/>
    <w:pPr>
      <w:spacing w:beforeAutospacing="0" w:before="240" w:afterAutospacing="0" w:after="240"/>
    </w:pPr>
    <w:rPr>
      <w:rFonts w:ascii="Arial" w:hAnsi="Arial" w:cs="Arial"/>
      <w:color w:val="000000"/>
      <w:sz w:val="48"/>
      <w:szCs w:val="48"/>
    </w:rPr>
  </w:style>
  <w:style w:type="paragraph" w:styleId="Subtitle">
    <w:name w:val="Subtitle"/>
    <w:basedOn w:val="Title"/>
    <w:next w:val="TextBody"/>
    <w:qFormat/>
    <w:pPr/>
    <w:rPr>
      <w:sz w:val="30"/>
      <w:szCs w:val="30"/>
    </w:rPr>
  </w:style>
  <w:style w:type="paragraph" w:styleId="Author" w:customStyle="1">
    <w:name w:val="Author"/>
    <w:next w:val="TextBody"/>
    <w:qFormat/>
    <w:rsid w:val="00bb5f62"/>
    <w:pPr>
      <w:keepNext w:val="true"/>
      <w:keepLines/>
      <w:widowControl/>
      <w:bidi w:val="0"/>
      <w:spacing w:before="0" w:after="0"/>
      <w:jc w:val="left"/>
    </w:pPr>
    <w:rPr>
      <w:rFonts w:ascii="Arial" w:hAnsi="Arial" w:cs="Arial" w:eastAsia="Cambria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d64c8"/>
    <w:pPr>
      <w:spacing w:lineRule="auto" w:line="240"/>
    </w:pPr>
    <w:rPr>
      <w:rFonts w:ascii="Arial" w:hAnsi="Arial"/>
    </w:rPr>
  </w:style>
  <w:style w:type="paragraph" w:styleId="BlockText">
    <w:name w:val="Block Text"/>
    <w:basedOn w:val="TextBody"/>
    <w:next w:val="TextBody"/>
    <w:uiPriority w:val="9"/>
    <w:unhideWhenUsed/>
    <w:qFormat/>
    <w:rsid w:val="00bd6e7f"/>
    <w:pPr>
      <w:spacing w:before="100" w:after="100"/>
    </w:pPr>
    <w:rPr>
      <w:rFonts w:eastAsia="ＭＳ ゴシック" w:cs="" w:cstheme="majorBidi" w:eastAsiaTheme="majorEastAsia"/>
      <w:bCs/>
      <w:color w:val="FF0000"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18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rsid w:val="003f2c7c"/>
    <w:pPr>
      <w:spacing w:before="180" w:after="120"/>
    </w:pPr>
    <w:rPr>
      <w:rFonts w:ascii="Arial" w:hAnsi="Arial"/>
      <w:i/>
      <w:sz w:val="20"/>
    </w:rPr>
  </w:style>
  <w:style w:type="paragraph" w:styleId="TableCaption" w:customStyle="1">
    <w:name w:val="Table Caption"/>
    <w:basedOn w:val="Caption1"/>
    <w:qFormat/>
    <w:rsid w:val="00a81c6e"/>
    <w:pPr>
      <w:keepNext w:val="true"/>
      <w:spacing w:lineRule="auto" w:line="240" w:before="180" w:after="180"/>
    </w:pPr>
    <w:rPr/>
  </w:style>
  <w:style w:type="paragraph" w:styleId="ImageCaption" w:customStyle="1">
    <w:name w:val="Image Caption"/>
    <w:basedOn w:val="Caption1"/>
    <w:qFormat/>
    <w:rsid w:val="00bd6e7f"/>
    <w:pPr>
      <w:spacing w:lineRule="auto" w:line="240" w:before="180" w:after="180"/>
    </w:pPr>
    <w:rPr>
      <w:rFonts w:cs="Arial"/>
    </w:rPr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BalloonText">
    <w:name w:val="Balloon Text"/>
    <w:basedOn w:val="Normal"/>
    <w:link w:val="BalloonTextChar"/>
    <w:qFormat/>
    <w:rsid w:val="006c1b9b"/>
    <w:pPr>
      <w:spacing w:before="180" w:after="0"/>
    </w:pPr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f7051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d25b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therine.pollard@gladstone.ucsf.edu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LibreOffice/7.1.0.3$MacOSX_X86_64 LibreOffice_project/f6099ecf3d29644b5008cc8f48f42f4a40986e4c</Application>
  <AppVersion>15.0000</AppVersion>
  <Pages>1</Pages>
  <Words>81</Words>
  <Characters>556</Characters>
  <CharactersWithSpaces>629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2021-08-04T23:15:00Z</dcterms:created>
  <dc:creator>Byron J. Smith A,B; Yvette Piceno C; Martin Zydek D; Bing Zhang D; Lara Aboud Syriani E; Jonathan P. Terdiman D; Zain Kassam F; Averil Ma G; Susan V. Lynch D,H; Katherine S. Pollard A,B,I,*; Najwa El-Nachef D,*</dc:creator>
  <dc:description/>
  <dc:language>en-US</dc:language>
  <cp:lastModifiedBy/>
  <dcterms:modified xsi:type="dcterms:W3CDTF">2022-02-24T09:58:18Z</dcterms:modified>
  <cp:revision>7</cp:revision>
  <dc:subject/>
  <dc:title>Clinical efficacy and increased donor strain engraftment after antibiotic pretreatment in a randomized trial of ulcerative colitis patients receiving fecal microbiota transplant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doc/bibliography.bib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doc/static/style.csl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geometry">
    <vt:lpwstr/>
  </property>
  <property fmtid="{D5CDD505-2E9C-101B-9397-08002B2CF9AE}" pid="25" name="header-includes">
    <vt:lpwstr/>
  </property>
  <property fmtid="{D5CDD505-2E9C-101B-9397-08002B2CF9AE}" pid="26" name="lastDelim">
    <vt:lpwstr>, </vt:lpwstr>
  </property>
  <property fmtid="{D5CDD505-2E9C-101B-9397-08002B2CF9AE}" pid="27" name="link-citations">
    <vt:lpwstr>True</vt:lpwstr>
  </property>
  <property fmtid="{D5CDD505-2E9C-101B-9397-08002B2CF9AE}" pid="28" name="linkReferences">
    <vt:lpwstr>False</vt:lpwstr>
  </property>
  <property fmtid="{D5CDD505-2E9C-101B-9397-08002B2CF9AE}" pid="29" name="linkcolor">
    <vt:lpwstr>blue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secHeaderDelim">
    <vt:lpwstr> </vt:lpwstr>
  </property>
  <property fmtid="{D5CDD505-2E9C-101B-9397-08002B2CF9AE}" pid="46" name="secHeaderTemplate">
    <vt:lpwstr>isecHeaderDelim[n]t</vt:lpwstr>
  </property>
  <property fmtid="{D5CDD505-2E9C-101B-9397-08002B2CF9AE}" pid="47" name="secLabels">
    <vt:lpwstr>arabic</vt:lpwstr>
  </property>
  <property fmtid="{D5CDD505-2E9C-101B-9397-08002B2CF9AE}" pid="48" name="secPrefix">
    <vt:lpwstr/>
  </property>
  <property fmtid="{D5CDD505-2E9C-101B-9397-08002B2CF9AE}" pid="49" name="secPrefixTemplate">
    <vt:lpwstr>p i</vt:lpwstr>
  </property>
  <property fmtid="{D5CDD505-2E9C-101B-9397-08002B2CF9AE}" pid="50" name="sectionsDepth">
    <vt:lpwstr>0</vt:lpwstr>
  </property>
  <property fmtid="{D5CDD505-2E9C-101B-9397-08002B2CF9AE}" pid="51" name="subfigGrid">
    <vt:lpwstr>False</vt:lpwstr>
  </property>
  <property fmtid="{D5CDD505-2E9C-101B-9397-08002B2CF9AE}" pid="52" name="subfigLabels">
    <vt:lpwstr>alpha a</vt:lpwstr>
  </property>
  <property fmtid="{D5CDD505-2E9C-101B-9397-08002B2CF9AE}" pid="53" name="subfigureChildTemplate">
    <vt:lpwstr>i</vt:lpwstr>
  </property>
  <property fmtid="{D5CDD505-2E9C-101B-9397-08002B2CF9AE}" pid="54" name="subfigureRefIndexTemplate">
    <vt:lpwstr>isuf (s)</vt:lpwstr>
  </property>
  <property fmtid="{D5CDD505-2E9C-101B-9397-08002B2CF9AE}" pid="55" name="subfigureTemplate">
    <vt:lpwstr>figureTitle ititleDelim t. ccs</vt:lpwstr>
  </property>
  <property fmtid="{D5CDD505-2E9C-101B-9397-08002B2CF9AE}" pid="56" name="tableEqns">
    <vt:lpwstr>False</vt:lpwstr>
  </property>
  <property fmtid="{D5CDD505-2E9C-101B-9397-08002B2CF9AE}" pid="57" name="tableTemplate">
    <vt:lpwstr>tableTitle ititleDelim t</vt:lpwstr>
  </property>
  <property fmtid="{D5CDD505-2E9C-101B-9397-08002B2CF9AE}" pid="58" name="tableTitle">
    <vt:lpwstr>Table</vt:lpwstr>
  </property>
  <property fmtid="{D5CDD505-2E9C-101B-9397-08002B2CF9AE}" pid="59" name="tblLabels">
    <vt:lpwstr>arabic</vt:lpwstr>
  </property>
  <property fmtid="{D5CDD505-2E9C-101B-9397-08002B2CF9AE}" pid="60" name="tblPrefix">
    <vt:lpwstr/>
  </property>
  <property fmtid="{D5CDD505-2E9C-101B-9397-08002B2CF9AE}" pid="61" name="tblPrefixTemplate">
    <vt:lpwstr>p i</vt:lpwstr>
  </property>
  <property fmtid="{D5CDD505-2E9C-101B-9397-08002B2CF9AE}" pid="62" name="titleDelim">
    <vt:lpwstr>:</vt:lpwstr>
  </property>
</Properties>
</file>