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28"/>
          <w:szCs w:val="28"/>
        </w:rPr>
        <w:t xml:space="preserve">The draft compared with the section as filed (Distribution Solutions Group, 2026)</w:t>
      </w:r>
    </w:p>
    <w:p>
      <w:pPr>
        <w:spacing w:after="240"/>
      </w:pPr>
      <w:r>
        <w:rPr>
          <w:rFonts w:ascii="Times New Roman" w:cs="Times New Roman" w:eastAsia="Times New Roman" w:hAnsi="Times New Roman"/>
          <w:i/>
          <w:iCs/>
          <w:sz w:val="20"/>
          <w:szCs w:val="20"/>
        </w:rPr>
        <w:t xml:space="preserve">Draft compared with the section as filed. Blue double underline: text in the draft that is not in the section as filed (1,052 words). Red strikethrough: text in the section as filed that the draft does not carry (956 words). Green: paragraphs the draft carries in a different position (1). A bar in the left margin marks every paragraph with a change; in a table, a changed cell shows the old value struck and the new value underlined. Section as filed 4,566 words; draft 4,669 words; 62 of 89 draft paragraphs and rows matched to the section as filed; 3,676 words unchanged. Section as filed paragraphs the draft does not carry are listed at the end.</w:t>
      </w:r>
    </w:p>
    <w:p>
      <w:pPr>
        <w:pBdr>
          <w:left w:val="single" w:color="000000" w:sz="12" w:space="6"/>
        </w:pBdr>
        <w:spacing w:after="160" w:before="0"/>
        <w:jc w:val="left"/>
      </w:pPr>
      <w:r>
        <w:rPr>
          <w:rFonts w:ascii="Times New Roman" w:cs="Times New Roman" w:eastAsia="Times New Roman" w:hAnsi="Times New Roman"/>
          <w:sz w:val="22"/>
          <w:szCs w:val="22"/>
        </w:rPr>
        <w:t xml:space="preserve">Opinion of </w:t>
      </w:r>
      <w:r>
        <w:rPr>
          <w:rFonts w:ascii="Times New Roman" w:cs="Times New Roman" w:eastAsia="Times New Roman" w:hAnsi="Times New Roman"/>
          <w:strike/>
          <w:color w:val="FF0000"/>
          <w:sz w:val="22"/>
          <w:szCs w:val="22"/>
        </w:rPr>
        <w:t xml:space="preserve">William Blair </w:t>
      </w:r>
      <w:r>
        <w:rPr>
          <w:rFonts w:ascii="Times New Roman" w:cs="Times New Roman" w:eastAsia="Times New Roman" w:hAnsi="Times New Roman"/>
          <w:color w:val="0000FF"/>
          <w:sz w:val="22"/>
          <w:szCs w:val="22"/>
          <w:u w:val="double" w:color="0000FF"/>
        </w:rPr>
        <w:t xml:space="preserve">the Special Committee's Financial Advisor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was retained by the </w:t>
      </w:r>
      <w:r>
        <w:rPr>
          <w:rFonts w:ascii="Times New Roman" w:cs="Times New Roman" w:eastAsia="Times New Roman" w:hAnsi="Times New Roman"/>
          <w:strike/>
          <w:color w:val="FF0000"/>
          <w:sz w:val="22"/>
          <w:szCs w:val="22"/>
        </w:rPr>
        <w:t xml:space="preserve">Company </w:t>
      </w:r>
      <w:r>
        <w:rPr>
          <w:rFonts w:ascii="Times New Roman" w:cs="Times New Roman" w:eastAsia="Times New Roman" w:hAnsi="Times New Roman"/>
          <w:color w:val="0000FF"/>
          <w:sz w:val="22"/>
          <w:szCs w:val="22"/>
          <w:u w:val="double" w:color="0000FF"/>
        </w:rPr>
        <w:t xml:space="preserve">Special Committee </w:t>
      </w:r>
      <w:r>
        <w:rPr>
          <w:rFonts w:ascii="Times New Roman" w:cs="Times New Roman" w:eastAsia="Times New Roman" w:hAnsi="Times New Roman"/>
          <w:sz w:val="22"/>
          <w:szCs w:val="22"/>
        </w:rPr>
        <w:t xml:space="preserve">to act as </w:t>
      </w:r>
      <w:r>
        <w:rPr>
          <w:rFonts w:ascii="Times New Roman" w:cs="Times New Roman" w:eastAsia="Times New Roman" w:hAnsi="Times New Roman"/>
          <w:color w:val="0000FF"/>
          <w:sz w:val="22"/>
          <w:szCs w:val="22"/>
          <w:u w:val="double" w:color="0000FF"/>
        </w:rPr>
        <w:t xml:space="preserve">its </w:t>
      </w:r>
      <w:r>
        <w:rPr>
          <w:rFonts w:ascii="Times New Roman" w:cs="Times New Roman" w:eastAsia="Times New Roman" w:hAnsi="Times New Roman"/>
          <w:sz w:val="22"/>
          <w:szCs w:val="22"/>
        </w:rPr>
        <w:t xml:space="preserve">financial advisor </w:t>
      </w:r>
      <w:r>
        <w:rPr>
          <w:rFonts w:ascii="Times New Roman" w:cs="Times New Roman" w:eastAsia="Times New Roman" w:hAnsi="Times New Roman"/>
          <w:strike/>
          <w:color w:val="FF0000"/>
          <w:sz w:val="22"/>
          <w:szCs w:val="22"/>
        </w:rPr>
        <w:t xml:space="preserve">to the Special Committee </w:t>
      </w:r>
      <w:r>
        <w:rPr>
          <w:rFonts w:ascii="Times New Roman" w:cs="Times New Roman" w:eastAsia="Times New Roman" w:hAnsi="Times New Roman"/>
          <w:sz w:val="22"/>
          <w:szCs w:val="22"/>
        </w:rPr>
        <w:t xml:space="preserve">in connection with the </w:t>
      </w:r>
      <w:r>
        <w:rPr>
          <w:rFonts w:ascii="Times New Roman" w:cs="Times New Roman" w:eastAsia="Times New Roman" w:hAnsi="Times New Roman"/>
          <w:strike/>
          <w:color w:val="FF0000"/>
          <w:sz w:val="22"/>
          <w:szCs w:val="22"/>
        </w:rPr>
        <w:t xml:space="preserve">Transactions.</w:t>
      </w:r>
      <w:r>
        <w:rPr>
          <w:rFonts w:ascii="Times New Roman" w:cs="Times New Roman" w:eastAsia="Times New Roman" w:hAnsi="Times New Roman"/>
          <w:color w:val="0000FF"/>
          <w:sz w:val="22"/>
          <w:szCs w:val="22"/>
          <w:u w:val="double" w:color="0000FF"/>
        </w:rPr>
        <w:t xml:space="preserve">Merger.</w:t>
      </w:r>
      <w:r>
        <w:rPr>
          <w:rFonts w:ascii="Times New Roman" w:cs="Times New Roman" w:eastAsia="Times New Roman" w:hAnsi="Times New Roman"/>
          <w:sz w:val="22"/>
          <w:szCs w:val="22"/>
        </w:rPr>
        <w:t xml:space="preserve"> Pursuant to its engagement, the Special Committee requested that William Blair render an opinion to the Special Committee as to whether the Merger Consideration to be received by the Disinterested Stockholders</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other than the holders of Excluded </w:t>
      </w:r>
      <w:r>
        <w:rPr>
          <w:rFonts w:ascii="Times New Roman" w:cs="Times New Roman" w:eastAsia="Times New Roman" w:hAnsi="Times New Roman"/>
          <w:strike/>
          <w:color w:val="FF0000"/>
          <w:sz w:val="22"/>
          <w:szCs w:val="22"/>
        </w:rPr>
        <w:t xml:space="preserve">Shares) in connection with the transaction contemplated by </w:t>
      </w:r>
      <w:r>
        <w:rPr>
          <w:rFonts w:ascii="Times New Roman" w:cs="Times New Roman" w:eastAsia="Times New Roman" w:hAnsi="Times New Roman"/>
          <w:color w:val="0000FF"/>
          <w:sz w:val="22"/>
          <w:szCs w:val="22"/>
          <w:u w:val="double" w:color="0000FF"/>
        </w:rPr>
        <w:t xml:space="preserve">Shares, pursuant to </w:t>
      </w:r>
      <w:r>
        <w:rPr>
          <w:rFonts w:ascii="Times New Roman" w:cs="Times New Roman" w:eastAsia="Times New Roman" w:hAnsi="Times New Roman"/>
          <w:sz w:val="22"/>
          <w:szCs w:val="22"/>
        </w:rPr>
        <w:t xml:space="preserve">the Merger Agreement was fair, from a financial point of view, to such stockholders. On July 15, 2026, William Blair delivered its oral opinion to the Special Committee at a meeting of the Special Committee (which opinion was subsequently confirmed in its written opinion dated July 15, 2026, and delivered to the Special Committee prior to the execution of the Merger Agreement) that, as of the date of such opinion, and based upon and subject to the assumptions, qualifications and limitations stated in its written opinion, the Merger Consideration to be received by the Disinterested Stockholders</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other than the holders of Excluded </w:t>
      </w:r>
      <w:r>
        <w:rPr>
          <w:rFonts w:ascii="Times New Roman" w:cs="Times New Roman" w:eastAsia="Times New Roman" w:hAnsi="Times New Roman"/>
          <w:strike/>
          <w:color w:val="FF0000"/>
          <w:sz w:val="22"/>
          <w:szCs w:val="22"/>
        </w:rPr>
        <w:t xml:space="preserve">Shares) in connection with the transaction contemplated by </w:t>
      </w:r>
      <w:r>
        <w:rPr>
          <w:rFonts w:ascii="Times New Roman" w:cs="Times New Roman" w:eastAsia="Times New Roman" w:hAnsi="Times New Roman"/>
          <w:color w:val="0000FF"/>
          <w:sz w:val="22"/>
          <w:szCs w:val="22"/>
          <w:u w:val="double" w:color="0000FF"/>
        </w:rPr>
        <w:t xml:space="preserve">Shares, pursuant to </w:t>
      </w:r>
      <w:r>
        <w:rPr>
          <w:rFonts w:ascii="Times New Roman" w:cs="Times New Roman" w:eastAsia="Times New Roman" w:hAnsi="Times New Roman"/>
          <w:sz w:val="22"/>
          <w:szCs w:val="22"/>
        </w:rPr>
        <w:t xml:space="preserve">the Merger Agreement was fair, from a financial point of view, to such stockholders. </w:t>
      </w:r>
    </w:p>
    <w:p>
      <w:pPr>
        <w:pBdr>
          <w:left w:val="single" w:color="000000" w:sz="12" w:space="6"/>
        </w:pBdr>
        <w:spacing w:after="160" w:before="0"/>
        <w:jc w:val="left"/>
      </w:pPr>
      <w:r>
        <w:rPr>
          <w:rFonts w:ascii="Times New Roman" w:cs="Times New Roman" w:eastAsia="Times New Roman" w:hAnsi="Times New Roman"/>
          <w:sz w:val="22"/>
          <w:szCs w:val="22"/>
        </w:rPr>
        <w:t xml:space="preserve">THE FULL TEXT OF WILLIAM BLAIR'S WRITTEN OPINION, DATED JULY 15, 2026, IS ATTACHED AS ANNEX B TO THIS PROXY STATEMENT AND INCORPORATED INTO THIS PROXY STATEMENT BY REFERENCE IN ITS ENTIRETY. YOU ARE URGED TO READ THE ENTIRE FAIRNESS OPINION CAREFULLY AND IN ITS ENTIRETY TO LEARN ABOUT THE ASSUMPTIONS MADE, PROCEDURES FOLLOWED, MATTERS CONSIDERED AND LIMITS ON THE SCOPE OF THE REVIEW UNDERTAKEN BY WILLIAM BLAIR IN RENDERING ITS OPINION. THE ANALYSIS PERFORMED BY WILLIAM BLAIR SHOULD BE VIEWED IN ITS ENTIRETY; NONE OF THE METHODS OF ANALYSIS SHOULD BE VIEWED IN ISOLATION. WILLIAM BLAIR'S FAIRNESS OPINION WAS DIRECTED TO THE SPECIAL COMMITTEE FOR ITS USE AND BENEFIT IN EVALUATING THE FAIRNESS OF THE MERGER CONSIDERATION TO BE RECEIVED BY THE DISINTERESTED STOCKHOLDERS</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OTHER THAN THE HOLDERS OF EXCLUDED </w:t>
      </w:r>
      <w:r>
        <w:rPr>
          <w:rFonts w:ascii="Times New Roman" w:cs="Times New Roman" w:eastAsia="Times New Roman" w:hAnsi="Times New Roman"/>
          <w:strike/>
          <w:color w:val="FF0000"/>
          <w:sz w:val="22"/>
          <w:szCs w:val="22"/>
        </w:rPr>
        <w:t xml:space="preserve">SHARES) IN CONNECTION WITH THE TRANSACTION CONTEMPLATED BY </w:t>
      </w:r>
      <w:r>
        <w:rPr>
          <w:rFonts w:ascii="Times New Roman" w:cs="Times New Roman" w:eastAsia="Times New Roman" w:hAnsi="Times New Roman"/>
          <w:color w:val="0000FF"/>
          <w:sz w:val="22"/>
          <w:szCs w:val="22"/>
          <w:u w:val="double" w:color="0000FF"/>
        </w:rPr>
        <w:t xml:space="preserve">SHARES, PURSUANT TO </w:t>
      </w:r>
      <w:r>
        <w:rPr>
          <w:rFonts w:ascii="Times New Roman" w:cs="Times New Roman" w:eastAsia="Times New Roman" w:hAnsi="Times New Roman"/>
          <w:sz w:val="22"/>
          <w:szCs w:val="22"/>
        </w:rPr>
        <w:t xml:space="preserve">THE MERGER AGREEMENT AND RELATES ONLY TO THE FAIRNESS, AS OF THE DATE OF WILLIAM BLAIR'S FAIRNESS OPINION AND FROM A FINANCIAL POINT OF VIEW, OF THE MERGER CONSIDERATION TO BE RECEIVED BY THE DISINTERESTED STOCKHOLDERS</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OTHER THAN THE HOLDERS OF EXCLUDED </w:t>
      </w:r>
      <w:r>
        <w:rPr>
          <w:rFonts w:ascii="Times New Roman" w:cs="Times New Roman" w:eastAsia="Times New Roman" w:hAnsi="Times New Roman"/>
          <w:strike/>
          <w:color w:val="FF0000"/>
          <w:sz w:val="22"/>
          <w:szCs w:val="22"/>
        </w:rPr>
        <w:t xml:space="preserve">SHARES) IN CONNECTION WITH THE TRANSACTIONS CONTEMPLATED BY </w:t>
      </w:r>
      <w:r>
        <w:rPr>
          <w:rFonts w:ascii="Times New Roman" w:cs="Times New Roman" w:eastAsia="Times New Roman" w:hAnsi="Times New Roman"/>
          <w:color w:val="0000FF"/>
          <w:sz w:val="22"/>
          <w:szCs w:val="22"/>
          <w:u w:val="double" w:color="0000FF"/>
        </w:rPr>
        <w:t xml:space="preserve">SHARES, PURSUANT TO </w:t>
      </w:r>
      <w:r>
        <w:rPr>
          <w:rFonts w:ascii="Times New Roman" w:cs="Times New Roman" w:eastAsia="Times New Roman" w:hAnsi="Times New Roman"/>
          <w:sz w:val="22"/>
          <w:szCs w:val="22"/>
        </w:rPr>
        <w:t xml:space="preserve">THE MERGER AGREEMENT. WILLIAM BLAIR'S FAIRNESS OPINION DOES NOT ADDRESS ANY OTHER ASPECTS OF THE MERGER OR ANY RELATED TRANSACTION, AND DOES NOT CONSTITUTE A RECOMMENDATION TO ANY HOLDER OF COMPANY COMMON STOCK AS TO HOW SUCH STOCKHOLDER SHOULD VOTE ITS SHARES OF COMPANY COMMON STOCK WITH RESPECT TO THE MERGER. WILLIAM BLAIR DID NOT ADDRESS THE MERITS OF THE UNDERLYING DECISION BY THE COMPANY TO ENGAGE IN THE MERGER. THE FOLLOWING SUMMARY OF WILLIAM BLAIR'S FAIRNESS OPINION IS QUALIFIED IN ITS ENTIRETY BY REFERENCE TO THE FULL TEXT OF ITS FAIRNESS OPINION ATTACHED TO THIS PROXY STATEMENT AS ANNEX B. </w:t>
      </w:r>
    </w:p>
    <w:p>
      <w:pPr>
        <w:spacing w:after="160" w:before="0"/>
        <w:jc w:val="left"/>
      </w:pPr>
      <w:r>
        <w:rPr>
          <w:rFonts w:ascii="Times New Roman" w:cs="Times New Roman" w:eastAsia="Times New Roman" w:hAnsi="Times New Roman"/>
          <w:sz w:val="22"/>
          <w:szCs w:val="22"/>
        </w:rPr>
        <w:t xml:space="preserve">In connection with William Blair's review of the Merger and the preparation of its opinion, William Blair examined: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the draft Merger Agreement, dated as of July 15, 2026, and William Blair assumed that the final form of the Merger Agreement would not differ from such draft in any material respect;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the audited historical financial statements of the Company included in its filings with the Securities and Exchange Commission (the " SEC ") as of and for the three fiscal years ended December 31, 2023, December 31, 2024 and December 31, 2025, in each case included in the Company's Annual Report on Form 10-K for the fiscal year ended December 31, 2025;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the unaudited consolidated financial statements of the Company included in its filings with the SEC as of and for the three months ended March 31, 2026, included in the Company's Quarterly Report on Form 10-Q for the fiscal quarter ended March 31, 2026;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certain internal business, operating and financial information and forecasts of the Company for the fiscal years ending December 31, 2026 through December 31, 2030, prepared by the senior management of the Company (the " Forecasts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information regarding publicly available financial terms of certain other transactions William Blair deemed relevant;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information regarding certain publicly traded companies William Blair deemed relevant;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the financial position and operating results of the Company compared with those of certain publicly traded companies William Blair deemed relevant;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the current and historical market prices and trading volumes of Company Common Stock; and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certain other publicly available information on the Company.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also held discussions with members of the senior management of the Company to discuss the foregoing, considered other matters that it deemed relevant to its analysis</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and took into account such accepted financial and investment banking procedures and considerations as it deemed relevant. William Blair was neither requested to approach, nor held any discussions with, third parties to solicit indications of interest in a possible acquisition of the Company in connection with its engagement. </w:t>
      </w:r>
    </w:p>
    <w:p>
      <w:pPr>
        <w:pBdr>
          <w:left w:val="single" w:color="000000" w:sz="12" w:space="6"/>
        </w:pBdr>
        <w:spacing w:after="160" w:before="0"/>
        <w:jc w:val="left"/>
      </w:pPr>
      <w:r>
        <w:rPr>
          <w:rFonts w:ascii="Times New Roman" w:cs="Times New Roman" w:eastAsia="Times New Roman" w:hAnsi="Times New Roman"/>
          <w:sz w:val="22"/>
          <w:szCs w:val="22"/>
        </w:rPr>
        <w:t xml:space="preserve">In rendering its opinion, William Blair assumed and relied, without independent verification</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and with the Company's consent, upon the accuracy and completeness of all the financial, legal, regulatory, tax, accounting and other information provided to, examined by</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or otherwise reviewed or discussed with William Blair for purposes of its </w:t>
      </w:r>
      <w:r>
        <w:rPr>
          <w:rFonts w:ascii="Times New Roman" w:cs="Times New Roman" w:eastAsia="Times New Roman" w:hAnsi="Times New Roman"/>
          <w:color w:val="0000FF"/>
          <w:sz w:val="22"/>
          <w:szCs w:val="22"/>
          <w:u w:val="double" w:color="0000FF"/>
        </w:rPr>
        <w:t xml:space="preserve">fairness </w:t>
      </w:r>
      <w:r>
        <w:rPr>
          <w:rFonts w:ascii="Times New Roman" w:cs="Times New Roman" w:eastAsia="Times New Roman" w:hAnsi="Times New Roman"/>
          <w:sz w:val="22"/>
          <w:szCs w:val="22"/>
        </w:rPr>
        <w:t xml:space="preserve">opinion, including</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without limitation</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and William Blair assumed no responsibility or liability therefor. William Blair did not make or obtain an independent valuation or appraisal of the assets, liabilities or solvency of the Company. William Blair was advised by the senior management of the Company that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examined by William Blair were reasonably prepared on bases reflecting the best currently available estimates and judgments of the senior management of the Company. In that regard, William Blair assumed, with the consent of the Special Committee, that (i)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would be achieved in the amounts and at the times contemplated thereby and (ii) all material assets and liabilities (contingent or otherwise) of the Company were as set forth in the </w:t>
      </w:r>
      <w:r>
        <w:rPr>
          <w:rFonts w:ascii="Times New Roman" w:cs="Times New Roman" w:eastAsia="Times New Roman" w:hAnsi="Times New Roman"/>
          <w:color w:val="0000FF"/>
          <w:sz w:val="22"/>
          <w:szCs w:val="22"/>
          <w:u w:val="double" w:color="0000FF"/>
        </w:rPr>
        <w:t xml:space="preserve">Company's </w:t>
      </w:r>
      <w:r>
        <w:rPr>
          <w:rFonts w:ascii="Times New Roman" w:cs="Times New Roman" w:eastAsia="Times New Roman" w:hAnsi="Times New Roman"/>
          <w:sz w:val="22"/>
          <w:szCs w:val="22"/>
        </w:rPr>
        <w:t xml:space="preserve">financial statements or other information made available to William Blair.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did not express an opinion with respect to (a)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or the estimates and judgments on which they </w:t>
      </w:r>
      <w:r>
        <w:rPr>
          <w:rFonts w:ascii="Times New Roman" w:cs="Times New Roman" w:eastAsia="Times New Roman" w:hAnsi="Times New Roman"/>
          <w:strike/>
          <w:color w:val="FF0000"/>
          <w:sz w:val="22"/>
          <w:szCs w:val="22"/>
        </w:rPr>
        <w:t xml:space="preserve">we</w:t>
      </w:r>
      <w:r>
        <w:rPr>
          <w:rFonts w:ascii="Times New Roman" w:cs="Times New Roman" w:eastAsia="Times New Roman" w:hAnsi="Times New Roman"/>
          <w:color w:val="0000FF"/>
          <w:sz w:val="22"/>
          <w:szCs w:val="22"/>
          <w:u w:val="double" w:color="0000FF"/>
        </w:rPr>
        <w:t xml:space="preserve">a</w:t>
      </w:r>
      <w:r>
        <w:rPr>
          <w:rFonts w:ascii="Times New Roman" w:cs="Times New Roman" w:eastAsia="Times New Roman" w:hAnsi="Times New Roman"/>
          <w:sz w:val="22"/>
          <w:szCs w:val="22"/>
        </w:rPr>
        <w:t xml:space="preserve">re based, (b) any debt financing incurred in connection with the Merger or (c) any equity financing provided in connection with the Merger or the terms thereof. William Blair did not consider</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and expressed no opinion as to</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the amount or nature of the compensation to any of the Company's officers, directors or employees (or any class of such persons) relative to the </w:t>
      </w:r>
      <w:r>
        <w:rPr>
          <w:rFonts w:ascii="Times New Roman" w:cs="Times New Roman" w:eastAsia="Times New Roman" w:hAnsi="Times New Roman"/>
          <w:strike/>
          <w:color w:val="FF0000"/>
          <w:sz w:val="22"/>
          <w:szCs w:val="22"/>
        </w:rPr>
        <w:t xml:space="preserve">Merger Consideration payable </w:t>
      </w:r>
      <w:r>
        <w:rPr>
          <w:rFonts w:ascii="Times New Roman" w:cs="Times New Roman" w:eastAsia="Times New Roman" w:hAnsi="Times New Roman"/>
          <w:color w:val="0000FF"/>
          <w:sz w:val="22"/>
          <w:szCs w:val="22"/>
          <w:u w:val="double" w:color="0000FF"/>
        </w:rPr>
        <w:t xml:space="preserve">compensation </w:t>
      </w:r>
      <w:r>
        <w:rPr>
          <w:rFonts w:ascii="Times New Roman" w:cs="Times New Roman" w:eastAsia="Times New Roman" w:hAnsi="Times New Roman"/>
          <w:sz w:val="22"/>
          <w:szCs w:val="22"/>
        </w:rPr>
        <w:t xml:space="preserve">to the </w:t>
      </w:r>
      <w:r>
        <w:rPr>
          <w:rFonts w:ascii="Times New Roman" w:cs="Times New Roman" w:eastAsia="Times New Roman" w:hAnsi="Times New Roman"/>
          <w:strike/>
          <w:color w:val="FF0000"/>
          <w:sz w:val="22"/>
          <w:szCs w:val="22"/>
        </w:rPr>
        <w:t xml:space="preserve">Company's other stockholders. </w:t>
      </w:r>
      <w:r>
        <w:rPr>
          <w:rFonts w:ascii="Times New Roman" w:cs="Times New Roman" w:eastAsia="Times New Roman" w:hAnsi="Times New Roman"/>
          <w:color w:val="0000FF"/>
          <w:sz w:val="22"/>
          <w:szCs w:val="22"/>
          <w:u w:val="double" w:color="0000FF"/>
        </w:rPr>
        <w:t xml:space="preserve">Company. </w:t>
      </w:r>
      <w:r>
        <w:rPr>
          <w:rFonts w:ascii="Times New Roman" w:cs="Times New Roman" w:eastAsia="Times New Roman" w:hAnsi="Times New Roman"/>
          <w:sz w:val="22"/>
          <w:szCs w:val="22"/>
        </w:rPr>
        <w:t xml:space="preserve">William Blair was not asked to consider, and its </w:t>
      </w:r>
      <w:r>
        <w:rPr>
          <w:rFonts w:ascii="Times New Roman" w:cs="Times New Roman" w:eastAsia="Times New Roman" w:hAnsi="Times New Roman"/>
          <w:color w:val="0000FF"/>
          <w:sz w:val="22"/>
          <w:szCs w:val="22"/>
          <w:u w:val="double" w:color="0000FF"/>
        </w:rPr>
        <w:t xml:space="preserve">fairness </w:t>
      </w:r>
      <w:r>
        <w:rPr>
          <w:rFonts w:ascii="Times New Roman" w:cs="Times New Roman" w:eastAsia="Times New Roman" w:hAnsi="Times New Roman"/>
          <w:sz w:val="22"/>
          <w:szCs w:val="22"/>
        </w:rPr>
        <w:t xml:space="preserve">opinion did not address, the relative merits of the Merger as compared to any alternative business strategies that might exist for the Company or the effect of any other transaction in which the Company might engage. William Blair's </w:t>
      </w:r>
      <w:r>
        <w:rPr>
          <w:rFonts w:ascii="Times New Roman" w:cs="Times New Roman" w:eastAsia="Times New Roman" w:hAnsi="Times New Roman"/>
          <w:color w:val="0000FF"/>
          <w:sz w:val="22"/>
          <w:szCs w:val="22"/>
          <w:u w:val="double" w:color="0000FF"/>
        </w:rPr>
        <w:t xml:space="preserve">fairness </w:t>
      </w:r>
      <w:r>
        <w:rPr>
          <w:rFonts w:ascii="Times New Roman" w:cs="Times New Roman" w:eastAsia="Times New Roman" w:hAnsi="Times New Roman"/>
          <w:sz w:val="22"/>
          <w:szCs w:val="22"/>
        </w:rPr>
        <w:t xml:space="preserve">opinion is based upon economic, market, financial and other conditions existing on, and other information disclosed to </w:t>
      </w:r>
      <w:r>
        <w:rPr>
          <w:rFonts w:ascii="Times New Roman" w:cs="Times New Roman" w:eastAsia="Times New Roman" w:hAnsi="Times New Roman"/>
          <w:strike/>
          <w:color w:val="FF0000"/>
          <w:sz w:val="22"/>
          <w:szCs w:val="22"/>
        </w:rPr>
        <w:t xml:space="preserve">William Blair </w:t>
      </w:r>
      <w:r>
        <w:rPr>
          <w:rFonts w:ascii="Times New Roman" w:cs="Times New Roman" w:eastAsia="Times New Roman" w:hAnsi="Times New Roman"/>
          <w:color w:val="0000FF"/>
          <w:sz w:val="22"/>
          <w:szCs w:val="22"/>
          <w:u w:val="double" w:color="0000FF"/>
        </w:rPr>
        <w:t xml:space="preserve">it </w:t>
      </w:r>
      <w:r>
        <w:rPr>
          <w:rFonts w:ascii="Times New Roman" w:cs="Times New Roman" w:eastAsia="Times New Roman" w:hAnsi="Times New Roman"/>
          <w:sz w:val="22"/>
          <w:szCs w:val="22"/>
        </w:rPr>
        <w:t xml:space="preserve">as of, the date of such </w:t>
      </w:r>
      <w:r>
        <w:rPr>
          <w:rFonts w:ascii="Times New Roman" w:cs="Times New Roman" w:eastAsia="Times New Roman" w:hAnsi="Times New Roman"/>
          <w:color w:val="0000FF"/>
          <w:sz w:val="22"/>
          <w:szCs w:val="22"/>
          <w:u w:val="double" w:color="0000FF"/>
        </w:rPr>
        <w:t xml:space="preserve">fairness </w:t>
      </w:r>
      <w:r>
        <w:rPr>
          <w:rFonts w:ascii="Times New Roman" w:cs="Times New Roman" w:eastAsia="Times New Roman" w:hAnsi="Times New Roman"/>
          <w:sz w:val="22"/>
          <w:szCs w:val="22"/>
        </w:rPr>
        <w:t xml:space="preserve">opinion. It should be understood that, although subsequent developments may affect William Blair's </w:t>
      </w:r>
      <w:r>
        <w:rPr>
          <w:rFonts w:ascii="Times New Roman" w:cs="Times New Roman" w:eastAsia="Times New Roman" w:hAnsi="Times New Roman"/>
          <w:color w:val="0000FF"/>
          <w:sz w:val="22"/>
          <w:szCs w:val="22"/>
          <w:u w:val="double" w:color="0000FF"/>
        </w:rPr>
        <w:t xml:space="preserve">fairness </w:t>
      </w:r>
      <w:r>
        <w:rPr>
          <w:rFonts w:ascii="Times New Roman" w:cs="Times New Roman" w:eastAsia="Times New Roman" w:hAnsi="Times New Roman"/>
          <w:sz w:val="22"/>
          <w:szCs w:val="22"/>
        </w:rPr>
        <w:t xml:space="preserve">opinion, </w:t>
      </w:r>
      <w:r>
        <w:rPr>
          <w:rFonts w:ascii="Times New Roman" w:cs="Times New Roman" w:eastAsia="Times New Roman" w:hAnsi="Times New Roman"/>
          <w:strike/>
          <w:color w:val="FF0000"/>
          <w:sz w:val="22"/>
          <w:szCs w:val="22"/>
        </w:rPr>
        <w:t xml:space="preserve">William Blair </w:t>
      </w:r>
      <w:r>
        <w:rPr>
          <w:rFonts w:ascii="Times New Roman" w:cs="Times New Roman" w:eastAsia="Times New Roman" w:hAnsi="Times New Roman"/>
          <w:color w:val="0000FF"/>
          <w:sz w:val="22"/>
          <w:szCs w:val="22"/>
          <w:u w:val="double" w:color="0000FF"/>
        </w:rPr>
        <w:t xml:space="preserve">it </w:t>
      </w:r>
      <w:r>
        <w:rPr>
          <w:rFonts w:ascii="Times New Roman" w:cs="Times New Roman" w:eastAsia="Times New Roman" w:hAnsi="Times New Roman"/>
          <w:sz w:val="22"/>
          <w:szCs w:val="22"/>
        </w:rPr>
        <w:t xml:space="preserve">does not have any obligation to update, revise or reaffirm </w:t>
      </w:r>
      <w:r>
        <w:rPr>
          <w:rFonts w:ascii="Times New Roman" w:cs="Times New Roman" w:eastAsia="Times New Roman" w:hAnsi="Times New Roman"/>
          <w:color w:val="0000FF"/>
          <w:sz w:val="22"/>
          <w:szCs w:val="22"/>
          <w:u w:val="double" w:color="0000FF"/>
        </w:rPr>
        <w:t xml:space="preserve">th</w:t>
      </w:r>
      <w:r>
        <w:rPr>
          <w:rFonts w:ascii="Times New Roman" w:cs="Times New Roman" w:eastAsia="Times New Roman" w:hAnsi="Times New Roman"/>
          <w:sz w:val="22"/>
          <w:szCs w:val="22"/>
        </w:rPr>
        <w:t xml:space="preserve">i</w:t>
      </w:r>
      <w:r>
        <w:rPr>
          <w:rFonts w:ascii="Times New Roman" w:cs="Times New Roman" w:eastAsia="Times New Roman" w:hAnsi="Times New Roman"/>
          <w:strike/>
          <w:color w:val="FF0000"/>
          <w:sz w:val="22"/>
          <w:szCs w:val="22"/>
        </w:rPr>
        <w:t xml:space="preserve">t</w:t>
      </w:r>
      <w:r>
        <w:rPr>
          <w:rFonts w:ascii="Times New Roman" w:cs="Times New Roman" w:eastAsia="Times New Roman" w:hAnsi="Times New Roman"/>
          <w:sz w:val="22"/>
          <w:szCs w:val="22"/>
        </w:rPr>
        <w:t xml:space="preserve">s opinion. William Blair did not make any determination as to </w:t>
      </w:r>
      <w:r>
        <w:rPr>
          <w:rFonts w:ascii="Times New Roman" w:cs="Times New Roman" w:eastAsia="Times New Roman" w:hAnsi="Times New Roman"/>
          <w:strike/>
          <w:color w:val="FF0000"/>
          <w:sz w:val="22"/>
          <w:szCs w:val="22"/>
        </w:rPr>
        <w:t xml:space="preserve">any </w:t>
      </w:r>
      <w:r>
        <w:rPr>
          <w:rFonts w:ascii="Times New Roman" w:cs="Times New Roman" w:eastAsia="Times New Roman" w:hAnsi="Times New Roman"/>
          <w:sz w:val="22"/>
          <w:szCs w:val="22"/>
        </w:rPr>
        <w:t xml:space="preserve">legal matters related to the Merger, </w:t>
      </w:r>
      <w:r>
        <w:rPr>
          <w:rFonts w:ascii="Times New Roman" w:cs="Times New Roman" w:eastAsia="Times New Roman" w:hAnsi="Times New Roman"/>
          <w:color w:val="0000FF"/>
          <w:sz w:val="22"/>
          <w:szCs w:val="22"/>
          <w:u w:val="double" w:color="0000FF"/>
        </w:rPr>
        <w:t xml:space="preserve">assumed that the final executed Merger Agreement did not materially differ from the drafts of the Merger Agreement reviewed by it </w:t>
      </w:r>
      <w:r>
        <w:rPr>
          <w:rFonts w:ascii="Times New Roman" w:cs="Times New Roman" w:eastAsia="Times New Roman" w:hAnsi="Times New Roman"/>
          <w:sz w:val="22"/>
          <w:szCs w:val="22"/>
        </w:rPr>
        <w:t xml:space="preserve">and assumed that the Merger will be consummated on the terms described in the Merger Agreement, without any amendment or waiver of any material terms or conditions. William Blair did not express any opinion as to any tax or other consequences that might result from the Merger, nor </w:t>
      </w:r>
      <w:r>
        <w:rPr>
          <w:rFonts w:ascii="Times New Roman" w:cs="Times New Roman" w:eastAsia="Times New Roman" w:hAnsi="Times New Roman"/>
          <w:strike/>
          <w:color w:val="FF0000"/>
          <w:sz w:val="22"/>
          <w:szCs w:val="22"/>
        </w:rPr>
        <w:t xml:space="preserve">does</w:t>
      </w:r>
      <w:r>
        <w:rPr>
          <w:rFonts w:ascii="Times New Roman" w:cs="Times New Roman" w:eastAsia="Times New Roman" w:hAnsi="Times New Roman"/>
          <w:color w:val="0000FF"/>
          <w:sz w:val="22"/>
          <w:szCs w:val="22"/>
          <w:u w:val="double" w:color="0000FF"/>
        </w:rPr>
        <w:t xml:space="preserve">did</w:t>
      </w:r>
      <w:r>
        <w:rPr>
          <w:rFonts w:ascii="Times New Roman" w:cs="Times New Roman" w:eastAsia="Times New Roman" w:hAnsi="Times New Roman"/>
          <w:sz w:val="22"/>
          <w:szCs w:val="22"/>
        </w:rPr>
        <w:t xml:space="preserve"> its opinion address any legal, tax, regulatory or accounting matters, as to which it understood that the Company had obtained such advice as it deemed necessary from qualified professionals. William Blair expressed no view or opinion as to any terms or other aspects or implications of the Merger (other than the Merger Consideration to the extent expressly specified in its </w:t>
      </w:r>
      <w:r>
        <w:rPr>
          <w:rFonts w:ascii="Times New Roman" w:cs="Times New Roman" w:eastAsia="Times New Roman" w:hAnsi="Times New Roman"/>
          <w:color w:val="0000FF"/>
          <w:sz w:val="22"/>
          <w:szCs w:val="22"/>
          <w:u w:val="double" w:color="0000FF"/>
        </w:rPr>
        <w:t xml:space="preserve">fairness </w:t>
      </w:r>
      <w:r>
        <w:rPr>
          <w:rFonts w:ascii="Times New Roman" w:cs="Times New Roman" w:eastAsia="Times New Roman" w:hAnsi="Times New Roman"/>
          <w:sz w:val="22"/>
          <w:szCs w:val="22"/>
        </w:rPr>
        <w:t xml:space="preserve">opinion), including, without limitation, the form or structure of the Merger or any agreements or other arrangements entered into in connection with, or contemplated by, the Merger. </w:t>
      </w:r>
      <w:r>
        <w:rPr>
          <w:rFonts w:ascii="Times New Roman" w:cs="Times New Roman" w:eastAsia="Times New Roman" w:hAnsi="Times New Roman"/>
          <w:color w:val="0000FF"/>
          <w:sz w:val="22"/>
          <w:szCs w:val="22"/>
          <w:u w:val="double" w:color="0000FF"/>
        </w:rPr>
        <w:t xml:space="preserve">William Blair's fairness opinion was reviewed and approved by its Fairness Opinion Committee. </w:t>
      </w:r>
    </w:p>
    <w:p>
      <w:pPr>
        <w:spacing w:after="160" w:before="0"/>
        <w:jc w:val="left"/>
      </w:pPr>
      <w:r>
        <w:rPr>
          <w:rFonts w:ascii="Times New Roman" w:cs="Times New Roman" w:eastAsia="Times New Roman" w:hAnsi="Times New Roman"/>
          <w:sz w:val="22"/>
          <w:szCs w:val="22"/>
        </w:rPr>
        <w:t xml:space="preserve">The following is a summary of the material financial analyses performed and material factors considered by William Blair to arrive at its opinion. William Blair performed certain procedures, including each of the financial analyses described below, and reviewed with the Special Committee the assumptions upon which such analyses were based, as well as other factors. Although the summary does not purport to describe all of the analyses performed or factors considered by William Blair in this regard, it does set forth those considered by William Blair to be material in arriving at its fairness opinion. The financial analyses summarized below include information presented in a tabular format. In order to fully understand the financial analyses performed by William Blair, the tables must be read together with the text of each summary. The tables alone do not constitute a complete description of the financial analyses performed by William Blair. Considering the data set forth in the tables below without considering the full narrative description of the financial analyses, including the methodologies and assumptions underlying the analyses, could create a misleading or incomplete view of the financial analyses performed by William Blair. The order of the summaries of the analyses described below does not represent the relative importance or weight given to those analyses by William Blair. </w:t>
      </w:r>
    </w:p>
    <w:p>
      <w:pPr>
        <w:spacing w:after="160" w:before="0"/>
        <w:jc w:val="left"/>
      </w:pPr>
      <w:r>
        <w:rPr>
          <w:rFonts w:ascii="Times New Roman" w:cs="Times New Roman" w:eastAsia="Times New Roman" w:hAnsi="Times New Roman"/>
          <w:sz w:val="22"/>
          <w:szCs w:val="22"/>
        </w:rPr>
        <w:t xml:space="preserve">Selected Public Companies Analysis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reviewed and compared certain financial information relating to the Company to corresponding financial information and multiples for seven </w:t>
      </w:r>
      <w:r>
        <w:rPr>
          <w:rFonts w:ascii="Times New Roman" w:cs="Times New Roman" w:eastAsia="Times New Roman" w:hAnsi="Times New Roman"/>
          <w:strike/>
          <w:color w:val="FF0000"/>
          <w:sz w:val="22"/>
          <w:szCs w:val="22"/>
        </w:rPr>
        <w:t xml:space="preserve">selected </w:t>
      </w:r>
      <w:r>
        <w:rPr>
          <w:rFonts w:ascii="Times New Roman" w:cs="Times New Roman" w:eastAsia="Times New Roman" w:hAnsi="Times New Roman"/>
          <w:sz w:val="22"/>
          <w:szCs w:val="22"/>
        </w:rPr>
        <w:t xml:space="preserve">publicly traded companies in the industrial </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color w:val="0000FF"/>
          <w:sz w:val="22"/>
          <w:szCs w:val="22"/>
          <w:u w:val="double" w:color="0000FF"/>
        </w:rPr>
        <w:t xml:space="preserve">and</w:t>
      </w:r>
      <w:r>
        <w:rPr>
          <w:rFonts w:ascii="Times New Roman" w:cs="Times New Roman" w:eastAsia="Times New Roman" w:hAnsi="Times New Roman"/>
          <w:sz w:val="22"/>
          <w:szCs w:val="22"/>
        </w:rPr>
        <w:t xml:space="preserve"> specialty distribution sector</w:t>
      </w:r>
      <w:r>
        <w:rPr>
          <w:rFonts w:ascii="Times New Roman" w:cs="Times New Roman" w:eastAsia="Times New Roman" w:hAnsi="Times New Roman"/>
          <w:color w:val="0000FF"/>
          <w:sz w:val="22"/>
          <w:szCs w:val="22"/>
          <w:u w:val="double" w:color="0000FF"/>
        </w:rPr>
        <w:t xml:space="preserve">s</w:t>
      </w:r>
      <w:r>
        <w:rPr>
          <w:rFonts w:ascii="Times New Roman" w:cs="Times New Roman" w:eastAsia="Times New Roman" w:hAnsi="Times New Roman"/>
          <w:sz w:val="22"/>
          <w:szCs w:val="22"/>
        </w:rPr>
        <w:t xml:space="preserve"> with similar business models or financial profiles that William Blair deemed relevant based on its professional judgment and experience. William Blair considered the enterprise value for each company (including the Company), which William Blair calculated as the equity value of </w:t>
      </w:r>
      <w:r>
        <w:rPr>
          <w:rFonts w:ascii="Times New Roman" w:cs="Times New Roman" w:eastAsia="Times New Roman" w:hAnsi="Times New Roman"/>
          <w:strike/>
          <w:color w:val="FF0000"/>
          <w:sz w:val="22"/>
          <w:szCs w:val="22"/>
        </w:rPr>
        <w:t xml:space="preserve">such</w:t>
      </w:r>
      <w:r>
        <w:rPr>
          <w:rFonts w:ascii="Times New Roman" w:cs="Times New Roman" w:eastAsia="Times New Roman" w:hAnsi="Times New Roman"/>
          <w:color w:val="0000FF"/>
          <w:sz w:val="22"/>
          <w:szCs w:val="22"/>
          <w:u w:val="double" w:color="0000FF"/>
        </w:rPr>
        <w:t xml:space="preserve">the</w:t>
      </w:r>
      <w:r>
        <w:rPr>
          <w:rFonts w:ascii="Times New Roman" w:cs="Times New Roman" w:eastAsia="Times New Roman" w:hAnsi="Times New Roman"/>
          <w:sz w:val="22"/>
          <w:szCs w:val="22"/>
        </w:rPr>
        <w:t xml:space="preserve"> company, plus total debt, minority interest and preferred stock, less cash and cash equivalents. The equity value of each company was calculated using the closing stock price as of July 14, 2026 (the last trading day for reference prior to the entry into the Merger Agreement), multiplied by the total diluted shares outstanding (using the most recent publicly available information as of July 14, 2026). William Blair reviewed the enterprise value as a multiple of (i) last twelve months </w:t>
      </w:r>
      <w:r>
        <w:rPr>
          <w:rFonts w:ascii="Times New Roman" w:cs="Times New Roman" w:eastAsia="Times New Roman" w:hAnsi="Times New Roman"/>
          <w:strike/>
          <w:color w:val="FF0000"/>
          <w:sz w:val="22"/>
          <w:szCs w:val="22"/>
        </w:rPr>
        <w:t xml:space="preserve">("LTM") </w:t>
      </w:r>
      <w:r>
        <w:rPr>
          <w:rFonts w:ascii="Times New Roman" w:cs="Times New Roman" w:eastAsia="Times New Roman" w:hAnsi="Times New Roman"/>
          <w:color w:val="0000FF"/>
          <w:sz w:val="22"/>
          <w:szCs w:val="22"/>
          <w:u w:val="double" w:color="0000FF"/>
        </w:rPr>
        <w:t xml:space="preserve">(" LTM ") </w:t>
      </w:r>
      <w:r>
        <w:rPr>
          <w:rFonts w:ascii="Times New Roman" w:cs="Times New Roman" w:eastAsia="Times New Roman" w:hAnsi="Times New Roman"/>
          <w:sz w:val="22"/>
          <w:szCs w:val="22"/>
        </w:rPr>
        <w:t xml:space="preserve">Adjusted EBITDA and (ii) calendar year 2026 expected </w:t>
      </w:r>
      <w:r>
        <w:rPr>
          <w:rFonts w:ascii="Times New Roman" w:cs="Times New Roman" w:eastAsia="Times New Roman" w:hAnsi="Times New Roman"/>
          <w:strike/>
          <w:color w:val="FF0000"/>
          <w:sz w:val="22"/>
          <w:szCs w:val="22"/>
        </w:rPr>
        <w:t xml:space="preserve">("CY 2026E") </w:t>
      </w:r>
      <w:r>
        <w:rPr>
          <w:rFonts w:ascii="Times New Roman" w:cs="Times New Roman" w:eastAsia="Times New Roman" w:hAnsi="Times New Roman"/>
          <w:color w:val="0000FF"/>
          <w:sz w:val="22"/>
          <w:szCs w:val="22"/>
          <w:u w:val="double" w:color="0000FF"/>
        </w:rPr>
        <w:t xml:space="preserve">(" CY 2026E ") </w:t>
      </w:r>
      <w:r>
        <w:rPr>
          <w:rFonts w:ascii="Times New Roman" w:cs="Times New Roman" w:eastAsia="Times New Roman" w:hAnsi="Times New Roman"/>
          <w:sz w:val="22"/>
          <w:szCs w:val="22"/>
        </w:rPr>
        <w:t xml:space="preserve">Adjusted EBITDA, in each case, based on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for the Company and consensus estimates for each other company, sourced from SEC filings and subscription services as of July 14, 2026. Set forth below are the companies and relevant metrics: </w:t>
      </w:r>
    </w:p>
    <w:tbl>
      <w:tblPr>
        <w:tblW w:type="dxa" w:w="9357"/>
        <w:tblBorders>
          <w:top w:val="single" w:color="auto" w:sz="4"/>
          <w:left w:val="single" w:color="auto" w:sz="4"/>
          <w:bottom w:val="single" w:color="auto" w:sz="4"/>
          <w:right w:val="single" w:color="auto" w:sz="4"/>
          <w:insideH w:val="single" w:color="auto" w:sz="4"/>
          <w:insideV w:val="single" w:color="auto" w:sz="4"/>
        </w:tblBorders>
      </w:tblPr>
      <w:tblGrid>
        <w:gridCol w:w="2238"/>
        <w:gridCol w:w="1017"/>
        <w:gridCol w:w="1017"/>
        <w:gridCol w:w="1017"/>
        <w:gridCol w:w="1017"/>
        <w:gridCol w:w="1017"/>
        <w:gridCol w:w="1017"/>
        <w:gridCol w:w="1017"/>
      </w:tblGrid>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Company</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Equity Value (millions)</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Enterprise Value (millions)</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2025A–2026E Revenue Growth</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LTM Adjusted EBITDA Margin</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Enterprise Value/LTM Adjusted EBITDA</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Enterprise Value/CY 2026E Adjusted EBITDA</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W.W. Grainger,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$64,893</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$67,042</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10.7%</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17.4%</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21.8x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19.6x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Fastenal Company</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$52,642</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$52,557</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11.9%</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22.4%</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26.8x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WESCO International,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$16,868</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$21,991</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8.4%</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6.7%</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12.7x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Applied Industrial Technologies, Inc. (1)</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Applied Industrial Technologies,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$12,258</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$12,451</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6.1%</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12.5%</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20.6x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19.4x</w:t>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MSC Industrial Direct Co., Inc. (2)</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MSC Industrial Direct Co.,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$6,990</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$7,424</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7.3%</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12.0%</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15.8x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14.4x</w:t>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Hillman Solutions Corp.</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$1,590</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$2,316</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6.8%</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17.3%</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8.6x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Global Industrial Company</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$1,304</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$1,243</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5.7%</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8.1%</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11.3x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color w:val="0000FF"/>
                <w:sz w:val="18"/>
                <w:szCs w:val="18"/>
                <w:u w:val="double" w:color="0000FF"/>
              </w:rPr>
              <w:t xml:space="preserve">Maximum</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$64,893</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$67,042</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11.9%</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22.4%</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26.8x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25.1x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color w:val="0000FF"/>
                <w:sz w:val="18"/>
                <w:szCs w:val="18"/>
                <w:u w:val="double" w:color="0000FF"/>
              </w:rPr>
              <w:t xml:space="preserve">Median</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$12,258</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$12,451</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7.3%</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12.5%</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15.8x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14.4x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color w:val="0000FF"/>
                <w:sz w:val="18"/>
                <w:szCs w:val="18"/>
                <w:u w:val="double" w:color="0000FF"/>
              </w:rPr>
              <w:t xml:space="preserve">Mean</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$22,363</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$23,575</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8.1%</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13.8%</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16.9x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15.8x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color w:val="0000FF"/>
                <w:sz w:val="18"/>
                <w:szCs w:val="18"/>
                <w:u w:val="double" w:color="0000FF"/>
              </w:rPr>
              <w:t xml:space="preserve">Minimum</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$1,304</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$1,243</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5.7%</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6.7%</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8.6x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8.3x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bl>
    <w:p>
      <w:pPr>
        <w:spacing w:after="120"/>
      </w:pP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William Blair also reviewed, for each selected public company and for the Company, calendar year 2025 actual to calendar year 2026 expected revenue growth and LTM Adjusted EBITDA margin. For the Company, such revenue growth was 8.1% based on the Forecasts and 4.0% based on consensus estimates, and such LTM Adjusted EBITDA margin was 8.6%, in each case pro forma for acquisitions.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then used the implied enterprise value of $2,328 million based on the per share Merger Consideration of $35.00, the Company's fully diluted shares outstanding </w:t>
      </w:r>
      <w:r>
        <w:rPr>
          <w:rFonts w:ascii="Times New Roman" w:cs="Times New Roman" w:eastAsia="Times New Roman" w:hAnsi="Times New Roman"/>
          <w:color w:val="0000FF"/>
          <w:sz w:val="22"/>
          <w:szCs w:val="22"/>
          <w:u w:val="double" w:color="0000FF"/>
        </w:rPr>
        <w:t xml:space="preserve">of 46.946 million </w:t>
      </w:r>
      <w:r>
        <w:rPr>
          <w:rFonts w:ascii="Times New Roman" w:cs="Times New Roman" w:eastAsia="Times New Roman" w:hAnsi="Times New Roman"/>
          <w:sz w:val="22"/>
          <w:szCs w:val="22"/>
        </w:rPr>
        <w:t xml:space="preserve">as of July 14, 2026 as provided by the Company's senior management and the net debt of the Company of $685 million as of March 31, 2026, as set forth in and calculated from the Company's public filings, to derive implied valuation multiples for the Company </w:t>
      </w:r>
      <w:r>
        <w:rPr>
          <w:rFonts w:ascii="Times New Roman" w:cs="Times New Roman" w:eastAsia="Times New Roman" w:hAnsi="Times New Roman"/>
          <w:strike/>
          <w:color w:val="FF0000"/>
          <w:sz w:val="22"/>
          <w:szCs w:val="22"/>
        </w:rPr>
        <w:t xml:space="preserve">based on the Merger Consideration using </w:t>
      </w:r>
      <w:r>
        <w:rPr>
          <w:rFonts w:ascii="Times New Roman" w:cs="Times New Roman" w:eastAsia="Times New Roman" w:hAnsi="Times New Roman"/>
          <w:color w:val="0000FF"/>
          <w:sz w:val="22"/>
          <w:szCs w:val="22"/>
          <w:u w:val="double" w:color="0000FF"/>
        </w:rPr>
        <w:t xml:space="preserve">for </w:t>
      </w:r>
      <w:r>
        <w:rPr>
          <w:rFonts w:ascii="Times New Roman" w:cs="Times New Roman" w:eastAsia="Times New Roman" w:hAnsi="Times New Roman"/>
          <w:sz w:val="22"/>
          <w:szCs w:val="22"/>
        </w:rPr>
        <w:t xml:space="preserve">LTM Adjusted EBITDA of $173 million </w:t>
      </w:r>
      <w:r>
        <w:rPr>
          <w:rFonts w:ascii="Times New Roman" w:cs="Times New Roman" w:eastAsia="Times New Roman" w:hAnsi="Times New Roman"/>
          <w:strike/>
          <w:color w:val="FF0000"/>
          <w:sz w:val="22"/>
          <w:szCs w:val="22"/>
        </w:rPr>
        <w:t xml:space="preserve">based on historical financial statements, </w:t>
      </w:r>
      <w:r>
        <w:rPr>
          <w:rFonts w:ascii="Times New Roman" w:cs="Times New Roman" w:eastAsia="Times New Roman" w:hAnsi="Times New Roman"/>
          <w:color w:val="0000FF"/>
          <w:sz w:val="22"/>
          <w:szCs w:val="22"/>
          <w:u w:val="double" w:color="0000FF"/>
        </w:rPr>
        <w:t xml:space="preserve">and for </w:t>
      </w:r>
      <w:r>
        <w:rPr>
          <w:rFonts w:ascii="Times New Roman" w:cs="Times New Roman" w:eastAsia="Times New Roman" w:hAnsi="Times New Roman"/>
          <w:sz w:val="22"/>
          <w:szCs w:val="22"/>
        </w:rPr>
        <w:t xml:space="preserve">CY 2026E Adjusted EBITDA of $203 million based on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and </w:t>
      </w:r>
      <w:r>
        <w:rPr>
          <w:rFonts w:ascii="Times New Roman" w:cs="Times New Roman" w:eastAsia="Times New Roman" w:hAnsi="Times New Roman"/>
          <w:strike/>
          <w:color w:val="FF0000"/>
          <w:sz w:val="22"/>
          <w:szCs w:val="22"/>
        </w:rPr>
        <w:t xml:space="preserve">CY 2026E Adjusted EBITDA of </w:t>
      </w:r>
      <w:r>
        <w:rPr>
          <w:rFonts w:ascii="Times New Roman" w:cs="Times New Roman" w:eastAsia="Times New Roman" w:hAnsi="Times New Roman"/>
          <w:sz w:val="22"/>
          <w:szCs w:val="22"/>
        </w:rPr>
        <w:t xml:space="preserve">$180 million based on </w:t>
      </w:r>
      <w:r>
        <w:rPr>
          <w:rFonts w:ascii="Times New Roman" w:cs="Times New Roman" w:eastAsia="Times New Roman" w:hAnsi="Times New Roman"/>
          <w:strike/>
          <w:color w:val="FF0000"/>
          <w:sz w:val="22"/>
          <w:szCs w:val="22"/>
        </w:rPr>
        <w:t xml:space="preserve">Wall Street </w:t>
      </w:r>
      <w:r>
        <w:rPr>
          <w:rFonts w:ascii="Times New Roman" w:cs="Times New Roman" w:eastAsia="Times New Roman" w:hAnsi="Times New Roman"/>
          <w:sz w:val="22"/>
          <w:szCs w:val="22"/>
        </w:rPr>
        <w:t xml:space="preserve">consensus estimates. William Blair compared the multiples implied for the Company based on the Merger Consideration to the range of trading multiples of the aggregate group of such selected publicly traded companies. Information regarding the multiples derived from William Blair's selected public company analysis is set forth in the following table</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018"/>
        <w:gridCol w:w="917"/>
        <w:gridCol w:w="917"/>
        <w:gridCol w:w="917"/>
        <w:gridCol w:w="917"/>
        <w:gridCol w:w="917"/>
        <w:gridCol w:w="917"/>
        <w:gridCol w:w="917"/>
        <w:gridCol w:w="917"/>
      </w:tblGrid>
      <w:tr>
        <w:tc>
          <w:tcPr>
            <w:tcW w:type="dxa" w:w="201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color w:val="0000FF"/>
                <w:sz w:val="18"/>
                <w:szCs w:val="18"/>
                <w:u w:val="double" w:color="0000FF"/>
              </w:rPr>
              <w:t xml:space="preserve">Valuation Multiple</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Metric</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Implied Transaction Multiple</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Min</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Mean</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Median</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Mean</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Max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01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Actuals (1)</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Enterprise Value/LTM Adjusted EBITDA — actuals</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$173</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13.5x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8.6x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16.9x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15.8x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16.9x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26.8x</w:t>
            </w:r>
          </w:p>
        </w:tc>
      </w:tr>
      <w:tr>
        <w:tc>
          <w:tcPr>
            <w:tcW w:type="dxa" w:w="201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Forecast (1)</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Enterprise Value/CY 2026E Adjusted EBITDA — Forecasts</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$203</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11.5x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15.8x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14.4x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15.8x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25.1x</w:t>
            </w:r>
          </w:p>
        </w:tc>
      </w:tr>
      <w:tr>
        <w:tc>
          <w:tcPr>
            <w:tcW w:type="dxa" w:w="201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Consensus Estimates</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Enterprise Value/CY 2026E Adjusted EBITDA — consensus estimates</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$180</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12.9x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15.8x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14.4x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15.8x</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25.1x</w:t>
            </w:r>
          </w:p>
        </w:tc>
      </w:tr>
    </w:tbl>
    <w:p>
      <w:pPr>
        <w:spacing w:after="120"/>
      </w:pP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noted that the analyzed implied valuation multiple for the Company based on the Merger Consideration was within the range of multiples of the selected public</w:t>
      </w:r>
      <w:r>
        <w:rPr>
          <w:rFonts w:ascii="Times New Roman" w:cs="Times New Roman" w:eastAsia="Times New Roman" w:hAnsi="Times New Roman"/>
          <w:color w:val="0000FF"/>
          <w:sz w:val="22"/>
          <w:szCs w:val="22"/>
          <w:u w:val="double" w:color="0000FF"/>
        </w:rPr>
        <w:t xml:space="preserve">ly</w:t>
      </w:r>
      <w:r>
        <w:rPr>
          <w:rFonts w:ascii="Times New Roman" w:cs="Times New Roman" w:eastAsia="Times New Roman" w:hAnsi="Times New Roman"/>
          <w:sz w:val="22"/>
          <w:szCs w:val="22"/>
        </w:rPr>
        <w:t xml:space="preserve"> companies. </w:t>
      </w:r>
    </w:p>
    <w:p>
      <w:pPr>
        <w:spacing w:after="160" w:before="0"/>
        <w:jc w:val="left"/>
      </w:pPr>
      <w:r>
        <w:rPr>
          <w:rFonts w:ascii="Times New Roman" w:cs="Times New Roman" w:eastAsia="Times New Roman" w:hAnsi="Times New Roman"/>
          <w:sz w:val="22"/>
          <w:szCs w:val="22"/>
        </w:rPr>
        <w:t xml:space="preserve">Although William Blair compared the trading multiples of the selected public companies to those implied for the Company, none of the selected public companies is directly comparable to the Company. Accordingly, any analysis of the selected public companies involved complex considerations and judgments concerning the differences in financial and operating characteristics and other factors that would affect the analysis of trading multiples of the selected public companies. </w:t>
      </w:r>
    </w:p>
    <w:p>
      <w:pPr>
        <w:pBdr>
          <w:left w:val="single" w:color="000000" w:sz="12" w:space="6"/>
        </w:pBdr>
        <w:spacing w:after="160" w:before="0"/>
        <w:jc w:val="left"/>
      </w:pPr>
      <w:r>
        <w:rPr>
          <w:rFonts w:ascii="Times New Roman" w:cs="Times New Roman" w:eastAsia="Times New Roman" w:hAnsi="Times New Roman"/>
          <w:sz w:val="22"/>
          <w:szCs w:val="22"/>
        </w:rPr>
        <w:t xml:space="preserve">Selected </w:t>
      </w:r>
      <w:r>
        <w:rPr>
          <w:rFonts w:ascii="Times New Roman" w:cs="Times New Roman" w:eastAsia="Times New Roman" w:hAnsi="Times New Roman"/>
          <w:color w:val="0000FF"/>
          <w:sz w:val="22"/>
          <w:szCs w:val="22"/>
          <w:u w:val="double" w:color="0000FF"/>
        </w:rPr>
        <w:t xml:space="preserve">Precedent </w:t>
      </w:r>
      <w:r>
        <w:rPr>
          <w:rFonts w:ascii="Times New Roman" w:cs="Times New Roman" w:eastAsia="Times New Roman" w:hAnsi="Times New Roman"/>
          <w:sz w:val="22"/>
          <w:szCs w:val="22"/>
        </w:rPr>
        <w:t xml:space="preserve">Transactions Analysis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reviewed and compared certain financial information relating to the Company to corresponding financial information and multiples for twelve selected transactions that </w:t>
      </w:r>
      <w:r>
        <w:rPr>
          <w:rFonts w:ascii="Times New Roman" w:cs="Times New Roman" w:eastAsia="Times New Roman" w:hAnsi="Times New Roman"/>
          <w:strike/>
          <w:color w:val="FF0000"/>
          <w:sz w:val="22"/>
          <w:szCs w:val="22"/>
        </w:rPr>
        <w:t xml:space="preserve">were announced subsequent to September 1, 2020, that </w:t>
      </w:r>
      <w:r>
        <w:rPr>
          <w:rFonts w:ascii="Times New Roman" w:cs="Times New Roman" w:eastAsia="Times New Roman" w:hAnsi="Times New Roman"/>
          <w:sz w:val="22"/>
          <w:szCs w:val="22"/>
        </w:rPr>
        <w:t xml:space="preserve">involved the acquisition of companies in the industrial </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color w:val="0000FF"/>
          <w:sz w:val="22"/>
          <w:szCs w:val="22"/>
          <w:u w:val="double" w:color="0000FF"/>
        </w:rPr>
        <w:t xml:space="preserve">and</w:t>
      </w:r>
      <w:r>
        <w:rPr>
          <w:rFonts w:ascii="Times New Roman" w:cs="Times New Roman" w:eastAsia="Times New Roman" w:hAnsi="Times New Roman"/>
          <w:sz w:val="22"/>
          <w:szCs w:val="22"/>
        </w:rPr>
        <w:t xml:space="preserve"> specialty distribution sector</w:t>
      </w:r>
      <w:r>
        <w:rPr>
          <w:rFonts w:ascii="Times New Roman" w:cs="Times New Roman" w:eastAsia="Times New Roman" w:hAnsi="Times New Roman"/>
          <w:strike/>
          <w:color w:val="FF0000"/>
          <w:sz w:val="22"/>
          <w:szCs w:val="22"/>
        </w:rPr>
        <w:t xml:space="preserve">s</w:t>
      </w:r>
      <w:r>
        <w:rPr>
          <w:rFonts w:ascii="Times New Roman" w:cs="Times New Roman" w:eastAsia="Times New Roman" w:hAnsi="Times New Roman"/>
          <w:sz w:val="22"/>
          <w:szCs w:val="22"/>
        </w:rPr>
        <w:t xml:space="preserve"> with similar business models or financial profiles that William Blair deemed relevant based on its professional judgment and experience. William Blair did not take into account any announced or consummated transaction whereby relevant financial information was not publicly disclosed and the selected transactions are not intended to be representative of the entire range of possible relevant transactions. William Blair reviewed the consideration paid in the selected transactions in terms of the enterprise value of such transactions as a multiple of LTM Adjusted EBITDA based on the most recently available publicly disclosed 12-month historical period at the time of announcement for each respective transaction, and is sourced from SEC filings, company disclosures, press releases and subscription services as of July 14, 2026. Set forth below are the transactions and relevant metrics: </w:t>
      </w:r>
    </w:p>
    <w:tbl>
      <w:tblPr>
        <w:tblW w:type="dxa" w:w="9357"/>
        <w:tblBorders>
          <w:top w:val="single" w:color="auto" w:sz="4"/>
          <w:left w:val="single" w:color="auto" w:sz="4"/>
          <w:bottom w:val="single" w:color="auto" w:sz="4"/>
          <w:right w:val="single" w:color="auto" w:sz="4"/>
          <w:insideH w:val="single" w:color="auto" w:sz="4"/>
          <w:insideV w:val="single" w:color="auto" w:sz="4"/>
        </w:tblBorders>
      </w:tblPr>
      <w:tblGrid>
        <w:gridCol w:w="2238"/>
        <w:gridCol w:w="1017"/>
        <w:gridCol w:w="1017"/>
        <w:gridCol w:w="1017"/>
        <w:gridCol w:w="1017"/>
        <w:gridCol w:w="1017"/>
        <w:gridCol w:w="1017"/>
        <w:gridCol w:w="1017"/>
      </w:tblGrid>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Announcement Date</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Target</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Acquiror</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Enterprise Value (millions)</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Enterprise Value/LTM Adj. EBITDA</w:t>
            </w:r>
            <w:r>
              <w:rPr>
                <w:rFonts w:ascii="Times New Roman" w:cs="Times New Roman" w:eastAsia="Times New Roman" w:hAnsi="Times New Roman"/>
                <w:sz w:val="18"/>
                <w:szCs w:val="18"/>
              </w:rPr>
              <w:t xml:space="preserve"> </w:t>
            </w:r>
            <w:r>
              <w:rPr>
                <w:rFonts w:ascii="Times New Roman" w:cs="Times New Roman" w:eastAsia="Times New Roman" w:hAnsi="Times New Roman"/>
                <w:color w:val="0000FF"/>
                <w:sz w:val="18"/>
                <w:szCs w:val="18"/>
                <w:u w:val="double" w:color="0000FF"/>
              </w:rPr>
              <w:t xml:space="preserve">Enterprise Value/LTM Adjusted EBITDA</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April 2026</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TopBuild Corp.</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QXO,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$16,951</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14.8x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August 2025</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Foundation Building Materials, LLC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Lowe's Companies,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$8,800</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13.9x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(1)</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13.9x (1)</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August 2025</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HVAC division of NSI Industries</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Lennox International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$550</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10.0x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(2)</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10.0x (2)</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June 2025</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GMS,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Home Depot,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$5,553</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11.1x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March 2025</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Beacon Roofing Supply,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QXO,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$10,665</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11.5x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November 2024</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Hydradyne LLC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Applied Industrial Technologies,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$273</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9.1x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(3)</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9.1x (3)</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March 2024</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SRS Distribution,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Home Depot,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$18,250</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17.3x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(4)</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17.3x (4)</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March 2023</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Hisco,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Distribution Solutions Group,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$307</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10.8x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(5)</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10.8x (5)</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June 2022</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industrial businesses of Roper Technologies,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Clayton, Dubilier &amp; Rice, LLC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$2,600</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10.0x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(6)</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10.0x (6)</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December 2021</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Kaman Distribution Group</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Genuine Parts Company</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$1,300</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13.8x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(7)</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13.8x (7)</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November 2020</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HD Supply Holdings,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Home Depot, Inc.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$7,962</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16.1x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September 2020</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Windy City Wire Cable &amp; Technology Products LLC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Diploma PLC</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$450</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10.1x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(8)</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10.1x (8)</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color w:val="0000FF"/>
                <w:sz w:val="18"/>
                <w:szCs w:val="18"/>
                <w:u w:val="double" w:color="0000FF"/>
              </w:rPr>
              <w:t xml:space="preserve">Max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$18,250</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17.3x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color w:val="0000FF"/>
                <w:sz w:val="18"/>
                <w:szCs w:val="18"/>
                <w:u w:val="double" w:color="0000FF"/>
              </w:rPr>
              <w:t xml:space="preserve">Mean</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$6,138</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12.4x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color w:val="0000FF"/>
                <w:sz w:val="18"/>
                <w:szCs w:val="18"/>
                <w:u w:val="double" w:color="0000FF"/>
              </w:rPr>
              <w:t xml:space="preserve">Median</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$4,076</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11.3x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color w:val="008000"/>
                <w:sz w:val="18"/>
                <w:szCs w:val="18"/>
                <w:u w:val="double" w:color="008000"/>
              </w:rPr>
              <w:t xml:space="preserve">Min</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Median</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Mean</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Max.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$273</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9.1x</w:t>
            </w:r>
          </w:p>
        </w:tc>
      </w:tr>
    </w:tbl>
    <w:p>
      <w:pPr>
        <w:spacing w:after="120"/>
      </w:pP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(1) LTM Adjusted EBITDA for the calendar year ending December 31, 2024, as reported in the Current Report on Form 8-K filed by Lowe's Companies, Inc. on August 20, 2025.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(2) LTM Adjusted EBITDA for the calendar year ending December 31, 2024, as reported in the Lennox International Inc. investor presentation filed on August 18, 2025.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(3) LTM Adjusted EBITDA expected to be contributed by Hydradyne LLC within 12 months of transaction closing as disclosed in the Current Report on Form 8-K filed on November 22, 2024.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(4) LTM Adjusted EBITDA for the calendar year ended December 31, 2023, as reported in the Home Depot, Inc. investor presentation on March 28, 2024.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(5) LTM Adjusted EBITDA for the fiscal year ending October 31, 2022, as reported in the transaction Current Report on Form 8-K filed by the Company on March 31, 2023. Enterprise value includes $37.5 million in retention bonuses to Hisco, Inc. employees.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(6) LTM Adjusted EBITDA for the calendar year 2021, as reported in the transaction press release filed by Roper Technologies, Inc. on June 1, 2022. Excludes $51 million in performance based earnouts.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(7) Represents LTM Adjusted EBITDA for the calendar year 2022, as reported in the investor presentation filed by Genuine Parts Company on December 16, 2021.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(8) LTM Adjusted EBITDA for the calendar year 2020, as reported in the Diploma PLC investor presentation filed on September 22, 2020.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then used the implied enterprise value of $2,328 million based on the per share Merger Consideration of $35.00 and the net debt of the Company of $685 million as of March 31, 2026, as set forth in and calculated from the Company's public filings, to derive an implied transaction multiple for the Company </w:t>
      </w:r>
      <w:r>
        <w:rPr>
          <w:rFonts w:ascii="Times New Roman" w:cs="Times New Roman" w:eastAsia="Times New Roman" w:hAnsi="Times New Roman"/>
          <w:strike/>
          <w:color w:val="FF0000"/>
          <w:sz w:val="22"/>
          <w:szCs w:val="22"/>
        </w:rPr>
        <w:t xml:space="preserve">using</w:t>
      </w:r>
      <w:r>
        <w:rPr>
          <w:rFonts w:ascii="Times New Roman" w:cs="Times New Roman" w:eastAsia="Times New Roman" w:hAnsi="Times New Roman"/>
          <w:color w:val="0000FF"/>
          <w:sz w:val="22"/>
          <w:szCs w:val="22"/>
          <w:u w:val="double" w:color="0000FF"/>
        </w:rPr>
        <w:t xml:space="preserve">for</w:t>
      </w:r>
      <w:r>
        <w:rPr>
          <w:rFonts w:ascii="Times New Roman" w:cs="Times New Roman" w:eastAsia="Times New Roman" w:hAnsi="Times New Roman"/>
          <w:sz w:val="22"/>
          <w:szCs w:val="22"/>
        </w:rPr>
        <w:t xml:space="preserve"> LTM Adjusted EBITDA for the </w:t>
      </w:r>
      <w:r>
        <w:rPr>
          <w:rFonts w:ascii="Times New Roman" w:cs="Times New Roman" w:eastAsia="Times New Roman" w:hAnsi="Times New Roman"/>
          <w:strike/>
          <w:color w:val="FF0000"/>
          <w:sz w:val="22"/>
          <w:szCs w:val="22"/>
        </w:rPr>
        <w:t xml:space="preserve">last </w:t>
      </w:r>
      <w:r>
        <w:rPr>
          <w:rFonts w:ascii="Times New Roman" w:cs="Times New Roman" w:eastAsia="Times New Roman" w:hAnsi="Times New Roman"/>
          <w:sz w:val="22"/>
          <w:szCs w:val="22"/>
        </w:rPr>
        <w:t xml:space="preserve">twelve months end</w:t>
      </w:r>
      <w:r>
        <w:rPr>
          <w:rFonts w:ascii="Times New Roman" w:cs="Times New Roman" w:eastAsia="Times New Roman" w:hAnsi="Times New Roman"/>
          <w:strike/>
          <w:color w:val="FF0000"/>
          <w:sz w:val="22"/>
          <w:szCs w:val="22"/>
        </w:rPr>
        <w:t xml:space="preserve">ing</w:t>
      </w:r>
      <w:r>
        <w:rPr>
          <w:rFonts w:ascii="Times New Roman" w:cs="Times New Roman" w:eastAsia="Times New Roman" w:hAnsi="Times New Roman"/>
          <w:color w:val="0000FF"/>
          <w:sz w:val="22"/>
          <w:szCs w:val="22"/>
          <w:u w:val="double" w:color="0000FF"/>
        </w:rPr>
        <w:t xml:space="preserve">ed</w:t>
      </w:r>
      <w:r>
        <w:rPr>
          <w:rFonts w:ascii="Times New Roman" w:cs="Times New Roman" w:eastAsia="Times New Roman" w:hAnsi="Times New Roman"/>
          <w:sz w:val="22"/>
          <w:szCs w:val="22"/>
        </w:rPr>
        <w:t xml:space="preserve"> March 31, 2026 of $173 million. William Blair compared the multiple implied for the Company based on the Merger Consideration to the range of transaction multiples of the aggregate group of such selected transactions. Information regarding the multiples from William Blair's selected transaction analysis is set forth in the following table: </w:t>
      </w:r>
    </w:p>
    <w:tbl>
      <w:tblPr>
        <w:tblW w:type="dxa" w:w="9357"/>
        <w:tblBorders>
          <w:top w:val="single" w:color="auto" w:sz="4"/>
          <w:left w:val="single" w:color="auto" w:sz="4"/>
          <w:bottom w:val="single" w:color="auto" w:sz="4"/>
          <w:right w:val="single" w:color="auto" w:sz="4"/>
          <w:insideH w:val="single" w:color="auto" w:sz="4"/>
          <w:insideV w:val="single" w:color="auto" w:sz="4"/>
        </w:tblBorders>
      </w:tblPr>
      <w:tblGrid>
        <w:gridCol w:w="2238"/>
        <w:gridCol w:w="1017"/>
        <w:gridCol w:w="1017"/>
        <w:gridCol w:w="1017"/>
        <w:gridCol w:w="1017"/>
        <w:gridCol w:w="1017"/>
        <w:gridCol w:w="1017"/>
        <w:gridCol w:w="1017"/>
      </w:tblGrid>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Multiple</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Implied Merger Multiple</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Range of Selected Precedent Transaction Multiples</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Implied Transaction Multiple</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Min.</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Mean</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Median</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Max.</w:t>
            </w:r>
          </w:p>
        </w:tc>
      </w:tr>
      <w:tr>
        <w:tc>
          <w:tcPr>
            <w:tcW w:type="dxa" w:w="223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Actual (1)</w:t>
            </w:r>
            <w:r>
              <w:rPr>
                <w:rFonts w:ascii="Times New Roman" w:cs="Times New Roman" w:eastAsia="Times New Roman" w:hAnsi="Times New Roman"/>
                <w:sz w:val="18"/>
                <w:szCs w:val="18"/>
              </w:rPr>
              <w:t xml:space="preserve"> </w:t>
            </w:r>
            <w:r>
              <w:rPr>
                <w:rFonts w:ascii="Times New Roman" w:cs="Times New Roman" w:eastAsia="Times New Roman" w:hAnsi="Times New Roman"/>
                <w:color w:val="0000FF"/>
                <w:sz w:val="18"/>
                <w:szCs w:val="18"/>
                <w:u w:val="double" w:color="0000FF"/>
              </w:rPr>
              <w:t xml:space="preserve">Enterprise Value/LTM Adjusted EBITDA — actual</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13.5x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12.4x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11.3x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12.4x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17.3x</w:t>
            </w:r>
          </w:p>
        </w:tc>
        <w:tc>
          <w:tcPr>
            <w:tcW w:type="dxa" w:w="10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bl>
    <w:p>
      <w:pPr>
        <w:spacing w:after="120"/>
      </w:pP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noted that the </w:t>
      </w:r>
      <w:r>
        <w:rPr>
          <w:rFonts w:ascii="Times New Roman" w:cs="Times New Roman" w:eastAsia="Times New Roman" w:hAnsi="Times New Roman"/>
          <w:strike/>
          <w:color w:val="FF0000"/>
          <w:sz w:val="22"/>
          <w:szCs w:val="22"/>
        </w:rPr>
        <w:t xml:space="preserve">analyzed </w:t>
      </w:r>
      <w:r>
        <w:rPr>
          <w:rFonts w:ascii="Times New Roman" w:cs="Times New Roman" w:eastAsia="Times New Roman" w:hAnsi="Times New Roman"/>
          <w:sz w:val="22"/>
          <w:szCs w:val="22"/>
        </w:rPr>
        <w:t xml:space="preserve">implied transaction multiple </w:t>
      </w:r>
      <w:r>
        <w:rPr>
          <w:rFonts w:ascii="Times New Roman" w:cs="Times New Roman" w:eastAsia="Times New Roman" w:hAnsi="Times New Roman"/>
          <w:color w:val="0000FF"/>
          <w:sz w:val="22"/>
          <w:szCs w:val="22"/>
          <w:u w:val="double" w:color="0000FF"/>
        </w:rPr>
        <w:t xml:space="preserve">of LTM Adjusted EBITDA </w:t>
      </w:r>
      <w:r>
        <w:rPr>
          <w:rFonts w:ascii="Times New Roman" w:cs="Times New Roman" w:eastAsia="Times New Roman" w:hAnsi="Times New Roman"/>
          <w:sz w:val="22"/>
          <w:szCs w:val="22"/>
        </w:rPr>
        <w:t xml:space="preserve">for the Company based on the Merger Consideration was within the range of multiples of the selected transactions. </w:t>
      </w:r>
    </w:p>
    <w:p>
      <w:pPr>
        <w:spacing w:after="160" w:before="0"/>
        <w:jc w:val="left"/>
      </w:pPr>
      <w:r>
        <w:rPr>
          <w:rFonts w:ascii="Times New Roman" w:cs="Times New Roman" w:eastAsia="Times New Roman" w:hAnsi="Times New Roman"/>
          <w:sz w:val="22"/>
          <w:szCs w:val="22"/>
        </w:rPr>
        <w:t xml:space="preserve">Although William Blair compared the multiples of the selected transactions to that implied for the Company, none of these transactions or associated companies is directly comparable to the Company or the Merger. Accordingly, any analysis of the selected transactions involved complex considerations and judgments concerning the differences in financial and operating characteristics, parties involved and terms of their transactions and other factors that would affect the analysis of multiples of the selected transactions. </w:t>
      </w:r>
    </w:p>
    <w:p>
      <w:pPr>
        <w:spacing w:after="160" w:before="0"/>
        <w:jc w:val="left"/>
      </w:pPr>
      <w:r>
        <w:rPr>
          <w:rFonts w:ascii="Times New Roman" w:cs="Times New Roman" w:eastAsia="Times New Roman" w:hAnsi="Times New Roman"/>
          <w:sz w:val="22"/>
          <w:szCs w:val="22"/>
        </w:rPr>
        <w:t xml:space="preserve">Discounted Cash Flow Analysis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utilized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to perform a discounted cash flow analysis of the Company's projected future free cash flows for the fiscal years ending December 31, 2026</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through December 31, 2030. Using the discounted cash flow methodology, William Blair calculated the present values of the projected after-tax unlevered free cash flows for the </w:t>
      </w:r>
      <w:r>
        <w:rPr>
          <w:rFonts w:ascii="Times New Roman" w:cs="Times New Roman" w:eastAsia="Times New Roman" w:hAnsi="Times New Roman"/>
          <w:strike/>
          <w:color w:val="FF0000"/>
          <w:sz w:val="22"/>
          <w:szCs w:val="22"/>
        </w:rPr>
        <w:t xml:space="preserve">Company. </w:t>
      </w:r>
      <w:r>
        <w:rPr>
          <w:rFonts w:ascii="Times New Roman" w:cs="Times New Roman" w:eastAsia="Times New Roman" w:hAnsi="Times New Roman"/>
          <w:color w:val="0000FF"/>
          <w:sz w:val="22"/>
          <w:szCs w:val="22"/>
          <w:u w:val="double" w:color="0000FF"/>
        </w:rPr>
        <w:t xml:space="preserve">Company, using a valuation date of March 31, 2026 and a mid-year discount convention. The projected unlevered free cash flows were burdened by stock-based compensation. </w:t>
      </w:r>
      <w:r>
        <w:rPr>
          <w:rFonts w:ascii="Times New Roman" w:cs="Times New Roman" w:eastAsia="Times New Roman" w:hAnsi="Times New Roman"/>
          <w:sz w:val="22"/>
          <w:szCs w:val="22"/>
        </w:rPr>
        <w:t xml:space="preserve">In this analysis, William Blair exercised its professional judgment, based on its experience and expertise, and calculated the assumed terminal value of the Company by utilizing a perpetuity growth rate range of 2.0% to 3.0% applied to calendar year 2030 expected unlevered free cash flows. To discount the projected unlevered free cash flows and assumed terminal value to present value, William Blair used discount rates ranging from 9.0% to 11.0% using its professional judgment, based on its experience and </w:t>
      </w:r>
      <w:r>
        <w:rPr>
          <w:rFonts w:ascii="Times New Roman" w:cs="Times New Roman" w:eastAsia="Times New Roman" w:hAnsi="Times New Roman"/>
          <w:strike/>
          <w:color w:val="FF0000"/>
          <w:sz w:val="22"/>
          <w:szCs w:val="22"/>
        </w:rPr>
        <w:t xml:space="preserve">expertise, and a calculation of the weighted average cost of capital using the capital asset pricing model. </w:t>
      </w:r>
      <w:r>
        <w:rPr>
          <w:rFonts w:ascii="Times New Roman" w:cs="Times New Roman" w:eastAsia="Times New Roman" w:hAnsi="Times New Roman"/>
          <w:color w:val="0000FF"/>
          <w:sz w:val="22"/>
          <w:szCs w:val="22"/>
          <w:u w:val="double" w:color="0000FF"/>
        </w:rPr>
        <w:t xml:space="preserve">expertise. </w:t>
      </w:r>
      <w:r>
        <w:rPr>
          <w:rFonts w:ascii="Times New Roman" w:cs="Times New Roman" w:eastAsia="Times New Roman" w:hAnsi="Times New Roman"/>
          <w:sz w:val="22"/>
          <w:szCs w:val="22"/>
        </w:rPr>
        <w:t xml:space="preserve">In performing its analysis, as directed by the management of the Company, William Blair assumed a 29.5% effective tax rate.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aggregated the present value of the after-tax unlevered free cash flows over the applicable forecast period, the present value of the potential federal tax savings expected to result from the utilization of the Company's federal net operating losses of $4 million and the present value of the assumed terminal value. William Blair then derived a range of implied equity values per share by subtracting net debt of $685 million as of March 31, 2026, as set forth in and calculated from the Company's public filings, and dividing such amount by the Company's fully diluted shares outstanding as of July 14, 2026 as provided by the Company's senior management (calculated based on 46,255,422 common </w:t>
      </w:r>
      <w:r>
        <w:rPr>
          <w:rFonts w:ascii="Times New Roman" w:cs="Times New Roman" w:eastAsia="Times New Roman" w:hAnsi="Times New Roman"/>
          <w:strike/>
          <w:color w:val="FF0000"/>
          <w:sz w:val="22"/>
          <w:szCs w:val="22"/>
        </w:rPr>
        <w:t xml:space="preserve">shares, </w:t>
      </w:r>
      <w:r>
        <w:rPr>
          <w:rFonts w:ascii="Times New Roman" w:cs="Times New Roman" w:eastAsia="Times New Roman" w:hAnsi="Times New Roman"/>
          <w:color w:val="0000FF"/>
          <w:sz w:val="22"/>
          <w:szCs w:val="22"/>
          <w:u w:val="double" w:color="0000FF"/>
        </w:rPr>
        <w:t xml:space="preserve">shares and </w:t>
      </w:r>
      <w:r>
        <w:rPr>
          <w:rFonts w:ascii="Times New Roman" w:cs="Times New Roman" w:eastAsia="Times New Roman" w:hAnsi="Times New Roman"/>
          <w:sz w:val="22"/>
          <w:szCs w:val="22"/>
        </w:rPr>
        <w:t xml:space="preserve">2,258,658 options at a weighted average strike price of $42.29, 424,717 restricted stock units and 115,988 deferred </w:t>
      </w:r>
      <w:r>
        <w:rPr>
          <w:rFonts w:ascii="Times New Roman" w:cs="Times New Roman" w:eastAsia="Times New Roman" w:hAnsi="Times New Roman"/>
          <w:strike/>
          <w:color w:val="FF0000"/>
          <w:sz w:val="22"/>
          <w:szCs w:val="22"/>
        </w:rPr>
        <w:t xml:space="preserve">shares, and excluding out-of-the-money options and 26,754 SPRs). </w:t>
      </w:r>
      <w:r>
        <w:rPr>
          <w:rFonts w:ascii="Times New Roman" w:cs="Times New Roman" w:eastAsia="Times New Roman" w:hAnsi="Times New Roman"/>
          <w:color w:val="0000FF"/>
          <w:sz w:val="22"/>
          <w:szCs w:val="22"/>
          <w:u w:val="double" w:color="0000FF"/>
        </w:rPr>
        <w:t xml:space="preserve">shares). </w:t>
      </w:r>
      <w:r>
        <w:rPr>
          <w:rFonts w:ascii="Times New Roman" w:cs="Times New Roman" w:eastAsia="Times New Roman" w:hAnsi="Times New Roman"/>
          <w:sz w:val="22"/>
          <w:szCs w:val="22"/>
        </w:rPr>
        <w:t xml:space="preserve">This analysis resulted in a range of implied equity values of $24.86 to $42.63 per share, as compared to the Merger Consideration of $35.00 per share. </w:t>
      </w:r>
    </w:p>
    <w:p>
      <w:pPr>
        <w:spacing w:after="160" w:before="0"/>
        <w:jc w:val="left"/>
      </w:pPr>
      <w:r>
        <w:rPr>
          <w:rFonts w:ascii="Times New Roman" w:cs="Times New Roman" w:eastAsia="Times New Roman" w:hAnsi="Times New Roman"/>
          <w:sz w:val="22"/>
          <w:szCs w:val="22"/>
        </w:rPr>
        <w:t xml:space="preserve">Leveraged Buyout Analysis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utilized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to perform a hypothetical leveraged buyout analysis and calculated the illustrative implied purchase prices at which a leveraged </w:t>
      </w:r>
      <w:r>
        <w:rPr>
          <w:rFonts w:ascii="Times New Roman" w:cs="Times New Roman" w:eastAsia="Times New Roman" w:hAnsi="Times New Roman"/>
          <w:strike/>
          <w:color w:val="FF0000"/>
          <w:sz w:val="22"/>
          <w:szCs w:val="22"/>
        </w:rPr>
        <w:t xml:space="preserve">acquisition</w:t>
      </w:r>
      <w:r>
        <w:rPr>
          <w:rFonts w:ascii="Times New Roman" w:cs="Times New Roman" w:eastAsia="Times New Roman" w:hAnsi="Times New Roman"/>
          <w:color w:val="0000FF"/>
          <w:sz w:val="22"/>
          <w:szCs w:val="22"/>
          <w:u w:val="double" w:color="0000FF"/>
        </w:rPr>
        <w:t xml:space="preserve">buyout</w:t>
      </w:r>
      <w:r>
        <w:rPr>
          <w:rFonts w:ascii="Times New Roman" w:cs="Times New Roman" w:eastAsia="Times New Roman" w:hAnsi="Times New Roman"/>
          <w:sz w:val="22"/>
          <w:szCs w:val="22"/>
        </w:rPr>
        <w:t xml:space="preserve"> of the Company could occur and yield a target range of annualized internal rates of return from 18.0% to 22.0% for a potential </w:t>
      </w:r>
      <w:r>
        <w:rPr>
          <w:rFonts w:ascii="Times New Roman" w:cs="Times New Roman" w:eastAsia="Times New Roman" w:hAnsi="Times New Roman"/>
          <w:strike/>
          <w:color w:val="FF0000"/>
          <w:sz w:val="22"/>
          <w:szCs w:val="22"/>
        </w:rPr>
        <w:t xml:space="preserve">investor. </w:t>
      </w:r>
      <w:r>
        <w:rPr>
          <w:rFonts w:ascii="Times New Roman" w:cs="Times New Roman" w:eastAsia="Times New Roman" w:hAnsi="Times New Roman"/>
          <w:color w:val="0000FF"/>
          <w:sz w:val="22"/>
          <w:szCs w:val="22"/>
          <w:u w:val="double" w:color="0000FF"/>
        </w:rPr>
        <w:t xml:space="preserve">investor, assuming a net leverage ratio of 5.3x LTM Adjusted EBITDA, or total net debt of $920 million, financed with a unitranche facility priced at SOFR plus 500 basis points. </w:t>
      </w:r>
      <w:r>
        <w:rPr>
          <w:rFonts w:ascii="Times New Roman" w:cs="Times New Roman" w:eastAsia="Times New Roman" w:hAnsi="Times New Roman"/>
          <w:sz w:val="22"/>
          <w:szCs w:val="22"/>
        </w:rPr>
        <w:t xml:space="preserve">In this analysis, William Blair estimated an exit value by utilizing a range of multiples of 9.0x to 11.0x applied to calendar year 2030 Adjusted EBITDA of $357 million (including an estimated $5 million of </w:t>
      </w:r>
      <w:r>
        <w:rPr>
          <w:rFonts w:ascii="Times New Roman" w:cs="Times New Roman" w:eastAsia="Times New Roman" w:hAnsi="Times New Roman"/>
          <w:strike/>
          <w:color w:val="FF0000"/>
          <w:sz w:val="22"/>
          <w:szCs w:val="22"/>
        </w:rPr>
        <w:t xml:space="preserve">annual cost savings </w:t>
      </w:r>
      <w:r>
        <w:rPr>
          <w:rFonts w:ascii="Times New Roman" w:cs="Times New Roman" w:eastAsia="Times New Roman" w:hAnsi="Times New Roman"/>
          <w:color w:val="0000FF"/>
          <w:sz w:val="22"/>
          <w:szCs w:val="22"/>
          <w:u w:val="double" w:color="0000FF"/>
        </w:rPr>
        <w:t xml:space="preserve">direct costs </w:t>
      </w:r>
      <w:r>
        <w:rPr>
          <w:rFonts w:ascii="Times New Roman" w:cs="Times New Roman" w:eastAsia="Times New Roman" w:hAnsi="Times New Roman"/>
          <w:sz w:val="22"/>
          <w:szCs w:val="22"/>
        </w:rPr>
        <w:t xml:space="preserve">associated with the Company's operations as a public company </w:t>
      </w:r>
      <w:r>
        <w:rPr>
          <w:rFonts w:ascii="Times New Roman" w:cs="Times New Roman" w:eastAsia="Times New Roman" w:hAnsi="Times New Roman"/>
          <w:strike/>
          <w:color w:val="FF0000"/>
          <w:sz w:val="22"/>
          <w:szCs w:val="22"/>
        </w:rPr>
        <w:t xml:space="preserve">that the management of the Company indicated may </w:t>
      </w:r>
      <w:r>
        <w:rPr>
          <w:rFonts w:ascii="Times New Roman" w:cs="Times New Roman" w:eastAsia="Times New Roman" w:hAnsi="Times New Roman"/>
          <w:color w:val="0000FF"/>
          <w:sz w:val="22"/>
          <w:szCs w:val="22"/>
          <w:u w:val="double" w:color="0000FF"/>
        </w:rPr>
        <w:t xml:space="preserve">which would </w:t>
      </w:r>
      <w:r>
        <w:rPr>
          <w:rFonts w:ascii="Times New Roman" w:cs="Times New Roman" w:eastAsia="Times New Roman" w:hAnsi="Times New Roman"/>
          <w:sz w:val="22"/>
          <w:szCs w:val="22"/>
        </w:rPr>
        <w:t xml:space="preserve">no longer be incurred). The target annualized internal rate of return and the range of total net leverage were derived by William Blair utilizing its professional judgment and experience. For purposes of the analysis William Blair </w:t>
      </w:r>
      <w:r>
        <w:rPr>
          <w:rFonts w:ascii="Times New Roman" w:cs="Times New Roman" w:eastAsia="Times New Roman" w:hAnsi="Times New Roman"/>
          <w:strike/>
          <w:color w:val="FF0000"/>
          <w:sz w:val="22"/>
          <w:szCs w:val="22"/>
        </w:rPr>
        <w:t xml:space="preserve">assumed total net debt of $920 million </w:t>
      </w:r>
      <w:r>
        <w:rPr>
          <w:rFonts w:ascii="Times New Roman" w:cs="Times New Roman" w:eastAsia="Times New Roman" w:hAnsi="Times New Roman"/>
          <w:color w:val="0000FF"/>
          <w:sz w:val="22"/>
          <w:szCs w:val="22"/>
          <w:u w:val="double" w:color="0000FF"/>
        </w:rPr>
        <w:t xml:space="preserve">utilized valuation and balance sheet figures </w:t>
      </w:r>
      <w:r>
        <w:rPr>
          <w:rFonts w:ascii="Times New Roman" w:cs="Times New Roman" w:eastAsia="Times New Roman" w:hAnsi="Times New Roman"/>
          <w:sz w:val="22"/>
          <w:szCs w:val="22"/>
        </w:rPr>
        <w:t xml:space="preserve">as of March 31, 2026 </w:t>
      </w:r>
      <w:r>
        <w:rPr>
          <w:rFonts w:ascii="Times New Roman" w:cs="Times New Roman" w:eastAsia="Times New Roman" w:hAnsi="Times New Roman"/>
          <w:strike/>
          <w:color w:val="FF0000"/>
          <w:sz w:val="22"/>
          <w:szCs w:val="22"/>
        </w:rPr>
        <w:t xml:space="preserve">(approximately 5.3x last twelve months Adjusted EBITDA) </w:t>
      </w:r>
      <w:r>
        <w:rPr>
          <w:rFonts w:ascii="Times New Roman" w:cs="Times New Roman" w:eastAsia="Times New Roman" w:hAnsi="Times New Roman"/>
          <w:sz w:val="22"/>
          <w:szCs w:val="22"/>
        </w:rPr>
        <w:t xml:space="preserve">and </w:t>
      </w:r>
      <w:r>
        <w:rPr>
          <w:rFonts w:ascii="Times New Roman" w:cs="Times New Roman" w:eastAsia="Times New Roman" w:hAnsi="Times New Roman"/>
          <w:strike/>
          <w:color w:val="FF0000"/>
          <w:sz w:val="22"/>
          <w:szCs w:val="22"/>
        </w:rPr>
        <w:t xml:space="preserve">utilized </w:t>
      </w:r>
      <w:r>
        <w:rPr>
          <w:rFonts w:ascii="Times New Roman" w:cs="Times New Roman" w:eastAsia="Times New Roman" w:hAnsi="Times New Roman"/>
          <w:sz w:val="22"/>
          <w:szCs w:val="22"/>
        </w:rPr>
        <w:t xml:space="preserve">the Company's fully diluted shares outstanding as of July 14, 2026 as provided by the Company's senior management. </w:t>
      </w:r>
      <w:r>
        <w:rPr>
          <w:rFonts w:ascii="Times New Roman" w:cs="Times New Roman" w:eastAsia="Times New Roman" w:hAnsi="Times New Roman"/>
          <w:color w:val="0000FF"/>
          <w:sz w:val="22"/>
          <w:szCs w:val="22"/>
          <w:u w:val="double" w:color="0000FF"/>
        </w:rPr>
        <w:t xml:space="preserve">The analysis assumed a 29.5% effective tax rate, giving effect to the utilization of the Company's federal net operating losses during the forecast period, and a management option pool of 10.0%. </w:t>
      </w:r>
      <w:r>
        <w:rPr>
          <w:rFonts w:ascii="Times New Roman" w:cs="Times New Roman" w:eastAsia="Times New Roman" w:hAnsi="Times New Roman"/>
          <w:sz w:val="22"/>
          <w:szCs w:val="22"/>
        </w:rPr>
        <w:t xml:space="preserve">Based on the range of internal rates of return and exit multiples above, this analysis resulted in a range of implied equity </w:t>
      </w:r>
      <w:r>
        <w:rPr>
          <w:rFonts w:ascii="Times New Roman" w:cs="Times New Roman" w:eastAsia="Times New Roman" w:hAnsi="Times New Roman"/>
          <w:strike/>
          <w:color w:val="FF0000"/>
          <w:sz w:val="22"/>
          <w:szCs w:val="22"/>
        </w:rPr>
        <w:t xml:space="preserve">values of </w:t>
      </w:r>
      <w:r>
        <w:rPr>
          <w:rFonts w:ascii="Times New Roman" w:cs="Times New Roman" w:eastAsia="Times New Roman" w:hAnsi="Times New Roman"/>
          <w:color w:val="0000FF"/>
          <w:sz w:val="22"/>
          <w:szCs w:val="22"/>
          <w:u w:val="double" w:color="0000FF"/>
        </w:rPr>
        <w:t xml:space="preserve">value </w:t>
      </w:r>
      <w:r>
        <w:rPr>
          <w:rFonts w:ascii="Times New Roman" w:cs="Times New Roman" w:eastAsia="Times New Roman" w:hAnsi="Times New Roman"/>
          <w:sz w:val="22"/>
          <w:szCs w:val="22"/>
        </w:rPr>
        <w:t xml:space="preserve">$26.61 to $37.00 per share of </w:t>
      </w:r>
      <w:r>
        <w:rPr>
          <w:rFonts w:ascii="Times New Roman" w:cs="Times New Roman" w:eastAsia="Times New Roman" w:hAnsi="Times New Roman"/>
          <w:strike/>
          <w:color w:val="FF0000"/>
          <w:sz w:val="22"/>
          <w:szCs w:val="22"/>
        </w:rPr>
        <w:t xml:space="preserve">the </w:t>
      </w:r>
      <w:r>
        <w:rPr>
          <w:rFonts w:ascii="Times New Roman" w:cs="Times New Roman" w:eastAsia="Times New Roman" w:hAnsi="Times New Roman"/>
          <w:sz w:val="22"/>
          <w:szCs w:val="22"/>
        </w:rPr>
        <w:t xml:space="preserve">Company Common Stock, as compared to the Merger Consideration of $35.00 per share of Company Common Stock. </w:t>
      </w:r>
    </w:p>
    <w:p>
      <w:pPr>
        <w:spacing w:after="160" w:before="0"/>
        <w:jc w:val="left"/>
      </w:pPr>
      <w:r>
        <w:rPr>
          <w:rFonts w:ascii="Times New Roman" w:cs="Times New Roman" w:eastAsia="Times New Roman" w:hAnsi="Times New Roman"/>
          <w:sz w:val="22"/>
          <w:szCs w:val="22"/>
        </w:rPr>
        <w:t xml:space="preserve">M&amp;A Premiums Paid Analysis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analyzed data from 239 acquisitions of North American publicly traded companies across all industries with transaction equity values between $1 billion and $2 billion that were announced since January 1, 2016. Specifically, William Blair compared the acquisition price per share of each transaction to the closing price of the target company's stock one day, one week</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and one month prior to the announcement of such transaction. William Blair then compared the range of resulting per share price premiums for the reviewed transactions to the premiums implied by the Merger Consideration based on </w:t>
      </w:r>
      <w:r>
        <w:rPr>
          <w:rFonts w:ascii="Times New Roman" w:cs="Times New Roman" w:eastAsia="Times New Roman" w:hAnsi="Times New Roman"/>
          <w:strike/>
          <w:color w:val="FF0000"/>
          <w:sz w:val="22"/>
          <w:szCs w:val="22"/>
        </w:rPr>
        <w:t xml:space="preserve">the </w:t>
      </w:r>
      <w:r>
        <w:rPr>
          <w:rFonts w:ascii="Times New Roman" w:cs="Times New Roman" w:eastAsia="Times New Roman" w:hAnsi="Times New Roman"/>
          <w:sz w:val="22"/>
          <w:szCs w:val="22"/>
        </w:rPr>
        <w:t xml:space="preserve">Company's undisturbed share </w:t>
      </w:r>
      <w:r>
        <w:rPr>
          <w:rFonts w:ascii="Times New Roman" w:cs="Times New Roman" w:eastAsia="Times New Roman" w:hAnsi="Times New Roman"/>
          <w:color w:val="0000FF"/>
          <w:sz w:val="22"/>
          <w:szCs w:val="22"/>
          <w:u w:val="double" w:color="0000FF"/>
        </w:rPr>
        <w:t xml:space="preserve">price of $19.31 as of March 13, 2026 (the last trading day prior to public announcement of the proposal to acquire the Company) and on Company's closing share </w:t>
      </w:r>
      <w:r>
        <w:rPr>
          <w:rFonts w:ascii="Times New Roman" w:cs="Times New Roman" w:eastAsia="Times New Roman" w:hAnsi="Times New Roman"/>
          <w:sz w:val="22"/>
          <w:szCs w:val="22"/>
        </w:rPr>
        <w:t xml:space="preserve">prices </w:t>
      </w:r>
      <w:r>
        <w:rPr>
          <w:rFonts w:ascii="Times New Roman" w:cs="Times New Roman" w:eastAsia="Times New Roman" w:hAnsi="Times New Roman"/>
          <w:strike/>
          <w:color w:val="FF0000"/>
          <w:sz w:val="22"/>
          <w:szCs w:val="22"/>
        </w:rPr>
        <w:t xml:space="preserve">one day, </w:t>
      </w:r>
      <w:r>
        <w:rPr>
          <w:rFonts w:ascii="Times New Roman" w:cs="Times New Roman" w:eastAsia="Times New Roman" w:hAnsi="Times New Roman"/>
          <w:sz w:val="22"/>
          <w:szCs w:val="22"/>
        </w:rPr>
        <w:t xml:space="preserve">one week and one month prior to </w:t>
      </w:r>
      <w:r>
        <w:rPr>
          <w:rFonts w:ascii="Times New Roman" w:cs="Times New Roman" w:eastAsia="Times New Roman" w:hAnsi="Times New Roman"/>
          <w:strike/>
          <w:color w:val="FF0000"/>
          <w:sz w:val="22"/>
          <w:szCs w:val="22"/>
        </w:rPr>
        <w:t xml:space="preserve">March 13, 2026 (the last day of trading prior to filing of 13D by LKCM Headwater) of $19.31, $22.09 and $30.84, respectively. </w:t>
      </w:r>
      <w:r>
        <w:rPr>
          <w:rFonts w:ascii="Times New Roman" w:cs="Times New Roman" w:eastAsia="Times New Roman" w:hAnsi="Times New Roman"/>
          <w:color w:val="0000FF"/>
          <w:sz w:val="22"/>
          <w:szCs w:val="22"/>
          <w:u w:val="double" w:color="0000FF"/>
        </w:rPr>
        <w:t xml:space="preserve">such public announcement. </w:t>
      </w:r>
      <w:r>
        <w:rPr>
          <w:rFonts w:ascii="Times New Roman" w:cs="Times New Roman" w:eastAsia="Times New Roman" w:hAnsi="Times New Roman"/>
          <w:sz w:val="22"/>
          <w:szCs w:val="22"/>
        </w:rPr>
        <w:t xml:space="preserve">Information regarding the premiums from William Blair's analysis of selected transactions is set forth in the following table: </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560"/>
        <w:gridCol w:w="709"/>
        <w:gridCol w:w="709"/>
        <w:gridCol w:w="709"/>
        <w:gridCol w:w="709"/>
        <w:gridCol w:w="709"/>
        <w:gridCol w:w="709"/>
        <w:gridCol w:w="709"/>
        <w:gridCol w:w="709"/>
        <w:gridCol w:w="709"/>
        <w:gridCol w:w="709"/>
        <w:gridCol w:w="709"/>
      </w:tblGrid>
      <w:tr>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Period</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Implied Premium at $35.00/share (1)</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Premiums Paid Data Percentile</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Premiums Paid Data Percentile: 10th</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20th</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30th</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40th</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50th</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60th</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70th</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80th</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color w:val="0000FF"/>
                <w:sz w:val="18"/>
                <w:szCs w:val="18"/>
                <w:u w:val="double" w:color="0000FF"/>
              </w:rPr>
              <w:t xml:space="preserve">90th</w:t>
            </w:r>
          </w:p>
        </w:tc>
      </w:tr>
      <w:tr>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One Day Prior</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81.3%</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(0.7%)</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5.9%</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12.2%</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17.2%</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22.9%</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29.9%</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45.0%</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57.9%</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79.4%</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One Week Prior</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58.4%</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8.2%</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13.7%</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18.0%</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23.2%</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31.5%</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44.6%</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62.3%</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81.3%</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One Month Prior</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13.5%</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11.5%</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17.6%</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25.0%</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31.1%</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38.4%</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48.7%</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63.3%</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94.7%</w:t>
            </w:r>
          </w:p>
        </w:tc>
        <w:tc>
          <w:tcPr>
            <w:tcW w:type="dxa" w:w="7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bl>
    <w:p>
      <w:pPr>
        <w:spacing w:after="120"/>
      </w:pP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(1) Implied premium based on Merger Consideration of $35.00 per share. Relative to undisturbed share price of $19.31 as of March 13, 2026.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For the Special Committee's reference only purposes, William Blair also calculated the premiums implied by the Merger Consideration based on Company's closing share price of $27.59 as of July 14, 2026 and on Company's closing share prices one week and one month prior thereto. This analysis resulted in implied premiums of 26.9%, 29.9% and 26.3%, respectively. </w:t>
      </w:r>
    </w:p>
    <w:p>
      <w:pPr>
        <w:spacing w:after="160" w:before="0"/>
        <w:jc w:val="left"/>
      </w:pPr>
      <w:r>
        <w:rPr>
          <w:rFonts w:ascii="Times New Roman" w:cs="Times New Roman" w:eastAsia="Times New Roman" w:hAnsi="Times New Roman"/>
          <w:sz w:val="22"/>
          <w:szCs w:val="22"/>
        </w:rPr>
        <w:t xml:space="preserve">General </w:t>
      </w:r>
    </w:p>
    <w:p>
      <w:pPr>
        <w:pBdr>
          <w:left w:val="single" w:color="000000" w:sz="12" w:space="6"/>
        </w:pBdr>
        <w:spacing w:after="160" w:before="0"/>
        <w:jc w:val="left"/>
      </w:pPr>
      <w:r>
        <w:rPr>
          <w:rFonts w:ascii="Times New Roman" w:cs="Times New Roman" w:eastAsia="Times New Roman" w:hAnsi="Times New Roman"/>
          <w:sz w:val="22"/>
          <w:szCs w:val="22"/>
        </w:rPr>
        <w:t xml:space="preserve">This summary is not a complete description of the analysis performed by William Blair, but contains the material elements of the analysis. The preparation of an opinion regarding fairness is a complex process involving various determinations as to the most appropriate and relevant methods of financial analysis and the application of those methods to the particular circumstances, and, therefore, such an opinion is not readily susceptible to partial analysis or summary description. The preparation of an opinion regarding fairness does not involve a mathematical evaluation or weighing of the results of the individual analyses performed, but requires William Blair to exercise its professional judgment, based on its experience and expertise, in considering a wide variety of analyses taken as a whole. Each of the analyses conducted by William Blair was carried out in order to provide a different perspective on the Merger Consideration and add to the total mix of information available. The analyses were prepared solely for the purpose of William Blair providing its opinion and do not purport to be appraisals or necessarily reflect the prices at which securities actually may be sold. William Blair did not form a conclusion as to whether any individual analysis, considered in isolation, supported or failed to support an opinion about the fairness of the Merger Consideration to be received by the Disinterested Stockholders</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other than the holders of Excluded Shares</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Rather, in rendering its oral opinion on July 15, 2026 (subsequently confirmed in its written opinion dated July 15, 2026) to the Special Committee, as of that date and based upon and subject to the assumptions, qualifications and limitations stated in its written opinion, as to whether the Merger Consideration to be received by the Disinterested Stockholders</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other than the holders of Excluded </w:t>
      </w:r>
      <w:r>
        <w:rPr>
          <w:rFonts w:ascii="Times New Roman" w:cs="Times New Roman" w:eastAsia="Times New Roman" w:hAnsi="Times New Roman"/>
          <w:strike/>
          <w:color w:val="FF0000"/>
          <w:sz w:val="22"/>
          <w:szCs w:val="22"/>
        </w:rPr>
        <w:t xml:space="preserve">Shares) in connection with the transaction contemplated by the Merger Agreement </w:t>
      </w:r>
      <w:r>
        <w:rPr>
          <w:rFonts w:ascii="Times New Roman" w:cs="Times New Roman" w:eastAsia="Times New Roman" w:hAnsi="Times New Roman"/>
          <w:color w:val="0000FF"/>
          <w:sz w:val="22"/>
          <w:szCs w:val="22"/>
          <w:u w:val="double" w:color="0000FF"/>
        </w:rPr>
        <w:t xml:space="preserve">Shares, </w:t>
      </w:r>
      <w:r>
        <w:rPr>
          <w:rFonts w:ascii="Times New Roman" w:cs="Times New Roman" w:eastAsia="Times New Roman" w:hAnsi="Times New Roman"/>
          <w:sz w:val="22"/>
          <w:szCs w:val="22"/>
        </w:rPr>
        <w:t xml:space="preserve">was fair, from a financial point of view, to such stockholders, William Blair considered the results of the analyses in light of each other and ultimately reached its opinion based on the results of all analyses taken as a whole. William Blair's fairness opinion considered each valuation method equally and did not place any particular reliance or weight on any particular analysis, but instead concluded that its analyses, taken as a whole, supported its determination. Accordingly, notwithstanding the separate factors summarized above, William Blair believes that its analyses must be considered as a whole and that selecting portions of its analyses and the factors considered by it, without considering all analyses and factors, may create an incomplete view of the evaluation process underlying its opinion. No company or transaction used in the above analyses as a comparison is directly comparable to the Company or the Merger. In performing its analyses, William Blair made numerous assumptions with respect to industry performance, business and economic conditions and other matters. The analyses performed by William Blair are not necessarily indicative of future actual values and future results, which may be significantly more or less favorable than suggested by such analyses.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has been engaged in the investment banking business since 1935. William Blair continually undertakes the valuation of investment securities in connection with public offerings, private placements, business combinations and similar transactions. In the ordinary course of its business, William Blair may from time to time trade the securities of the Company or other parties involved in the Merger for its own account and for the accounts of its customers, and accordingly may at any time hold a long or short position in such securities. William Blair is familiar with the </w:t>
      </w:r>
      <w:r>
        <w:rPr>
          <w:rFonts w:ascii="Times New Roman" w:cs="Times New Roman" w:eastAsia="Times New Roman" w:hAnsi="Times New Roman"/>
          <w:strike/>
          <w:color w:val="FF0000"/>
          <w:sz w:val="22"/>
          <w:szCs w:val="22"/>
        </w:rPr>
        <w:t xml:space="preserve">Company, having provided certain </w:t>
      </w:r>
      <w:r>
        <w:rPr>
          <w:rFonts w:ascii="Times New Roman" w:cs="Times New Roman" w:eastAsia="Times New Roman" w:hAnsi="Times New Roman"/>
          <w:color w:val="0000FF"/>
          <w:sz w:val="22"/>
          <w:szCs w:val="22"/>
          <w:u w:val="double" w:color="0000FF"/>
        </w:rPr>
        <w:t xml:space="preserve">Company and has acted as an </w:t>
      </w:r>
      <w:r>
        <w:rPr>
          <w:rFonts w:ascii="Times New Roman" w:cs="Times New Roman" w:eastAsia="Times New Roman" w:hAnsi="Times New Roman"/>
          <w:sz w:val="22"/>
          <w:szCs w:val="22"/>
        </w:rPr>
        <w:t xml:space="preserve">investment </w:t>
      </w:r>
      <w:r>
        <w:rPr>
          <w:rFonts w:ascii="Times New Roman" w:cs="Times New Roman" w:eastAsia="Times New Roman" w:hAnsi="Times New Roman"/>
          <w:strike/>
          <w:color w:val="FF0000"/>
          <w:sz w:val="22"/>
          <w:szCs w:val="22"/>
        </w:rPr>
        <w:t xml:space="preserve">banking services </w:t>
      </w:r>
      <w:r>
        <w:rPr>
          <w:rFonts w:ascii="Times New Roman" w:cs="Times New Roman" w:eastAsia="Times New Roman" w:hAnsi="Times New Roman"/>
          <w:color w:val="0000FF"/>
          <w:sz w:val="22"/>
          <w:szCs w:val="22"/>
          <w:u w:val="double" w:color="0000FF"/>
        </w:rPr>
        <w:t xml:space="preserve">banker </w:t>
      </w:r>
      <w:r>
        <w:rPr>
          <w:rFonts w:ascii="Times New Roman" w:cs="Times New Roman" w:eastAsia="Times New Roman" w:hAnsi="Times New Roman"/>
          <w:sz w:val="22"/>
          <w:szCs w:val="22"/>
        </w:rPr>
        <w:t xml:space="preserve">to the Company in connection with the Merger. </w:t>
      </w:r>
      <w:r>
        <w:rPr>
          <w:rFonts w:ascii="Times New Roman" w:cs="Times New Roman" w:eastAsia="Times New Roman" w:hAnsi="Times New Roman"/>
          <w:strike/>
          <w:color w:val="FF0000"/>
          <w:sz w:val="22"/>
          <w:szCs w:val="22"/>
        </w:rPr>
        <w:t xml:space="preserve">William Blair and its affiliates have not performed any financial advisory or other services to the Company, LKCM Headwater or their respective related parties or affiliates in the preceding two years. </w:t>
      </w:r>
    </w:p>
    <w:p>
      <w:pPr>
        <w:spacing w:after="160" w:before="0"/>
        <w:jc w:val="left"/>
      </w:pPr>
      <w:r>
        <w:rPr>
          <w:rFonts w:ascii="Times New Roman" w:cs="Times New Roman" w:eastAsia="Times New Roman" w:hAnsi="Times New Roman"/>
          <w:sz w:val="22"/>
          <w:szCs w:val="22"/>
        </w:rPr>
        <w:t xml:space="preserve">Fees </w:t>
      </w:r>
    </w:p>
    <w:p>
      <w:pPr>
        <w:pBdr>
          <w:left w:val="single" w:color="000000" w:sz="12" w:space="6"/>
        </w:pBdr>
        <w:spacing w:after="160" w:before="0"/>
        <w:jc w:val="left"/>
      </w:pPr>
      <w:r>
        <w:rPr>
          <w:rFonts w:ascii="Times New Roman" w:cs="Times New Roman" w:eastAsia="Times New Roman" w:hAnsi="Times New Roman"/>
          <w:sz w:val="22"/>
          <w:szCs w:val="22"/>
        </w:rPr>
        <w:t xml:space="preserve">Pursuant to a letter agreement </w:t>
      </w:r>
      <w:r>
        <w:rPr>
          <w:rFonts w:ascii="Times New Roman" w:cs="Times New Roman" w:eastAsia="Times New Roman" w:hAnsi="Times New Roman"/>
          <w:strike/>
          <w:color w:val="FF0000"/>
          <w:sz w:val="22"/>
          <w:szCs w:val="22"/>
        </w:rPr>
        <w:t xml:space="preserve">dated April 26, 2026 between the Company and </w:t>
      </w:r>
      <w:r>
        <w:rPr>
          <w:rFonts w:ascii="Times New Roman" w:cs="Times New Roman" w:eastAsia="Times New Roman" w:hAnsi="Times New Roman"/>
          <w:color w:val="0000FF"/>
          <w:sz w:val="22"/>
          <w:szCs w:val="22"/>
          <w:u w:val="double" w:color="0000FF"/>
        </w:rPr>
        <w:t xml:space="preserve">with </w:t>
      </w:r>
      <w:r>
        <w:rPr>
          <w:rFonts w:ascii="Times New Roman" w:cs="Times New Roman" w:eastAsia="Times New Roman" w:hAnsi="Times New Roman"/>
          <w:sz w:val="22"/>
          <w:szCs w:val="22"/>
        </w:rPr>
        <w:t xml:space="preserve">William Blair, </w:t>
      </w:r>
      <w:r>
        <w:rPr>
          <w:rFonts w:ascii="Times New Roman" w:cs="Times New Roman" w:eastAsia="Times New Roman" w:hAnsi="Times New Roman"/>
          <w:strike/>
          <w:color w:val="FF0000"/>
          <w:sz w:val="22"/>
          <w:szCs w:val="22"/>
        </w:rPr>
        <w:t xml:space="preserve">an </w:t>
      </w:r>
      <w:r>
        <w:rPr>
          <w:rFonts w:ascii="Times New Roman" w:cs="Times New Roman" w:eastAsia="Times New Roman" w:hAnsi="Times New Roman"/>
          <w:color w:val="0000FF"/>
          <w:sz w:val="22"/>
          <w:szCs w:val="22"/>
          <w:u w:val="double" w:color="0000FF"/>
        </w:rPr>
        <w:t xml:space="preserve">a fairness </w:t>
      </w:r>
      <w:r>
        <w:rPr>
          <w:rFonts w:ascii="Times New Roman" w:cs="Times New Roman" w:eastAsia="Times New Roman" w:hAnsi="Times New Roman"/>
          <w:sz w:val="22"/>
          <w:szCs w:val="22"/>
        </w:rPr>
        <w:t xml:space="preserve">opinion fee of $2.0 million became payable </w:t>
      </w:r>
      <w:r>
        <w:rPr>
          <w:rFonts w:ascii="Times New Roman" w:cs="Times New Roman" w:eastAsia="Times New Roman" w:hAnsi="Times New Roman"/>
          <w:strike/>
          <w:color w:val="FF0000"/>
          <w:sz w:val="22"/>
          <w:szCs w:val="22"/>
        </w:rPr>
        <w:t xml:space="preserve">by the Company </w:t>
      </w:r>
      <w:r>
        <w:rPr>
          <w:rFonts w:ascii="Times New Roman" w:cs="Times New Roman" w:eastAsia="Times New Roman" w:hAnsi="Times New Roman"/>
          <w:sz w:val="22"/>
          <w:szCs w:val="22"/>
        </w:rPr>
        <w:t xml:space="preserve">to William Blair upon delivery of its fairness opinion. An additional fee of </w:t>
      </w:r>
      <w:r>
        <w:rPr>
          <w:rFonts w:ascii="Times New Roman" w:cs="Times New Roman" w:eastAsia="Times New Roman" w:hAnsi="Times New Roman"/>
          <w:color w:val="0000FF"/>
          <w:sz w:val="22"/>
          <w:szCs w:val="22"/>
          <w:u w:val="double" w:color="0000FF"/>
        </w:rPr>
        <w:t xml:space="preserve">approximately </w:t>
      </w:r>
      <w:r>
        <w:rPr>
          <w:rFonts w:ascii="Times New Roman" w:cs="Times New Roman" w:eastAsia="Times New Roman" w:hAnsi="Times New Roman"/>
          <w:sz w:val="22"/>
          <w:szCs w:val="22"/>
        </w:rPr>
        <w:t xml:space="preserve">$4.6 million will become payable to William Blair in connection with the consummation of the Merger and is contingent on consummation of the Merger. No portion of the fee</w:t>
      </w:r>
      <w:r>
        <w:rPr>
          <w:rFonts w:ascii="Times New Roman" w:cs="Times New Roman" w:eastAsia="Times New Roman" w:hAnsi="Times New Roman"/>
          <w:color w:val="0000FF"/>
          <w:sz w:val="22"/>
          <w:szCs w:val="22"/>
          <w:u w:val="double" w:color="0000FF"/>
        </w:rPr>
        <w:t xml:space="preserve">s</w:t>
      </w:r>
      <w:r>
        <w:rPr>
          <w:rFonts w:ascii="Times New Roman" w:cs="Times New Roman" w:eastAsia="Times New Roman" w:hAnsi="Times New Roman"/>
          <w:sz w:val="22"/>
          <w:szCs w:val="22"/>
        </w:rPr>
        <w:t xml:space="preserve"> payable to William Blair </w:t>
      </w:r>
      <w:r>
        <w:rPr>
          <w:rFonts w:ascii="Times New Roman" w:cs="Times New Roman" w:eastAsia="Times New Roman" w:hAnsi="Times New Roman"/>
          <w:strike/>
          <w:color w:val="FF0000"/>
          <w:sz w:val="22"/>
          <w:szCs w:val="22"/>
        </w:rPr>
        <w:t xml:space="preserve">for rendering its fairness opinion was </w:t>
      </w:r>
      <w:r>
        <w:rPr>
          <w:rFonts w:ascii="Times New Roman" w:cs="Times New Roman" w:eastAsia="Times New Roman" w:hAnsi="Times New Roman"/>
          <w:color w:val="0000FF"/>
          <w:sz w:val="22"/>
          <w:szCs w:val="22"/>
          <w:u w:val="double" w:color="0000FF"/>
        </w:rPr>
        <w:t xml:space="preserve">were </w:t>
      </w:r>
      <w:r>
        <w:rPr>
          <w:rFonts w:ascii="Times New Roman" w:cs="Times New Roman" w:eastAsia="Times New Roman" w:hAnsi="Times New Roman"/>
          <w:sz w:val="22"/>
          <w:szCs w:val="22"/>
        </w:rPr>
        <w:t xml:space="preserve">contingent on the conclusions reached by William Blair in </w:t>
      </w:r>
      <w:r>
        <w:rPr>
          <w:rFonts w:ascii="Times New Roman" w:cs="Times New Roman" w:eastAsia="Times New Roman" w:hAnsi="Times New Roman"/>
          <w:strike/>
          <w:color w:val="FF0000"/>
          <w:sz w:val="22"/>
          <w:szCs w:val="22"/>
        </w:rPr>
        <w:t xml:space="preserve">its </w:t>
      </w:r>
      <w:r>
        <w:rPr>
          <w:rFonts w:ascii="Times New Roman" w:cs="Times New Roman" w:eastAsia="Times New Roman" w:hAnsi="Times New Roman"/>
          <w:color w:val="0000FF"/>
          <w:sz w:val="22"/>
          <w:szCs w:val="22"/>
          <w:u w:val="double" w:color="0000FF"/>
        </w:rPr>
        <w:t xml:space="preserve">William Blair's </w:t>
      </w:r>
      <w:r>
        <w:rPr>
          <w:rFonts w:ascii="Times New Roman" w:cs="Times New Roman" w:eastAsia="Times New Roman" w:hAnsi="Times New Roman"/>
          <w:sz w:val="22"/>
          <w:szCs w:val="22"/>
        </w:rPr>
        <w:t xml:space="preserve">fairness opinion. In addition, the Company agreed </w:t>
      </w:r>
      <w:r>
        <w:rPr>
          <w:rFonts w:ascii="Times New Roman" w:cs="Times New Roman" w:eastAsia="Times New Roman" w:hAnsi="Times New Roman"/>
          <w:strike/>
          <w:color w:val="FF0000"/>
          <w:sz w:val="22"/>
          <w:szCs w:val="22"/>
        </w:rPr>
        <w:t xml:space="preserve">to reimburse William Blair for certain of its out-of-pocket, documented expenses (including fees and expenses of its counsel and any other independent experts retained by William Blair) reasonably incurred by it in connection with its engagement and </w:t>
      </w:r>
      <w:r>
        <w:rPr>
          <w:rFonts w:ascii="Times New Roman" w:cs="Times New Roman" w:eastAsia="Times New Roman" w:hAnsi="Times New Roman"/>
          <w:sz w:val="22"/>
          <w:szCs w:val="22"/>
        </w:rPr>
        <w:t xml:space="preserve">to indemnify William Blair against certain potential liabilities arising out of its engagement. </w:t>
      </w:r>
    </w:p>
    <w:p>
      <w:pPr>
        <w:spacing w:after="160" w:before="240"/>
        <w:jc w:val="left"/>
      </w:pPr>
      <w:r>
        <w:rPr>
          <w:rFonts w:ascii="Times New Roman" w:cs="Times New Roman" w:eastAsia="Times New Roman" w:hAnsi="Times New Roman"/>
          <w:b/>
          <w:bCs/>
          <w:sz w:val="22"/>
          <w:szCs w:val="22"/>
        </w:rPr>
        <w:t xml:space="preserve">Original paragraphs not carried into the revised document (27 of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the draft Merger Agreement, dated as of July 15, 2026, and William Blair assumed that the final form of the Merger Agreement would not differ from such draft in any material respect;</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the audited historical financial statements of the Company included in its filings with the SEC as of and for the three fiscal years ended December 31, 2023, December 31, 2024 and December 31, 2025, in each case included in the Company's Annual Report on Form 10-K for the fiscal year ended December 31, 2025;</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the unaudited consolidated financial statements of the Company included in its filings with the SEC as of and for the three months ended March 31, 2026, included in the Company's Quarterly Report on Form 10-Q for the fiscal quarter ended March 31, 2026;</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certain internal business, operating and financial information and the financial projections of the Company for the fiscal years ending December 31, 2026 through December 31, 2030, prepared by the senior management of the Company, which are referred to as the "Revised Projections" under the caption " — Unaudited Prospective Financial Information ";</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information regarding publicly available financial terms of certain other transactions William Blair deemed relevant;</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information regarding certain publicly traded companies William Blair deemed relevant;</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the current and historical market prices and trading volumes of the Company Common Stock; and</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certain other publicly available information on the Company.</w:t>
            </w:r>
          </w:p>
        </w:tc>
      </w:tr>
    </w:tbl>
    <w:p>
      <w:pPr>
        <w:spacing w:after="120"/>
      </w:pP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For more information on the Projections, including a discussion of estimates and judgments used by the Company in the preparation of the Projections, see the section of this proxy statement titled " — Unaudited Prospective Financial Information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(1)</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Metrics calendarized based on fiscal year end of June 30.</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(2)</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Metrics calendarized based on fiscal year end of August 31.</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Implied Merger Multiples</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Selected Public Company Multiples</w:t>
            </w:r>
          </w:p>
        </w:tc>
      </w:tr>
    </w:tbl>
    <w:p>
      <w:pPr>
        <w:spacing w:after="120"/>
      </w:pP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Enterprise Value/LTM Adjusted EBITDA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Enterprise Value/CY 2026E Adjusted EBITDA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(1)</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Company financials are pro forma for acquisitions.</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(1)</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LTM EBITDA for the CY ending December 31, 2024, as reported in the 8-K filed by Lowe's Companies, Inc. on August 20, 2025.</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(2)</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LTM EBITDA for the CY ending December 31, 2024, as reported in the Lennox International Inc.'s investor presentation filed on August 18, 2025.</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(3)</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LTM EBITDA expected to be contributed by Hydradyne LLC within 12 months of transaction closing as disclosed in 8-K filed on November 22, 2024.</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(4)</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LTM EBITDA for CY ended December 31, 2023, as reported in Home Depot, Inc.'s investor presentation filed on March 28, 2024.</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(5)</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LTM EBITDA for the fiscal year ending October 31, 2022, as reported in the transaction 8-K filed by DSG on March 31, 2023. EV includes $37.5 million in retention bonuses to Hisco, Inc. employees.</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(6)</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LTM EBITDA for the calendar year 2021, as reported in the transaction press release filed by Roper on June 1, 2022. Excludes $51 million in performance based earnouts.</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(7)</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Represents LTM EBITDA for the calendar year 2022, as reported in the investor presentation filed by Genuine Parts Company on December 16, 2021.</w:t>
            </w:r>
          </w:p>
        </w:tc>
      </w:tr>
      <w:tr>
        <w:tc>
          <w:tcPr>
            <w:tcW w:type="dxa" w:w="3182"/>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(8)</w:t>
            </w:r>
          </w:p>
        </w:tc>
        <w:tc>
          <w:tcPr>
            <w:tcW w:type="dxa" w:w="617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LTM EBITDA for the calendar year 2020, as reported in the Diploma investor presentation filed on September 22, 2020.</w:t>
            </w:r>
          </w:p>
        </w:tc>
      </w:tr>
    </w:tbl>
    <w:p>
      <w:pPr>
        <w:spacing w:after="120"/>
      </w:pP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Enterprise Value/LTM Adjusted EBITDA </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018"/>
        <w:gridCol w:w="917"/>
        <w:gridCol w:w="917"/>
        <w:gridCol w:w="917"/>
        <w:gridCol w:w="917"/>
        <w:gridCol w:w="917"/>
        <w:gridCol w:w="917"/>
        <w:gridCol w:w="917"/>
        <w:gridCol w:w="917"/>
      </w:tblGrid>
      <w:tr>
        <w:tc>
          <w:tcPr>
            <w:tcW w:type="dxa" w:w="201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(1)</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Company financials are pro forma for acquisitions.</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r>
        <w:tc>
          <w:tcPr>
            <w:tcW w:type="dxa" w:w="201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10th</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20th</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30th</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40th</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50th</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60th</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70th</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80th</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90th</w:t>
            </w:r>
          </w:p>
        </w:tc>
      </w:tr>
      <w:tr>
        <w:tc>
          <w:tcPr>
            <w:tcW w:type="dxa" w:w="201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strike/>
                <w:color w:val="FF0000"/>
                <w:sz w:val="18"/>
                <w:szCs w:val="18"/>
              </w:rPr>
              <w:t xml:space="preserve">(1)</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trike/>
                <w:color w:val="FF0000"/>
                <w:sz w:val="18"/>
                <w:szCs w:val="18"/>
              </w:rPr>
              <w:t xml:space="preserve">Implied premium based on Merger Consideration of $35.00 per share. Relative to the Company's undisturbed share prices one day, one week and one month prior to March 13, 2026 of $19.31, $22.09 and $30.84, respectively.</w:t>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91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r>
    </w:tbl>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2026-09-10T04:26:15.638Z</dcterms:created>
  <dcterms:modified xsi:type="dcterms:W3CDTF">2026-09-10T04:26:15.639Z</dcterms:modified>
</cp:coreProperties>
</file>

<file path=docProps/custom.xml><?xml version="1.0" encoding="utf-8"?>
<Properties xmlns="http://schemas.openxmlformats.org/officeDocument/2006/custom-properties" xmlns:vt="http://schemas.openxmlformats.org/officeDocument/2006/docPropsVTypes"/>
</file>