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18"/>
          <w:szCs w:val="18"/>
        </w:rPr>
        <w:t xml:space="preserve">DRAFT — ATTORNEY WORK PRODUCT — FOR REVIEW — NOT FOR FILING</w:t>
      </w:r>
    </w:p>
    <w:p>
      <w:pPr>
        <w:keepNext/>
        <w:spacing w:after="120" w:before="200"/>
      </w:pPr>
      <w:r>
        <w:rPr>
          <w:rFonts w:ascii="Times New Roman" w:cs="Times New Roman" w:eastAsia="Times New Roman" w:hAnsi="Times New Roman"/>
          <w:b/>
          <w:bCs/>
          <w:sz w:val="22"/>
          <w:szCs w:val="22"/>
        </w:rPr>
        <w:t xml:space="preserve">Opinion of the Special Committee’s Financial Advisor</w:t>
      </w:r>
    </w:p>
    <w:p>
      <w:pPr>
        <w:spacing w:after="160"/>
        <w:jc w:val="both"/>
      </w:pPr>
      <w:r>
        <w:rPr>
          <w:rFonts w:ascii="Times New Roman" w:cs="Times New Roman" w:eastAsia="Times New Roman" w:hAnsi="Times New Roman"/>
          <w:sz w:val="22"/>
          <w:szCs w:val="22"/>
        </w:rPr>
        <w:t xml:space="preserve">William Blair was retained by the Special Committee to act as its financial advisor in connection with the Merger. Pursuant to its engagement, the Special Committee requested that William Blair render an opinion to the Special Committee as to whether the Merger Consideration to be received by the Disinterested Stockholders, other than the holders of Excluded Shares, pursuant to the Merger Agreement was fair, from a financial point of view, to such stockholders. On July 15, 2026, William Blair delivered its oral opinion to the Special Committee at a meeting of the Special Committee (which opinion was subsequently confirmed in its written opinion dated July 15, 2026, and delivered to the Special Committee prior to the execution of the Merger Agreement) that, as of the date of such opinion, and based upon and subject to the assumptions, qualifications and limitations stated in its written opinion, the Merger Consideration to be received by the Disinterested Stockholders, other than the holders of Excluded Shares, pursuant to the Merger Agreement was fair, from a financial point of view, to such stockholders.</w:t>
      </w:r>
    </w:p>
    <w:p>
      <w:pPr>
        <w:spacing w:after="160"/>
        <w:jc w:val="both"/>
      </w:pPr>
      <w:r>
        <w:rPr>
          <w:rFonts w:ascii="Times New Roman" w:cs="Times New Roman" w:eastAsia="Times New Roman" w:hAnsi="Times New Roman"/>
          <w:sz w:val="22"/>
          <w:szCs w:val="22"/>
        </w:rPr>
        <w:t xml:space="preserve">THE FULL TEXT OF WILLIAM BLAIR’S WRITTEN OPINION, DATED JULY 15, 2026, IS ATTACHED AS ANNEX B TO THIS PROXY STATEMENT AND INCORPORATED INTO THIS PROXY STATEMENT BY REFERENCE IN ITS ENTIRETY. YOU ARE URGED TO READ THE ENTIRE FAIRNESS OPINION CAREFULLY AND IN ITS ENTIRETY TO LEARN ABOUT THE ASSUMPTIONS MADE, PROCEDURES FOLLOWED, MATTERS CONSIDERED AND LIMITS ON THE SCOPE OF THE REVIEW UNDERTAKEN BY WILLIAM BLAIR IN RENDERING ITS OPINION. THE ANALYSIS PERFORMED BY WILLIAM BLAIR SHOULD BE VIEWED IN ITS ENTIRETY; NONE OF THE METHODS OF ANALYSIS SHOULD BE VIEWED IN ISOLATION. WILLIAM BLAIR’S FAIRNESS OPINION WAS DIRECTED TO THE SPECIAL COMMITTEE FOR ITS USE AND BENEFIT IN EVALUATING THE FAIRNESS OF THE MERGER CONSIDERATION TO BE RECEIVED BY THE DISINTERESTED STOCKHOLDERS, OTHER THAN THE HOLDERS OF EXCLUDED SHARES, PURSUANT TO THE MERGER AGREEMENT AND RELATES ONLY TO THE FAIRNESS, AS OF THE DATE OF WILLIAM BLAIR’S FAIRNESS OPINION AND FROM A FINANCIAL POINT OF VIEW, OF THE MERGER CONSIDERATION TO BE RECEIVED BY THE DISINTERESTED STOCKHOLDERS, OTHER THAN THE HOLDERS OF EXCLUDED SHARES, PURSUANT TO THE MERGER AGREEMENT. WILLIAM BLAIR’S FAIRNESS OPINION DOES NOT ADDRESS ANY OTHER ASPECTS OF THE MERGER OR ANY RELATED TRANSACTION, AND DOES NOT CONSTITUTE A RECOMMENDATION TO ANY HOLDER OF COMPANY COMMON STOCK AS TO HOW SUCH STOCKHOLDER SHOULD VOTE ITS SHARES OF COMPANY COMMON STOCK WITH RESPECT TO THE MERGER. WILLIAM BLAIR DID NOT ADDRESS THE MERITS OF THE UNDERLYING DECISION BY THE COMPANY TO ENGAGE IN THE MERGER. THE FOLLOWING SUMMARY OF WILLIAM BLAIR’S FAIRNESS OPINION IS QUALIFIED IN ITS ENTIRETY BY REFERENCE TO THE FULL TEXT OF ITS FAIRNESS OPINION ATTACHED TO THIS PROXY STATEMENT AS ANNEX B.</w:t>
      </w:r>
    </w:p>
    <w:p>
      <w:pPr>
        <w:spacing w:after="160"/>
        <w:jc w:val="both"/>
      </w:pPr>
      <w:r>
        <w:rPr>
          <w:rFonts w:ascii="Times New Roman" w:cs="Times New Roman" w:eastAsia="Times New Roman" w:hAnsi="Times New Roman"/>
          <w:sz w:val="22"/>
          <w:szCs w:val="22"/>
        </w:rPr>
        <w:t xml:space="preserve">In connection with William Blair’s review of the Merger and the preparation of its opinion, William Blair examined:</w:t>
      </w:r>
    </w:p>
    <w:p>
      <w:pPr>
        <w:spacing w:after="160"/>
        <w:jc w:val="both"/>
      </w:pPr>
      <w:r>
        <w:rPr>
          <w:rFonts w:ascii="Times New Roman" w:cs="Times New Roman" w:eastAsia="Times New Roman" w:hAnsi="Times New Roman"/>
          <w:sz w:val="22"/>
          <w:szCs w:val="22"/>
        </w:rPr>
        <w:t xml:space="preserve">- the draft Merger Agreement, dated as of July 15, 2026, and William Blair assumed that the final form of the Merger Agreement would not differ from such draft in any material respect;</w:t>
      </w:r>
    </w:p>
    <w:p>
      <w:pPr>
        <w:spacing w:after="160"/>
        <w:jc w:val="both"/>
      </w:pPr>
      <w:r>
        <w:rPr>
          <w:rFonts w:ascii="Times New Roman" w:cs="Times New Roman" w:eastAsia="Times New Roman" w:hAnsi="Times New Roman"/>
          <w:sz w:val="22"/>
          <w:szCs w:val="22"/>
        </w:rPr>
        <w:t xml:space="preserve">- the audited historical financial statements of the Company included in its filings with the Securities and Exchange Commission (the “ SEC ”) as of and for the three fiscal years ended December 31, 2023, December 31, 2024 and December 31, 2025, in each case included in the Company’s Annual Report on Form 10-K for the fiscal year ended December 31, 2025;</w:t>
      </w:r>
    </w:p>
    <w:p>
      <w:pPr>
        <w:spacing w:after="160"/>
        <w:jc w:val="both"/>
      </w:pPr>
      <w:r>
        <w:rPr>
          <w:rFonts w:ascii="Times New Roman" w:cs="Times New Roman" w:eastAsia="Times New Roman" w:hAnsi="Times New Roman"/>
          <w:sz w:val="22"/>
          <w:szCs w:val="22"/>
        </w:rPr>
        <w:t xml:space="preserve">- the unaudited consolidated financial statements of the Company included in its filings with the SEC as of and for the three months ended March 31, 2026, included in the Company’s Quarterly Report on Form 10-Q for the fiscal quarter ended March 31, 2026;</w:t>
      </w:r>
    </w:p>
    <w:p>
      <w:pPr>
        <w:spacing w:after="160"/>
        <w:jc w:val="both"/>
      </w:pPr>
      <w:r>
        <w:rPr>
          <w:rFonts w:ascii="Times New Roman" w:cs="Times New Roman" w:eastAsia="Times New Roman" w:hAnsi="Times New Roman"/>
          <w:sz w:val="22"/>
          <w:szCs w:val="22"/>
        </w:rPr>
        <w:t xml:space="preserve">- certain internal business, operating and financial information and forecasts of the Company for the fiscal years ending December 31, 2026 through December 31, 2030, prepared by the senior management of the Company (the “ Forecasts ”);</w:t>
      </w:r>
    </w:p>
    <w:p>
      <w:pPr>
        <w:spacing w:after="160"/>
        <w:jc w:val="both"/>
      </w:pPr>
      <w:r>
        <w:rPr>
          <w:rFonts w:ascii="Times New Roman" w:cs="Times New Roman" w:eastAsia="Times New Roman" w:hAnsi="Times New Roman"/>
          <w:sz w:val="22"/>
          <w:szCs w:val="22"/>
        </w:rPr>
        <w:t xml:space="preserve">- information regarding publicly available financial terms of certain other transactions William Blair deemed relevant;</w:t>
      </w:r>
    </w:p>
    <w:p>
      <w:pPr>
        <w:spacing w:after="160"/>
        <w:jc w:val="both"/>
      </w:pPr>
      <w:r>
        <w:rPr>
          <w:rFonts w:ascii="Times New Roman" w:cs="Times New Roman" w:eastAsia="Times New Roman" w:hAnsi="Times New Roman"/>
          <w:sz w:val="22"/>
          <w:szCs w:val="22"/>
        </w:rPr>
        <w:t xml:space="preserve">- information regarding certain publicly traded companies William Blair deemed relevant;</w:t>
      </w:r>
    </w:p>
    <w:p>
      <w:pPr>
        <w:spacing w:after="160"/>
        <w:jc w:val="both"/>
      </w:pPr>
      <w:r>
        <w:rPr>
          <w:rFonts w:ascii="Times New Roman" w:cs="Times New Roman" w:eastAsia="Times New Roman" w:hAnsi="Times New Roman"/>
          <w:sz w:val="22"/>
          <w:szCs w:val="22"/>
        </w:rPr>
        <w:t xml:space="preserve">- the financial position and operating results of the Company compared with those of certain publicly traded companies William Blair deemed relevant;</w:t>
      </w:r>
    </w:p>
    <w:p>
      <w:pPr>
        <w:spacing w:after="160"/>
        <w:jc w:val="both"/>
      </w:pPr>
      <w:r>
        <w:rPr>
          <w:rFonts w:ascii="Times New Roman" w:cs="Times New Roman" w:eastAsia="Times New Roman" w:hAnsi="Times New Roman"/>
          <w:sz w:val="22"/>
          <w:szCs w:val="22"/>
        </w:rPr>
        <w:t xml:space="preserve">- the current and historical market prices and trading volumes of Company Common Stock; and</w:t>
      </w:r>
    </w:p>
    <w:p>
      <w:pPr>
        <w:spacing w:after="160"/>
        <w:jc w:val="both"/>
      </w:pPr>
      <w:r>
        <w:rPr>
          <w:rFonts w:ascii="Times New Roman" w:cs="Times New Roman" w:eastAsia="Times New Roman" w:hAnsi="Times New Roman"/>
          <w:sz w:val="22"/>
          <w:szCs w:val="22"/>
        </w:rPr>
        <w:t xml:space="preserve">- certain other publicly available information on the Company.</w:t>
      </w:r>
    </w:p>
    <w:p>
      <w:pPr>
        <w:spacing w:after="160"/>
        <w:jc w:val="both"/>
      </w:pPr>
      <w:r>
        <w:rPr>
          <w:rFonts w:ascii="Times New Roman" w:cs="Times New Roman" w:eastAsia="Times New Roman" w:hAnsi="Times New Roman"/>
          <w:sz w:val="22"/>
          <w:szCs w:val="22"/>
        </w:rPr>
        <w:t xml:space="preserve">William Blair also held discussions with members of the senior management of the Company to discuss the foregoing, considered other matters that it deemed relevant to its analysis, and took into account such accepted financial and investment banking procedures and considerations as it deemed relevant. William Blair was neither requested to approach, nor held any discussions with, third parties to solicit indications of interest in a possible acquisition of the Company in connection with its engagement.</w:t>
      </w:r>
    </w:p>
    <w:p>
      <w:pPr>
        <w:spacing w:after="160"/>
        <w:jc w:val="both"/>
      </w:pPr>
      <w:r>
        <w:rPr>
          <w:rFonts w:ascii="Times New Roman" w:cs="Times New Roman" w:eastAsia="Times New Roman" w:hAnsi="Times New Roman"/>
          <w:sz w:val="22"/>
          <w:szCs w:val="22"/>
        </w:rPr>
        <w:t xml:space="preserve">In rendering its opinion, William Blair assumed and relied, without independent verification and with the Company’s consent, upon the accuracy and completeness of all the financial, legal, regulatory, tax, accounting and other information provided to, examined by or otherwise reviewed or discussed with William Blair for purposes of its fairness opinion, including without limitation the Forecasts, and William Blair assumed no responsibility or liability therefor. William Blair did not make or obtain an independent valuation or appraisal of the assets, liabilities or solvency of the Company. William Blair was advised by the senior management of the Company that the Forecasts examined by William Blair were reasonably prepared on bases reflecting the best currently available estimates and judgments of the senior management of the Company. In that regard, William Blair assumed, with the consent of the Special Committee, that (i) the Forecasts would be achieved in the amounts and at the times contemplated thereby and (ii) all material assets and liabilities (contingent or otherwise) of the Company were as set forth in the Company’s financial statements or other information made available to William Blair.</w:t>
      </w:r>
    </w:p>
    <w:p>
      <w:pPr>
        <w:spacing w:after="160"/>
        <w:jc w:val="both"/>
      </w:pPr>
      <w:r>
        <w:rPr>
          <w:rFonts w:ascii="Times New Roman" w:cs="Times New Roman" w:eastAsia="Times New Roman" w:hAnsi="Times New Roman"/>
          <w:sz w:val="22"/>
          <w:szCs w:val="22"/>
        </w:rPr>
        <w:t xml:space="preserve">William Blair did not express an opinion with respect to (a) the Forecasts, or the estimates and judgments on which they are based, (b) any debt financing incurred in connection with the Merger or (c) any equity financing provided in connection with the Merger or the terms thereof. William Blair did not consider, and expressed no opinion as to, the amount or nature of the compensation to any of the Company’s officers, directors or employees (or any class of such persons) relative to the compensation to the Company. William Blair was not asked to consider, and its fairness opinion did not address, the relative merits of the Merger as compared to any alternative business strategies that might exist for the Company or the effect of any other transaction in which the Company might engage. William Blair’s fairness opinion is based upon economic, market, financial and other conditions existing on, and other information disclosed to it as of, the date of such fairness opinion. It should be understood that, although subsequent developments may affect William Blair’s fairness opinion, it does not have any obligation to update, revise or reaffirm this opinion. William Blair did not make any determination as to legal matters related to the Merger, assumed that the final executed Merger Agreement did not materially differ from the drafts of the Merger Agreement reviewed by it and assumed that the Merger will be consummated on the terms described in the Merger Agreement, without any amendment or waiver of any material terms or conditions. William Blair did not express any opinion as to any tax or other consequences that might result from the Merger, nor did its opinion address any legal, tax, regulatory or accounting matters, as to which it understood that the Company had obtained such advice as it deemed necessary from qualified professionals. William Blair expressed no view or opinion as to any terms or other aspects or implications of the Merger (other than the Merger Consideration to the extent expressly specified in its fairness opinion), including, without limitation, the form or structure of the Merger or any agreements or other arrangements entered into in connection with, or contemplated by, the Merger. William Blair’s fairness opinion was reviewed and approved by its Fairness Opinion Committee.</w:t>
      </w:r>
    </w:p>
    <w:p>
      <w:pPr>
        <w:spacing w:after="160"/>
        <w:jc w:val="both"/>
      </w:pPr>
      <w:r>
        <w:rPr>
          <w:rFonts w:ascii="Times New Roman" w:cs="Times New Roman" w:eastAsia="Times New Roman" w:hAnsi="Times New Roman"/>
          <w:sz w:val="22"/>
          <w:szCs w:val="22"/>
        </w:rPr>
        <w:t xml:space="preserve">The following is a summary of the material financial analyses performed and material factors considered by William Blair to arrive at its opinion. William Blair performed certain procedures, including each of the financial analyses described below, and reviewed with the Special Committee the assumptions upon which such analyses were based, as well as other factors. Although the summary does not purport to describe all of the analyses performed or factors considered by William Blair in this regard, it does set forth those considered by William Blair to be material in arriving at its fairness opinion. The financial analyses summarized below include information presented in a tabular format. In order to fully understand the financial analyses performed by William Blair, the tables must be read together with the text of each summary. The tables alone do not constitute a complete description of the financial analyses performed by William Blair. Considering the data set forth in the tables below without considering the full narrative description of the financial analyses, including the methodologies and assumptions underlying the analyses, could create a misleading or incomplete view of the financial analyses performed by William Blair. The order of the summaries of the analyses described below does not represent the relative importance or weight given to those analyses by William Blair.</w:t>
      </w:r>
    </w:p>
    <w:p>
      <w:pPr>
        <w:keepNext/>
        <w:spacing w:after="120" w:before="200"/>
      </w:pPr>
      <w:r>
        <w:rPr>
          <w:rFonts w:ascii="Times New Roman" w:cs="Times New Roman" w:eastAsia="Times New Roman" w:hAnsi="Times New Roman"/>
          <w:b/>
          <w:bCs/>
          <w:sz w:val="22"/>
          <w:szCs w:val="22"/>
        </w:rPr>
        <w:t xml:space="preserve">Selected Public Companies Analysis</w:t>
      </w:r>
    </w:p>
    <w:p>
      <w:pPr>
        <w:spacing w:after="160"/>
        <w:jc w:val="both"/>
      </w:pPr>
      <w:r>
        <w:rPr>
          <w:rFonts w:ascii="Times New Roman" w:cs="Times New Roman" w:eastAsia="Times New Roman" w:hAnsi="Times New Roman"/>
          <w:sz w:val="22"/>
          <w:szCs w:val="22"/>
        </w:rPr>
        <w:t xml:space="preserve">William Blair reviewed and compared certain financial information relating to the Company to corresponding financial information and multiples for seven publicly traded companies in the industrial and specialty distribution sectors with similar business models or financial profiles that William Blair deemed relevant based on its professional judgment and experience. William Blair considered the enterprise value for each company (including the Company), which William Blair calculated as the equity value of the company, plus total debt, minority interest and preferred stock, less cash and cash equivalents. The equity value of each company was calculated using the closing stock price as of July 14, 2026 (the last trading day for reference prior to the entry into the Merger Agreement), multiplied by the total diluted shares outstanding (using the most recent publicly available information as of July 14, 2026). William Blair reviewed the enterprise value as a multiple of (i) last twelve months (“ LTM ”) Adjusted EBITDA and (ii) calendar year 2026 expected (“ CY 2026E ”) Adjusted EBITDA, in each case, based on the Forecasts for the Company and consensus estimates for each other company, sourced from SEC filings and subscription services as of July 14, 2026. Set forth below are the companies and relevant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Pr>
          <w:p>
            <w:pPr>
              <w:jc w:val="left"/>
            </w:pPr>
            <w:r>
              <w:rPr>
                <w:rFonts w:ascii="Times New Roman" w:cs="Times New Roman" w:eastAsia="Times New Roman" w:hAnsi="Times New Roman"/>
                <w:b/>
                <w:bCs/>
                <w:sz w:val="18"/>
                <w:szCs w:val="18"/>
              </w:rPr>
              <w:t xml:space="preserve">Company</w:t>
            </w:r>
          </w:p>
        </w:tc>
        <w:tc>
          <w:tcPr>
            <w:tcW w:type="dxa" w:w="1337"/>
          </w:tcPr>
          <w:p>
            <w:pPr>
              <w:jc w:val="right"/>
            </w:pPr>
            <w:r>
              <w:rPr>
                <w:rFonts w:ascii="Times New Roman" w:cs="Times New Roman" w:eastAsia="Times New Roman" w:hAnsi="Times New Roman"/>
                <w:b/>
                <w:bCs/>
                <w:sz w:val="18"/>
                <w:szCs w:val="18"/>
              </w:rPr>
              <w:t xml:space="preserve">Equity Value (millions)</w:t>
            </w:r>
          </w:p>
        </w:tc>
        <w:tc>
          <w:tcPr>
            <w:tcW w:type="dxa" w:w="1337"/>
          </w:tcPr>
          <w:p>
            <w:pPr>
              <w:jc w:val="right"/>
            </w:pPr>
            <w:r>
              <w:rPr>
                <w:rFonts w:ascii="Times New Roman" w:cs="Times New Roman" w:eastAsia="Times New Roman" w:hAnsi="Times New Roman"/>
                <w:b/>
                <w:bCs/>
                <w:sz w:val="18"/>
                <w:szCs w:val="18"/>
              </w:rPr>
              <w:t xml:space="preserve">Enterprise Value (millions)</w:t>
            </w:r>
          </w:p>
        </w:tc>
        <w:tc>
          <w:tcPr>
            <w:tcW w:type="dxa" w:w="1337"/>
          </w:tcPr>
          <w:p>
            <w:pPr>
              <w:jc w:val="right"/>
            </w:pPr>
            <w:r>
              <w:rPr>
                <w:rFonts w:ascii="Times New Roman" w:cs="Times New Roman" w:eastAsia="Times New Roman" w:hAnsi="Times New Roman"/>
                <w:b/>
                <w:bCs/>
                <w:sz w:val="18"/>
                <w:szCs w:val="18"/>
              </w:rPr>
              <w:t xml:space="preserve">2025A–2026E Revenue Growth</w:t>
            </w:r>
          </w:p>
        </w:tc>
        <w:tc>
          <w:tcPr>
            <w:tcW w:type="dxa" w:w="1337"/>
          </w:tcPr>
          <w:p>
            <w:pPr>
              <w:jc w:val="right"/>
            </w:pPr>
            <w:r>
              <w:rPr>
                <w:rFonts w:ascii="Times New Roman" w:cs="Times New Roman" w:eastAsia="Times New Roman" w:hAnsi="Times New Roman"/>
                <w:b/>
                <w:bCs/>
                <w:sz w:val="18"/>
                <w:szCs w:val="18"/>
              </w:rPr>
              <w:t xml:space="preserve">LTM Adjusted EBITDA Margin</w:t>
            </w:r>
          </w:p>
        </w:tc>
        <w:tc>
          <w:tcPr>
            <w:tcW w:type="dxa" w:w="1337"/>
          </w:tcPr>
          <w:p>
            <w:pPr>
              <w:jc w:val="right"/>
            </w:pPr>
            <w:r>
              <w:rPr>
                <w:rFonts w:ascii="Times New Roman" w:cs="Times New Roman" w:eastAsia="Times New Roman" w:hAnsi="Times New Roman"/>
                <w:b/>
                <w:bCs/>
                <w:sz w:val="18"/>
                <w:szCs w:val="18"/>
              </w:rPr>
              <w:t xml:space="preserve">Enterprise Value/LTM Adjusted EBITDA</w:t>
            </w:r>
          </w:p>
        </w:tc>
        <w:tc>
          <w:tcPr>
            <w:tcW w:type="dxa" w:w="1337"/>
          </w:tcPr>
          <w:p>
            <w:pPr>
              <w:jc w:val="right"/>
            </w:pPr>
            <w:r>
              <w:rPr>
                <w:rFonts w:ascii="Times New Roman" w:cs="Times New Roman" w:eastAsia="Times New Roman" w:hAnsi="Times New Roman"/>
                <w:b/>
                <w:bCs/>
                <w:sz w:val="18"/>
                <w:szCs w:val="18"/>
              </w:rPr>
              <w:t xml:space="preserve">Enterprise Value/CY 2026E Adjusted EBITDA</w:t>
            </w:r>
          </w:p>
        </w:tc>
      </w:tr>
      <w:tr>
        <w:tc>
          <w:tcPr>
            <w:tcW w:type="dxa" w:w="1337"/>
          </w:tcPr>
          <w:p>
            <w:pPr>
              <w:jc w:val="left"/>
            </w:pPr>
            <w:r>
              <w:rPr>
                <w:rFonts w:ascii="Times New Roman" w:cs="Times New Roman" w:eastAsia="Times New Roman" w:hAnsi="Times New Roman"/>
                <w:b w:val="false"/>
                <w:bCs w:val="false"/>
                <w:sz w:val="18"/>
                <w:szCs w:val="18"/>
              </w:rPr>
              <w:t xml:space="preserve">W.W. Grainger, Inc.</w:t>
            </w:r>
          </w:p>
        </w:tc>
        <w:tc>
          <w:tcPr>
            <w:tcW w:type="dxa" w:w="1337"/>
          </w:tcPr>
          <w:p>
            <w:pPr>
              <w:jc w:val="right"/>
            </w:pPr>
            <w:r>
              <w:rPr>
                <w:rFonts w:ascii="Times New Roman" w:cs="Times New Roman" w:eastAsia="Times New Roman" w:hAnsi="Times New Roman"/>
                <w:b w:val="false"/>
                <w:bCs w:val="false"/>
                <w:sz w:val="18"/>
                <w:szCs w:val="18"/>
              </w:rPr>
              <w:t xml:space="preserve">$64,893</w:t>
            </w:r>
          </w:p>
        </w:tc>
        <w:tc>
          <w:tcPr>
            <w:tcW w:type="dxa" w:w="1337"/>
          </w:tcPr>
          <w:p>
            <w:pPr>
              <w:jc w:val="right"/>
            </w:pPr>
            <w:r>
              <w:rPr>
                <w:rFonts w:ascii="Times New Roman" w:cs="Times New Roman" w:eastAsia="Times New Roman" w:hAnsi="Times New Roman"/>
                <w:b w:val="false"/>
                <w:bCs w:val="false"/>
                <w:sz w:val="18"/>
                <w:szCs w:val="18"/>
              </w:rPr>
              <w:t xml:space="preserve">$67,042</w:t>
            </w:r>
          </w:p>
        </w:tc>
        <w:tc>
          <w:tcPr>
            <w:tcW w:type="dxa" w:w="1337"/>
          </w:tcPr>
          <w:p>
            <w:pPr>
              <w:jc w:val="right"/>
            </w:pPr>
            <w:r>
              <w:rPr>
                <w:rFonts w:ascii="Times New Roman" w:cs="Times New Roman" w:eastAsia="Times New Roman" w:hAnsi="Times New Roman"/>
                <w:b w:val="false"/>
                <w:bCs w:val="false"/>
                <w:sz w:val="18"/>
                <w:szCs w:val="18"/>
              </w:rPr>
              <w:t xml:space="preserve">10.7%</w:t>
            </w:r>
          </w:p>
        </w:tc>
        <w:tc>
          <w:tcPr>
            <w:tcW w:type="dxa" w:w="1337"/>
          </w:tcPr>
          <w:p>
            <w:pPr>
              <w:jc w:val="right"/>
            </w:pPr>
            <w:r>
              <w:rPr>
                <w:rFonts w:ascii="Times New Roman" w:cs="Times New Roman" w:eastAsia="Times New Roman" w:hAnsi="Times New Roman"/>
                <w:b w:val="false"/>
                <w:bCs w:val="false"/>
                <w:sz w:val="18"/>
                <w:szCs w:val="18"/>
              </w:rPr>
              <w:t xml:space="preserve">17.4%</w:t>
            </w:r>
          </w:p>
        </w:tc>
        <w:tc>
          <w:tcPr>
            <w:tcW w:type="dxa" w:w="1337"/>
          </w:tcPr>
          <w:p>
            <w:pPr>
              <w:jc w:val="right"/>
            </w:pPr>
            <w:r>
              <w:rPr>
                <w:rFonts w:ascii="Times New Roman" w:cs="Times New Roman" w:eastAsia="Times New Roman" w:hAnsi="Times New Roman"/>
                <w:b w:val="false"/>
                <w:bCs w:val="false"/>
                <w:sz w:val="18"/>
                <w:szCs w:val="18"/>
              </w:rPr>
              <w:t xml:space="preserve">21.8x</w:t>
            </w:r>
          </w:p>
        </w:tc>
        <w:tc>
          <w:tcPr>
            <w:tcW w:type="dxa" w:w="1337"/>
          </w:tcPr>
          <w:p>
            <w:pPr>
              <w:jc w:val="right"/>
            </w:pPr>
            <w:r>
              <w:rPr>
                <w:rFonts w:ascii="Times New Roman" w:cs="Times New Roman" w:eastAsia="Times New Roman" w:hAnsi="Times New Roman"/>
                <w:b w:val="false"/>
                <w:bCs w:val="false"/>
                <w:sz w:val="18"/>
                <w:szCs w:val="18"/>
              </w:rPr>
              <w:t xml:space="preserve">19.6x</w:t>
            </w:r>
          </w:p>
        </w:tc>
      </w:tr>
      <w:tr>
        <w:tc>
          <w:tcPr>
            <w:tcW w:type="dxa" w:w="1337"/>
          </w:tcPr>
          <w:p>
            <w:pPr>
              <w:jc w:val="left"/>
            </w:pPr>
            <w:r>
              <w:rPr>
                <w:rFonts w:ascii="Times New Roman" w:cs="Times New Roman" w:eastAsia="Times New Roman" w:hAnsi="Times New Roman"/>
                <w:b w:val="false"/>
                <w:bCs w:val="false"/>
                <w:sz w:val="18"/>
                <w:szCs w:val="18"/>
              </w:rPr>
              <w:t xml:space="preserve">Fastenal Company</w:t>
            </w:r>
          </w:p>
        </w:tc>
        <w:tc>
          <w:tcPr>
            <w:tcW w:type="dxa" w:w="1337"/>
          </w:tcPr>
          <w:p>
            <w:pPr>
              <w:jc w:val="right"/>
            </w:pPr>
            <w:r>
              <w:rPr>
                <w:rFonts w:ascii="Times New Roman" w:cs="Times New Roman" w:eastAsia="Times New Roman" w:hAnsi="Times New Roman"/>
                <w:b w:val="false"/>
                <w:bCs w:val="false"/>
                <w:sz w:val="18"/>
                <w:szCs w:val="18"/>
              </w:rPr>
              <w:t xml:space="preserve">$52,642</w:t>
            </w:r>
          </w:p>
        </w:tc>
        <w:tc>
          <w:tcPr>
            <w:tcW w:type="dxa" w:w="1337"/>
          </w:tcPr>
          <w:p>
            <w:pPr>
              <w:jc w:val="right"/>
            </w:pPr>
            <w:r>
              <w:rPr>
                <w:rFonts w:ascii="Times New Roman" w:cs="Times New Roman" w:eastAsia="Times New Roman" w:hAnsi="Times New Roman"/>
                <w:b w:val="false"/>
                <w:bCs w:val="false"/>
                <w:sz w:val="18"/>
                <w:szCs w:val="18"/>
              </w:rPr>
              <w:t xml:space="preserve">$52,557</w:t>
            </w:r>
          </w:p>
        </w:tc>
        <w:tc>
          <w:tcPr>
            <w:tcW w:type="dxa" w:w="1337"/>
          </w:tcPr>
          <w:p>
            <w:pPr>
              <w:jc w:val="right"/>
            </w:pPr>
            <w:r>
              <w:rPr>
                <w:rFonts w:ascii="Times New Roman" w:cs="Times New Roman" w:eastAsia="Times New Roman" w:hAnsi="Times New Roman"/>
                <w:b w:val="false"/>
                <w:bCs w:val="false"/>
                <w:sz w:val="18"/>
                <w:szCs w:val="18"/>
              </w:rPr>
              <w:t xml:space="preserve">11.9%</w:t>
            </w:r>
          </w:p>
        </w:tc>
        <w:tc>
          <w:tcPr>
            <w:tcW w:type="dxa" w:w="1337"/>
          </w:tcPr>
          <w:p>
            <w:pPr>
              <w:jc w:val="right"/>
            </w:pPr>
            <w:r>
              <w:rPr>
                <w:rFonts w:ascii="Times New Roman" w:cs="Times New Roman" w:eastAsia="Times New Roman" w:hAnsi="Times New Roman"/>
                <w:b w:val="false"/>
                <w:bCs w:val="false"/>
                <w:sz w:val="18"/>
                <w:szCs w:val="18"/>
              </w:rPr>
              <w:t xml:space="preserve">22.4%</w:t>
            </w:r>
          </w:p>
        </w:tc>
        <w:tc>
          <w:tcPr>
            <w:tcW w:type="dxa" w:w="1337"/>
          </w:tcPr>
          <w:p>
            <w:pPr>
              <w:jc w:val="right"/>
            </w:pPr>
            <w:r>
              <w:rPr>
                <w:rFonts w:ascii="Times New Roman" w:cs="Times New Roman" w:eastAsia="Times New Roman" w:hAnsi="Times New Roman"/>
                <w:b w:val="false"/>
                <w:bCs w:val="false"/>
                <w:sz w:val="18"/>
                <w:szCs w:val="18"/>
              </w:rPr>
              <w:t xml:space="preserve">26.8x</w:t>
            </w:r>
          </w:p>
        </w:tc>
        <w:tc>
          <w:tcPr>
            <w:tcW w:type="dxa" w:w="1337"/>
          </w:tcPr>
          <w:p>
            <w:pPr>
              <w:jc w:val="right"/>
            </w:pPr>
            <w:r>
              <w:rPr>
                <w:rFonts w:ascii="Times New Roman" w:cs="Times New Roman" w:eastAsia="Times New Roman" w:hAnsi="Times New Roman"/>
                <w:b w:val="false"/>
                <w:bCs w:val="false"/>
                <w:sz w:val="18"/>
                <w:szCs w:val="18"/>
              </w:rPr>
              <w:t xml:space="preserve">25.1x</w:t>
            </w:r>
          </w:p>
        </w:tc>
      </w:tr>
      <w:tr>
        <w:tc>
          <w:tcPr>
            <w:tcW w:type="dxa" w:w="1337"/>
          </w:tcPr>
          <w:p>
            <w:pPr>
              <w:jc w:val="left"/>
            </w:pPr>
            <w:r>
              <w:rPr>
                <w:rFonts w:ascii="Times New Roman" w:cs="Times New Roman" w:eastAsia="Times New Roman" w:hAnsi="Times New Roman"/>
                <w:b w:val="false"/>
                <w:bCs w:val="false"/>
                <w:sz w:val="18"/>
                <w:szCs w:val="18"/>
              </w:rPr>
              <w:t xml:space="preserve">WESCO International, Inc.</w:t>
            </w:r>
          </w:p>
        </w:tc>
        <w:tc>
          <w:tcPr>
            <w:tcW w:type="dxa" w:w="1337"/>
          </w:tcPr>
          <w:p>
            <w:pPr>
              <w:jc w:val="right"/>
            </w:pPr>
            <w:r>
              <w:rPr>
                <w:rFonts w:ascii="Times New Roman" w:cs="Times New Roman" w:eastAsia="Times New Roman" w:hAnsi="Times New Roman"/>
                <w:b w:val="false"/>
                <w:bCs w:val="false"/>
                <w:sz w:val="18"/>
                <w:szCs w:val="18"/>
              </w:rPr>
              <w:t xml:space="preserve">$16,868</w:t>
            </w:r>
          </w:p>
        </w:tc>
        <w:tc>
          <w:tcPr>
            <w:tcW w:type="dxa" w:w="1337"/>
          </w:tcPr>
          <w:p>
            <w:pPr>
              <w:jc w:val="right"/>
            </w:pPr>
            <w:r>
              <w:rPr>
                <w:rFonts w:ascii="Times New Roman" w:cs="Times New Roman" w:eastAsia="Times New Roman" w:hAnsi="Times New Roman"/>
                <w:b w:val="false"/>
                <w:bCs w:val="false"/>
                <w:sz w:val="18"/>
                <w:szCs w:val="18"/>
              </w:rPr>
              <w:t xml:space="preserve">$21,991</w:t>
            </w:r>
          </w:p>
        </w:tc>
        <w:tc>
          <w:tcPr>
            <w:tcW w:type="dxa" w:w="1337"/>
          </w:tcPr>
          <w:p>
            <w:pPr>
              <w:jc w:val="right"/>
            </w:pPr>
            <w:r>
              <w:rPr>
                <w:rFonts w:ascii="Times New Roman" w:cs="Times New Roman" w:eastAsia="Times New Roman" w:hAnsi="Times New Roman"/>
                <w:b w:val="false"/>
                <w:bCs w:val="false"/>
                <w:sz w:val="18"/>
                <w:szCs w:val="18"/>
              </w:rPr>
              <w:t xml:space="preserve">8.4%</w:t>
            </w:r>
          </w:p>
        </w:tc>
        <w:tc>
          <w:tcPr>
            <w:tcW w:type="dxa" w:w="1337"/>
          </w:tcPr>
          <w:p>
            <w:pPr>
              <w:jc w:val="right"/>
            </w:pPr>
            <w:r>
              <w:rPr>
                <w:rFonts w:ascii="Times New Roman" w:cs="Times New Roman" w:eastAsia="Times New Roman" w:hAnsi="Times New Roman"/>
                <w:b w:val="false"/>
                <w:bCs w:val="false"/>
                <w:sz w:val="18"/>
                <w:szCs w:val="18"/>
              </w:rPr>
              <w:t xml:space="preserve">6.7%</w:t>
            </w:r>
          </w:p>
        </w:tc>
        <w:tc>
          <w:tcPr>
            <w:tcW w:type="dxa" w:w="1337"/>
          </w:tcPr>
          <w:p>
            <w:pPr>
              <w:jc w:val="right"/>
            </w:pPr>
            <w:r>
              <w:rPr>
                <w:rFonts w:ascii="Times New Roman" w:cs="Times New Roman" w:eastAsia="Times New Roman" w:hAnsi="Times New Roman"/>
                <w:b w:val="false"/>
                <w:bCs w:val="false"/>
                <w:sz w:val="18"/>
                <w:szCs w:val="18"/>
              </w:rPr>
              <w:t xml:space="preserve">13.6x</w:t>
            </w:r>
          </w:p>
        </w:tc>
        <w:tc>
          <w:tcPr>
            <w:tcW w:type="dxa" w:w="1337"/>
          </w:tcPr>
          <w:p>
            <w:pPr>
              <w:jc w:val="right"/>
            </w:pPr>
            <w:r>
              <w:rPr>
                <w:rFonts w:ascii="Times New Roman" w:cs="Times New Roman" w:eastAsia="Times New Roman" w:hAnsi="Times New Roman"/>
                <w:b w:val="false"/>
                <w:bCs w:val="false"/>
                <w:sz w:val="18"/>
                <w:szCs w:val="18"/>
              </w:rPr>
              <w:t xml:space="preserve">12.7x</w:t>
            </w:r>
          </w:p>
        </w:tc>
      </w:tr>
      <w:tr>
        <w:tc>
          <w:tcPr>
            <w:tcW w:type="dxa" w:w="1337"/>
          </w:tcPr>
          <w:p>
            <w:pPr>
              <w:jc w:val="left"/>
            </w:pPr>
            <w:r>
              <w:rPr>
                <w:rFonts w:ascii="Times New Roman" w:cs="Times New Roman" w:eastAsia="Times New Roman" w:hAnsi="Times New Roman"/>
                <w:b w:val="false"/>
                <w:bCs w:val="false"/>
                <w:sz w:val="18"/>
                <w:szCs w:val="18"/>
              </w:rPr>
              <w:t xml:space="preserve">Applied Industrial Technologies, Inc.</w:t>
            </w:r>
          </w:p>
        </w:tc>
        <w:tc>
          <w:tcPr>
            <w:tcW w:type="dxa" w:w="1337"/>
          </w:tcPr>
          <w:p>
            <w:pPr>
              <w:jc w:val="right"/>
            </w:pPr>
            <w:r>
              <w:rPr>
                <w:rFonts w:ascii="Times New Roman" w:cs="Times New Roman" w:eastAsia="Times New Roman" w:hAnsi="Times New Roman"/>
                <w:b w:val="false"/>
                <w:bCs w:val="false"/>
                <w:sz w:val="18"/>
                <w:szCs w:val="18"/>
              </w:rPr>
              <w:t xml:space="preserve">$12,258</w:t>
            </w:r>
          </w:p>
        </w:tc>
        <w:tc>
          <w:tcPr>
            <w:tcW w:type="dxa" w:w="1337"/>
          </w:tcPr>
          <w:p>
            <w:pPr>
              <w:jc w:val="right"/>
            </w:pPr>
            <w:r>
              <w:rPr>
                <w:rFonts w:ascii="Times New Roman" w:cs="Times New Roman" w:eastAsia="Times New Roman" w:hAnsi="Times New Roman"/>
                <w:b w:val="false"/>
                <w:bCs w:val="false"/>
                <w:sz w:val="18"/>
                <w:szCs w:val="18"/>
              </w:rPr>
              <w:t xml:space="preserve">$12,451</w:t>
            </w:r>
          </w:p>
        </w:tc>
        <w:tc>
          <w:tcPr>
            <w:tcW w:type="dxa" w:w="1337"/>
          </w:tcPr>
          <w:p>
            <w:pPr>
              <w:jc w:val="right"/>
            </w:pPr>
            <w:r>
              <w:rPr>
                <w:rFonts w:ascii="Times New Roman" w:cs="Times New Roman" w:eastAsia="Times New Roman" w:hAnsi="Times New Roman"/>
                <w:b w:val="false"/>
                <w:bCs w:val="false"/>
                <w:sz w:val="18"/>
                <w:szCs w:val="18"/>
              </w:rPr>
              <w:t xml:space="preserve">6.1%</w:t>
            </w:r>
          </w:p>
        </w:tc>
        <w:tc>
          <w:tcPr>
            <w:tcW w:type="dxa" w:w="1337"/>
          </w:tcPr>
          <w:p>
            <w:pPr>
              <w:jc w:val="right"/>
            </w:pPr>
            <w:r>
              <w:rPr>
                <w:rFonts w:ascii="Times New Roman" w:cs="Times New Roman" w:eastAsia="Times New Roman" w:hAnsi="Times New Roman"/>
                <w:b w:val="false"/>
                <w:bCs w:val="false"/>
                <w:sz w:val="18"/>
                <w:szCs w:val="18"/>
              </w:rPr>
              <w:t xml:space="preserve">12.5%</w:t>
            </w:r>
          </w:p>
        </w:tc>
        <w:tc>
          <w:tcPr>
            <w:tcW w:type="dxa" w:w="1337"/>
          </w:tcPr>
          <w:p>
            <w:pPr>
              <w:jc w:val="right"/>
            </w:pPr>
            <w:r>
              <w:rPr>
                <w:rFonts w:ascii="Times New Roman" w:cs="Times New Roman" w:eastAsia="Times New Roman" w:hAnsi="Times New Roman"/>
                <w:b w:val="false"/>
                <w:bCs w:val="false"/>
                <w:sz w:val="18"/>
                <w:szCs w:val="18"/>
              </w:rPr>
              <w:t xml:space="preserve">20.6x</w:t>
            </w:r>
          </w:p>
        </w:tc>
        <w:tc>
          <w:tcPr>
            <w:tcW w:type="dxa" w:w="1337"/>
          </w:tcPr>
          <w:p>
            <w:pPr>
              <w:jc w:val="right"/>
            </w:pPr>
            <w:r>
              <w:rPr>
                <w:rFonts w:ascii="Times New Roman" w:cs="Times New Roman" w:eastAsia="Times New Roman" w:hAnsi="Times New Roman"/>
                <w:b w:val="false"/>
                <w:bCs w:val="false"/>
                <w:sz w:val="18"/>
                <w:szCs w:val="18"/>
              </w:rPr>
              <w:t xml:space="preserve">19.4x</w:t>
            </w:r>
          </w:p>
        </w:tc>
      </w:tr>
      <w:tr>
        <w:tc>
          <w:tcPr>
            <w:tcW w:type="dxa" w:w="1337"/>
          </w:tcPr>
          <w:p>
            <w:pPr>
              <w:jc w:val="left"/>
            </w:pPr>
            <w:r>
              <w:rPr>
                <w:rFonts w:ascii="Times New Roman" w:cs="Times New Roman" w:eastAsia="Times New Roman" w:hAnsi="Times New Roman"/>
                <w:b w:val="false"/>
                <w:bCs w:val="false"/>
                <w:sz w:val="18"/>
                <w:szCs w:val="18"/>
              </w:rPr>
              <w:t xml:space="preserve">MSC Industrial Direct Co., Inc.</w:t>
            </w:r>
          </w:p>
        </w:tc>
        <w:tc>
          <w:tcPr>
            <w:tcW w:type="dxa" w:w="1337"/>
          </w:tcPr>
          <w:p>
            <w:pPr>
              <w:jc w:val="right"/>
            </w:pPr>
            <w:r>
              <w:rPr>
                <w:rFonts w:ascii="Times New Roman" w:cs="Times New Roman" w:eastAsia="Times New Roman" w:hAnsi="Times New Roman"/>
                <w:b w:val="false"/>
                <w:bCs w:val="false"/>
                <w:sz w:val="18"/>
                <w:szCs w:val="18"/>
              </w:rPr>
              <w:t xml:space="preserve">$6,990</w:t>
            </w:r>
          </w:p>
        </w:tc>
        <w:tc>
          <w:tcPr>
            <w:tcW w:type="dxa" w:w="1337"/>
          </w:tcPr>
          <w:p>
            <w:pPr>
              <w:jc w:val="right"/>
            </w:pPr>
            <w:r>
              <w:rPr>
                <w:rFonts w:ascii="Times New Roman" w:cs="Times New Roman" w:eastAsia="Times New Roman" w:hAnsi="Times New Roman"/>
                <w:b w:val="false"/>
                <w:bCs w:val="false"/>
                <w:sz w:val="18"/>
                <w:szCs w:val="18"/>
              </w:rPr>
              <w:t xml:space="preserve">$7,424</w:t>
            </w:r>
          </w:p>
        </w:tc>
        <w:tc>
          <w:tcPr>
            <w:tcW w:type="dxa" w:w="1337"/>
          </w:tcPr>
          <w:p>
            <w:pPr>
              <w:jc w:val="right"/>
            </w:pPr>
            <w:r>
              <w:rPr>
                <w:rFonts w:ascii="Times New Roman" w:cs="Times New Roman" w:eastAsia="Times New Roman" w:hAnsi="Times New Roman"/>
                <w:b w:val="false"/>
                <w:bCs w:val="false"/>
                <w:sz w:val="18"/>
                <w:szCs w:val="18"/>
              </w:rPr>
              <w:t xml:space="preserve">7.3%</w:t>
            </w:r>
          </w:p>
        </w:tc>
        <w:tc>
          <w:tcPr>
            <w:tcW w:type="dxa" w:w="1337"/>
          </w:tcPr>
          <w:p>
            <w:pPr>
              <w:jc w:val="right"/>
            </w:pPr>
            <w:r>
              <w:rPr>
                <w:rFonts w:ascii="Times New Roman" w:cs="Times New Roman" w:eastAsia="Times New Roman" w:hAnsi="Times New Roman"/>
                <w:b w:val="false"/>
                <w:bCs w:val="false"/>
                <w:sz w:val="18"/>
                <w:szCs w:val="18"/>
              </w:rPr>
              <w:t xml:space="preserve">12.0%</w:t>
            </w:r>
          </w:p>
        </w:tc>
        <w:tc>
          <w:tcPr>
            <w:tcW w:type="dxa" w:w="1337"/>
          </w:tcPr>
          <w:p>
            <w:pPr>
              <w:jc w:val="right"/>
            </w:pPr>
            <w:r>
              <w:rPr>
                <w:rFonts w:ascii="Times New Roman" w:cs="Times New Roman" w:eastAsia="Times New Roman" w:hAnsi="Times New Roman"/>
                <w:b w:val="false"/>
                <w:bCs w:val="false"/>
                <w:sz w:val="18"/>
                <w:szCs w:val="18"/>
              </w:rPr>
              <w:t xml:space="preserve">15.8x</w:t>
            </w:r>
          </w:p>
        </w:tc>
        <w:tc>
          <w:tcPr>
            <w:tcW w:type="dxa" w:w="1337"/>
          </w:tcPr>
          <w:p>
            <w:pPr>
              <w:jc w:val="right"/>
            </w:pPr>
            <w:r>
              <w:rPr>
                <w:rFonts w:ascii="Times New Roman" w:cs="Times New Roman" w:eastAsia="Times New Roman" w:hAnsi="Times New Roman"/>
                <w:b w:val="false"/>
                <w:bCs w:val="false"/>
                <w:sz w:val="18"/>
                <w:szCs w:val="18"/>
              </w:rPr>
              <w:t xml:space="preserve">14.4x</w:t>
            </w:r>
          </w:p>
        </w:tc>
      </w:tr>
      <w:tr>
        <w:tc>
          <w:tcPr>
            <w:tcW w:type="dxa" w:w="1337"/>
          </w:tcPr>
          <w:p>
            <w:pPr>
              <w:jc w:val="left"/>
            </w:pPr>
            <w:r>
              <w:rPr>
                <w:rFonts w:ascii="Times New Roman" w:cs="Times New Roman" w:eastAsia="Times New Roman" w:hAnsi="Times New Roman"/>
                <w:b w:val="false"/>
                <w:bCs w:val="false"/>
                <w:sz w:val="18"/>
                <w:szCs w:val="18"/>
              </w:rPr>
              <w:t xml:space="preserve">Hillman Solutions Corp.</w:t>
            </w:r>
          </w:p>
        </w:tc>
        <w:tc>
          <w:tcPr>
            <w:tcW w:type="dxa" w:w="1337"/>
          </w:tcPr>
          <w:p>
            <w:pPr>
              <w:jc w:val="right"/>
            </w:pPr>
            <w:r>
              <w:rPr>
                <w:rFonts w:ascii="Times New Roman" w:cs="Times New Roman" w:eastAsia="Times New Roman" w:hAnsi="Times New Roman"/>
                <w:b w:val="false"/>
                <w:bCs w:val="false"/>
                <w:sz w:val="18"/>
                <w:szCs w:val="18"/>
              </w:rPr>
              <w:t xml:space="preserve">$1,590</w:t>
            </w:r>
          </w:p>
        </w:tc>
        <w:tc>
          <w:tcPr>
            <w:tcW w:type="dxa" w:w="1337"/>
          </w:tcPr>
          <w:p>
            <w:pPr>
              <w:jc w:val="right"/>
            </w:pPr>
            <w:r>
              <w:rPr>
                <w:rFonts w:ascii="Times New Roman" w:cs="Times New Roman" w:eastAsia="Times New Roman" w:hAnsi="Times New Roman"/>
                <w:b w:val="false"/>
                <w:bCs w:val="false"/>
                <w:sz w:val="18"/>
                <w:szCs w:val="18"/>
              </w:rPr>
              <w:t xml:space="preserve">$2,316</w:t>
            </w:r>
          </w:p>
        </w:tc>
        <w:tc>
          <w:tcPr>
            <w:tcW w:type="dxa" w:w="1337"/>
          </w:tcPr>
          <w:p>
            <w:pPr>
              <w:jc w:val="right"/>
            </w:pPr>
            <w:r>
              <w:rPr>
                <w:rFonts w:ascii="Times New Roman" w:cs="Times New Roman" w:eastAsia="Times New Roman" w:hAnsi="Times New Roman"/>
                <w:b w:val="false"/>
                <w:bCs w:val="false"/>
                <w:sz w:val="18"/>
                <w:szCs w:val="18"/>
              </w:rPr>
              <w:t xml:space="preserve">6.8%</w:t>
            </w:r>
          </w:p>
        </w:tc>
        <w:tc>
          <w:tcPr>
            <w:tcW w:type="dxa" w:w="1337"/>
          </w:tcPr>
          <w:p>
            <w:pPr>
              <w:jc w:val="right"/>
            </w:pPr>
            <w:r>
              <w:rPr>
                <w:rFonts w:ascii="Times New Roman" w:cs="Times New Roman" w:eastAsia="Times New Roman" w:hAnsi="Times New Roman"/>
                <w:b w:val="false"/>
                <w:bCs w:val="false"/>
                <w:sz w:val="18"/>
                <w:szCs w:val="18"/>
              </w:rPr>
              <w:t xml:space="preserve">17.3%</w:t>
            </w:r>
          </w:p>
        </w:tc>
        <w:tc>
          <w:tcPr>
            <w:tcW w:type="dxa" w:w="1337"/>
          </w:tcPr>
          <w:p>
            <w:pPr>
              <w:jc w:val="right"/>
            </w:pPr>
            <w:r>
              <w:rPr>
                <w:rFonts w:ascii="Times New Roman" w:cs="Times New Roman" w:eastAsia="Times New Roman" w:hAnsi="Times New Roman"/>
                <w:b w:val="false"/>
                <w:bCs w:val="false"/>
                <w:sz w:val="18"/>
                <w:szCs w:val="18"/>
              </w:rPr>
              <w:t xml:space="preserve">8.6x</w:t>
            </w:r>
          </w:p>
        </w:tc>
        <w:tc>
          <w:tcPr>
            <w:tcW w:type="dxa" w:w="1337"/>
          </w:tcPr>
          <w:p>
            <w:pPr>
              <w:jc w:val="right"/>
            </w:pPr>
            <w:r>
              <w:rPr>
                <w:rFonts w:ascii="Times New Roman" w:cs="Times New Roman" w:eastAsia="Times New Roman" w:hAnsi="Times New Roman"/>
                <w:b w:val="false"/>
                <w:bCs w:val="false"/>
                <w:sz w:val="18"/>
                <w:szCs w:val="18"/>
              </w:rPr>
              <w:t xml:space="preserve">8.3x</w:t>
            </w:r>
          </w:p>
        </w:tc>
      </w:tr>
      <w:tr>
        <w:tc>
          <w:tcPr>
            <w:tcW w:type="dxa" w:w="1337"/>
          </w:tcPr>
          <w:p>
            <w:pPr>
              <w:jc w:val="left"/>
            </w:pPr>
            <w:r>
              <w:rPr>
                <w:rFonts w:ascii="Times New Roman" w:cs="Times New Roman" w:eastAsia="Times New Roman" w:hAnsi="Times New Roman"/>
                <w:b w:val="false"/>
                <w:bCs w:val="false"/>
                <w:sz w:val="18"/>
                <w:szCs w:val="18"/>
              </w:rPr>
              <w:t xml:space="preserve">Global Industrial Company</w:t>
            </w:r>
          </w:p>
        </w:tc>
        <w:tc>
          <w:tcPr>
            <w:tcW w:type="dxa" w:w="1337"/>
          </w:tcPr>
          <w:p>
            <w:pPr>
              <w:jc w:val="right"/>
            </w:pPr>
            <w:r>
              <w:rPr>
                <w:rFonts w:ascii="Times New Roman" w:cs="Times New Roman" w:eastAsia="Times New Roman" w:hAnsi="Times New Roman"/>
                <w:b w:val="false"/>
                <w:bCs w:val="false"/>
                <w:sz w:val="18"/>
                <w:szCs w:val="18"/>
              </w:rPr>
              <w:t xml:space="preserve">$1,304</w:t>
            </w:r>
          </w:p>
        </w:tc>
        <w:tc>
          <w:tcPr>
            <w:tcW w:type="dxa" w:w="1337"/>
          </w:tcPr>
          <w:p>
            <w:pPr>
              <w:jc w:val="right"/>
            </w:pPr>
            <w:r>
              <w:rPr>
                <w:rFonts w:ascii="Times New Roman" w:cs="Times New Roman" w:eastAsia="Times New Roman" w:hAnsi="Times New Roman"/>
                <w:b w:val="false"/>
                <w:bCs w:val="false"/>
                <w:sz w:val="18"/>
                <w:szCs w:val="18"/>
              </w:rPr>
              <w:t xml:space="preserve">$1,243</w:t>
            </w:r>
          </w:p>
        </w:tc>
        <w:tc>
          <w:tcPr>
            <w:tcW w:type="dxa" w:w="1337"/>
          </w:tcPr>
          <w:p>
            <w:pPr>
              <w:jc w:val="right"/>
            </w:pPr>
            <w:r>
              <w:rPr>
                <w:rFonts w:ascii="Times New Roman" w:cs="Times New Roman" w:eastAsia="Times New Roman" w:hAnsi="Times New Roman"/>
                <w:b w:val="false"/>
                <w:bCs w:val="false"/>
                <w:sz w:val="18"/>
                <w:szCs w:val="18"/>
              </w:rPr>
              <w:t xml:space="preserve">5.7%</w:t>
            </w:r>
          </w:p>
        </w:tc>
        <w:tc>
          <w:tcPr>
            <w:tcW w:type="dxa" w:w="1337"/>
          </w:tcPr>
          <w:p>
            <w:pPr>
              <w:jc w:val="right"/>
            </w:pPr>
            <w:r>
              <w:rPr>
                <w:rFonts w:ascii="Times New Roman" w:cs="Times New Roman" w:eastAsia="Times New Roman" w:hAnsi="Times New Roman"/>
                <w:b w:val="false"/>
                <w:bCs w:val="false"/>
                <w:sz w:val="18"/>
                <w:szCs w:val="18"/>
              </w:rPr>
              <w:t xml:space="preserve">8.1%</w:t>
            </w:r>
          </w:p>
        </w:tc>
        <w:tc>
          <w:tcPr>
            <w:tcW w:type="dxa" w:w="1337"/>
          </w:tcPr>
          <w:p>
            <w:pPr>
              <w:jc w:val="right"/>
            </w:pPr>
            <w:r>
              <w:rPr>
                <w:rFonts w:ascii="Times New Roman" w:cs="Times New Roman" w:eastAsia="Times New Roman" w:hAnsi="Times New Roman"/>
                <w:b w:val="false"/>
                <w:bCs w:val="false"/>
                <w:sz w:val="18"/>
                <w:szCs w:val="18"/>
              </w:rPr>
              <w:t xml:space="preserve">10.8x</w:t>
            </w:r>
          </w:p>
        </w:tc>
        <w:tc>
          <w:tcPr>
            <w:tcW w:type="dxa" w:w="1337"/>
          </w:tcPr>
          <w:p>
            <w:pPr>
              <w:jc w:val="right"/>
            </w:pPr>
            <w:r>
              <w:rPr>
                <w:rFonts w:ascii="Times New Roman" w:cs="Times New Roman" w:eastAsia="Times New Roman" w:hAnsi="Times New Roman"/>
                <w:b w:val="false"/>
                <w:bCs w:val="false"/>
                <w:sz w:val="18"/>
                <w:szCs w:val="18"/>
              </w:rPr>
              <w:t xml:space="preserve">11.3x</w:t>
            </w:r>
          </w:p>
        </w:tc>
      </w:tr>
      <w:tr>
        <w:tc>
          <w:tcPr>
            <w:tcW w:type="dxa" w:w="1337"/>
          </w:tcPr>
          <w:p>
            <w:pPr>
              <w:jc w:val="left"/>
            </w:pPr>
            <w:r>
              <w:rPr>
                <w:rFonts w:ascii="Times New Roman" w:cs="Times New Roman" w:eastAsia="Times New Roman" w:hAnsi="Times New Roman"/>
                <w:b w:val="false"/>
                <w:bCs w:val="false"/>
                <w:sz w:val="18"/>
                <w:szCs w:val="18"/>
              </w:rPr>
              <w:t xml:space="preserve">Maximum</w:t>
            </w:r>
          </w:p>
        </w:tc>
        <w:tc>
          <w:tcPr>
            <w:tcW w:type="dxa" w:w="1337"/>
          </w:tcPr>
          <w:p>
            <w:pPr>
              <w:jc w:val="right"/>
            </w:pPr>
            <w:r>
              <w:rPr>
                <w:rFonts w:ascii="Times New Roman" w:cs="Times New Roman" w:eastAsia="Times New Roman" w:hAnsi="Times New Roman"/>
                <w:b w:val="false"/>
                <w:bCs w:val="false"/>
                <w:sz w:val="18"/>
                <w:szCs w:val="18"/>
              </w:rPr>
              <w:t xml:space="preserve">$64,893</w:t>
            </w:r>
          </w:p>
        </w:tc>
        <w:tc>
          <w:tcPr>
            <w:tcW w:type="dxa" w:w="1337"/>
          </w:tcPr>
          <w:p>
            <w:pPr>
              <w:jc w:val="right"/>
            </w:pPr>
            <w:r>
              <w:rPr>
                <w:rFonts w:ascii="Times New Roman" w:cs="Times New Roman" w:eastAsia="Times New Roman" w:hAnsi="Times New Roman"/>
                <w:b w:val="false"/>
                <w:bCs w:val="false"/>
                <w:sz w:val="18"/>
                <w:szCs w:val="18"/>
              </w:rPr>
              <w:t xml:space="preserve">$67,042</w:t>
            </w:r>
          </w:p>
        </w:tc>
        <w:tc>
          <w:tcPr>
            <w:tcW w:type="dxa" w:w="1337"/>
          </w:tcPr>
          <w:p>
            <w:pPr>
              <w:jc w:val="right"/>
            </w:pPr>
            <w:r>
              <w:rPr>
                <w:rFonts w:ascii="Times New Roman" w:cs="Times New Roman" w:eastAsia="Times New Roman" w:hAnsi="Times New Roman"/>
                <w:b w:val="false"/>
                <w:bCs w:val="false"/>
                <w:sz w:val="18"/>
                <w:szCs w:val="18"/>
              </w:rPr>
              <w:t xml:space="preserve">11.9%</w:t>
            </w:r>
          </w:p>
        </w:tc>
        <w:tc>
          <w:tcPr>
            <w:tcW w:type="dxa" w:w="1337"/>
          </w:tcPr>
          <w:p>
            <w:pPr>
              <w:jc w:val="right"/>
            </w:pPr>
            <w:r>
              <w:rPr>
                <w:rFonts w:ascii="Times New Roman" w:cs="Times New Roman" w:eastAsia="Times New Roman" w:hAnsi="Times New Roman"/>
                <w:b w:val="false"/>
                <w:bCs w:val="false"/>
                <w:sz w:val="18"/>
                <w:szCs w:val="18"/>
              </w:rPr>
              <w:t xml:space="preserve">22.4%</w:t>
            </w:r>
          </w:p>
        </w:tc>
        <w:tc>
          <w:tcPr>
            <w:tcW w:type="dxa" w:w="1337"/>
          </w:tcPr>
          <w:p>
            <w:pPr>
              <w:jc w:val="right"/>
            </w:pPr>
            <w:r>
              <w:rPr>
                <w:rFonts w:ascii="Times New Roman" w:cs="Times New Roman" w:eastAsia="Times New Roman" w:hAnsi="Times New Roman"/>
                <w:b w:val="false"/>
                <w:bCs w:val="false"/>
                <w:sz w:val="18"/>
                <w:szCs w:val="18"/>
              </w:rPr>
              <w:t xml:space="preserve">26.8x</w:t>
            </w:r>
          </w:p>
        </w:tc>
        <w:tc>
          <w:tcPr>
            <w:tcW w:type="dxa" w:w="1337"/>
          </w:tcPr>
          <w:p>
            <w:pPr>
              <w:jc w:val="right"/>
            </w:pPr>
            <w:r>
              <w:rPr>
                <w:rFonts w:ascii="Times New Roman" w:cs="Times New Roman" w:eastAsia="Times New Roman" w:hAnsi="Times New Roman"/>
                <w:b w:val="false"/>
                <w:bCs w:val="false"/>
                <w:sz w:val="18"/>
                <w:szCs w:val="18"/>
              </w:rPr>
              <w:t xml:space="preserve">25.1x</w:t>
            </w:r>
          </w:p>
        </w:tc>
      </w:tr>
      <w:tr>
        <w:tc>
          <w:tcPr>
            <w:tcW w:type="dxa" w:w="1337"/>
          </w:tcPr>
          <w:p>
            <w:pPr>
              <w:jc w:val="left"/>
            </w:pPr>
            <w:r>
              <w:rPr>
                <w:rFonts w:ascii="Times New Roman" w:cs="Times New Roman" w:eastAsia="Times New Roman" w:hAnsi="Times New Roman"/>
                <w:b w:val="false"/>
                <w:bCs w:val="false"/>
                <w:sz w:val="18"/>
                <w:szCs w:val="18"/>
              </w:rPr>
              <w:t xml:space="preserve">Median</w:t>
            </w:r>
          </w:p>
        </w:tc>
        <w:tc>
          <w:tcPr>
            <w:tcW w:type="dxa" w:w="1337"/>
          </w:tcPr>
          <w:p>
            <w:pPr>
              <w:jc w:val="right"/>
            </w:pPr>
            <w:r>
              <w:rPr>
                <w:rFonts w:ascii="Times New Roman" w:cs="Times New Roman" w:eastAsia="Times New Roman" w:hAnsi="Times New Roman"/>
                <w:b w:val="false"/>
                <w:bCs w:val="false"/>
                <w:sz w:val="18"/>
                <w:szCs w:val="18"/>
              </w:rPr>
              <w:t xml:space="preserve">$12,258</w:t>
            </w:r>
          </w:p>
        </w:tc>
        <w:tc>
          <w:tcPr>
            <w:tcW w:type="dxa" w:w="1337"/>
          </w:tcPr>
          <w:p>
            <w:pPr>
              <w:jc w:val="right"/>
            </w:pPr>
            <w:r>
              <w:rPr>
                <w:rFonts w:ascii="Times New Roman" w:cs="Times New Roman" w:eastAsia="Times New Roman" w:hAnsi="Times New Roman"/>
                <w:b w:val="false"/>
                <w:bCs w:val="false"/>
                <w:sz w:val="18"/>
                <w:szCs w:val="18"/>
              </w:rPr>
              <w:t xml:space="preserve">$12,451</w:t>
            </w:r>
          </w:p>
        </w:tc>
        <w:tc>
          <w:tcPr>
            <w:tcW w:type="dxa" w:w="1337"/>
          </w:tcPr>
          <w:p>
            <w:pPr>
              <w:jc w:val="right"/>
            </w:pPr>
            <w:r>
              <w:rPr>
                <w:rFonts w:ascii="Times New Roman" w:cs="Times New Roman" w:eastAsia="Times New Roman" w:hAnsi="Times New Roman"/>
                <w:b w:val="false"/>
                <w:bCs w:val="false"/>
                <w:sz w:val="18"/>
                <w:szCs w:val="18"/>
              </w:rPr>
              <w:t xml:space="preserve">7.3%</w:t>
            </w:r>
          </w:p>
        </w:tc>
        <w:tc>
          <w:tcPr>
            <w:tcW w:type="dxa" w:w="1337"/>
          </w:tcPr>
          <w:p>
            <w:pPr>
              <w:jc w:val="right"/>
            </w:pPr>
            <w:r>
              <w:rPr>
                <w:rFonts w:ascii="Times New Roman" w:cs="Times New Roman" w:eastAsia="Times New Roman" w:hAnsi="Times New Roman"/>
                <w:b w:val="false"/>
                <w:bCs w:val="false"/>
                <w:sz w:val="18"/>
                <w:szCs w:val="18"/>
              </w:rPr>
              <w:t xml:space="preserve">12.5%</w:t>
            </w:r>
          </w:p>
        </w:tc>
        <w:tc>
          <w:tcPr>
            <w:tcW w:type="dxa" w:w="1337"/>
          </w:tcPr>
          <w:p>
            <w:pPr>
              <w:jc w:val="right"/>
            </w:pPr>
            <w:r>
              <w:rPr>
                <w:rFonts w:ascii="Times New Roman" w:cs="Times New Roman" w:eastAsia="Times New Roman" w:hAnsi="Times New Roman"/>
                <w:b w:val="false"/>
                <w:bCs w:val="false"/>
                <w:sz w:val="18"/>
                <w:szCs w:val="18"/>
              </w:rPr>
              <w:t xml:space="preserve">15.8x</w:t>
            </w:r>
          </w:p>
        </w:tc>
        <w:tc>
          <w:tcPr>
            <w:tcW w:type="dxa" w:w="1337"/>
          </w:tcPr>
          <w:p>
            <w:pPr>
              <w:jc w:val="right"/>
            </w:pPr>
            <w:r>
              <w:rPr>
                <w:rFonts w:ascii="Times New Roman" w:cs="Times New Roman" w:eastAsia="Times New Roman" w:hAnsi="Times New Roman"/>
                <w:b w:val="false"/>
                <w:bCs w:val="false"/>
                <w:sz w:val="18"/>
                <w:szCs w:val="18"/>
              </w:rPr>
              <w:t xml:space="preserve">14.4x</w:t>
            </w:r>
          </w:p>
        </w:tc>
      </w:tr>
      <w:tr>
        <w:tc>
          <w:tcPr>
            <w:tcW w:type="dxa" w:w="1337"/>
          </w:tcPr>
          <w:p>
            <w:pPr>
              <w:jc w:val="left"/>
            </w:pPr>
            <w:r>
              <w:rPr>
                <w:rFonts w:ascii="Times New Roman" w:cs="Times New Roman" w:eastAsia="Times New Roman" w:hAnsi="Times New Roman"/>
                <w:b w:val="false"/>
                <w:bCs w:val="false"/>
                <w:sz w:val="18"/>
                <w:szCs w:val="18"/>
              </w:rPr>
              <w:t xml:space="preserve">Mean</w:t>
            </w:r>
          </w:p>
        </w:tc>
        <w:tc>
          <w:tcPr>
            <w:tcW w:type="dxa" w:w="1337"/>
          </w:tcPr>
          <w:p>
            <w:pPr>
              <w:jc w:val="right"/>
            </w:pPr>
            <w:r>
              <w:rPr>
                <w:rFonts w:ascii="Times New Roman" w:cs="Times New Roman" w:eastAsia="Times New Roman" w:hAnsi="Times New Roman"/>
                <w:b w:val="false"/>
                <w:bCs w:val="false"/>
                <w:sz w:val="18"/>
                <w:szCs w:val="18"/>
              </w:rPr>
              <w:t xml:space="preserve">$22,363</w:t>
            </w:r>
          </w:p>
        </w:tc>
        <w:tc>
          <w:tcPr>
            <w:tcW w:type="dxa" w:w="1337"/>
          </w:tcPr>
          <w:p>
            <w:pPr>
              <w:jc w:val="right"/>
            </w:pPr>
            <w:r>
              <w:rPr>
                <w:rFonts w:ascii="Times New Roman" w:cs="Times New Roman" w:eastAsia="Times New Roman" w:hAnsi="Times New Roman"/>
                <w:b w:val="false"/>
                <w:bCs w:val="false"/>
                <w:sz w:val="18"/>
                <w:szCs w:val="18"/>
              </w:rPr>
              <w:t xml:space="preserve">$23,575</w:t>
            </w:r>
          </w:p>
        </w:tc>
        <w:tc>
          <w:tcPr>
            <w:tcW w:type="dxa" w:w="1337"/>
          </w:tcPr>
          <w:p>
            <w:pPr>
              <w:jc w:val="right"/>
            </w:pPr>
            <w:r>
              <w:rPr>
                <w:rFonts w:ascii="Times New Roman" w:cs="Times New Roman" w:eastAsia="Times New Roman" w:hAnsi="Times New Roman"/>
                <w:b w:val="false"/>
                <w:bCs w:val="false"/>
                <w:sz w:val="18"/>
                <w:szCs w:val="18"/>
              </w:rPr>
              <w:t xml:space="preserve">8.1%</w:t>
            </w:r>
          </w:p>
        </w:tc>
        <w:tc>
          <w:tcPr>
            <w:tcW w:type="dxa" w:w="1337"/>
          </w:tcPr>
          <w:p>
            <w:pPr>
              <w:jc w:val="right"/>
            </w:pPr>
            <w:r>
              <w:rPr>
                <w:rFonts w:ascii="Times New Roman" w:cs="Times New Roman" w:eastAsia="Times New Roman" w:hAnsi="Times New Roman"/>
                <w:b w:val="false"/>
                <w:bCs w:val="false"/>
                <w:sz w:val="18"/>
                <w:szCs w:val="18"/>
              </w:rPr>
              <w:t xml:space="preserve">13.8%</w:t>
            </w:r>
          </w:p>
        </w:tc>
        <w:tc>
          <w:tcPr>
            <w:tcW w:type="dxa" w:w="1337"/>
          </w:tcPr>
          <w:p>
            <w:pPr>
              <w:jc w:val="right"/>
            </w:pPr>
            <w:r>
              <w:rPr>
                <w:rFonts w:ascii="Times New Roman" w:cs="Times New Roman" w:eastAsia="Times New Roman" w:hAnsi="Times New Roman"/>
                <w:b w:val="false"/>
                <w:bCs w:val="false"/>
                <w:sz w:val="18"/>
                <w:szCs w:val="18"/>
              </w:rPr>
              <w:t xml:space="preserve">16.9x</w:t>
            </w:r>
          </w:p>
        </w:tc>
        <w:tc>
          <w:tcPr>
            <w:tcW w:type="dxa" w:w="1337"/>
          </w:tcPr>
          <w:p>
            <w:pPr>
              <w:jc w:val="right"/>
            </w:pPr>
            <w:r>
              <w:rPr>
                <w:rFonts w:ascii="Times New Roman" w:cs="Times New Roman" w:eastAsia="Times New Roman" w:hAnsi="Times New Roman"/>
                <w:b w:val="false"/>
                <w:bCs w:val="false"/>
                <w:sz w:val="18"/>
                <w:szCs w:val="18"/>
              </w:rPr>
              <w:t xml:space="preserve">15.8x</w:t>
            </w:r>
          </w:p>
        </w:tc>
      </w:tr>
      <w:tr>
        <w:tc>
          <w:tcPr>
            <w:tcW w:type="dxa" w:w="1337"/>
          </w:tcPr>
          <w:p>
            <w:pPr>
              <w:jc w:val="left"/>
            </w:pPr>
            <w:r>
              <w:rPr>
                <w:rFonts w:ascii="Times New Roman" w:cs="Times New Roman" w:eastAsia="Times New Roman" w:hAnsi="Times New Roman"/>
                <w:b w:val="false"/>
                <w:bCs w:val="false"/>
                <w:sz w:val="18"/>
                <w:szCs w:val="18"/>
              </w:rPr>
              <w:t xml:space="preserve">Minimum</w:t>
            </w:r>
          </w:p>
        </w:tc>
        <w:tc>
          <w:tcPr>
            <w:tcW w:type="dxa" w:w="1337"/>
          </w:tcPr>
          <w:p>
            <w:pPr>
              <w:jc w:val="right"/>
            </w:pPr>
            <w:r>
              <w:rPr>
                <w:rFonts w:ascii="Times New Roman" w:cs="Times New Roman" w:eastAsia="Times New Roman" w:hAnsi="Times New Roman"/>
                <w:b w:val="false"/>
                <w:bCs w:val="false"/>
                <w:sz w:val="18"/>
                <w:szCs w:val="18"/>
              </w:rPr>
              <w:t xml:space="preserve">$1,304</w:t>
            </w:r>
          </w:p>
        </w:tc>
        <w:tc>
          <w:tcPr>
            <w:tcW w:type="dxa" w:w="1337"/>
          </w:tcPr>
          <w:p>
            <w:pPr>
              <w:jc w:val="right"/>
            </w:pPr>
            <w:r>
              <w:rPr>
                <w:rFonts w:ascii="Times New Roman" w:cs="Times New Roman" w:eastAsia="Times New Roman" w:hAnsi="Times New Roman"/>
                <w:b w:val="false"/>
                <w:bCs w:val="false"/>
                <w:sz w:val="18"/>
                <w:szCs w:val="18"/>
              </w:rPr>
              <w:t xml:space="preserve">$1,243</w:t>
            </w:r>
          </w:p>
        </w:tc>
        <w:tc>
          <w:tcPr>
            <w:tcW w:type="dxa" w:w="1337"/>
          </w:tcPr>
          <w:p>
            <w:pPr>
              <w:jc w:val="right"/>
            </w:pPr>
            <w:r>
              <w:rPr>
                <w:rFonts w:ascii="Times New Roman" w:cs="Times New Roman" w:eastAsia="Times New Roman" w:hAnsi="Times New Roman"/>
                <w:b w:val="false"/>
                <w:bCs w:val="false"/>
                <w:sz w:val="18"/>
                <w:szCs w:val="18"/>
              </w:rPr>
              <w:t xml:space="preserve">5.7%</w:t>
            </w:r>
          </w:p>
        </w:tc>
        <w:tc>
          <w:tcPr>
            <w:tcW w:type="dxa" w:w="1337"/>
          </w:tcPr>
          <w:p>
            <w:pPr>
              <w:jc w:val="right"/>
            </w:pPr>
            <w:r>
              <w:rPr>
                <w:rFonts w:ascii="Times New Roman" w:cs="Times New Roman" w:eastAsia="Times New Roman" w:hAnsi="Times New Roman"/>
                <w:b w:val="false"/>
                <w:bCs w:val="false"/>
                <w:sz w:val="18"/>
                <w:szCs w:val="18"/>
              </w:rPr>
              <w:t xml:space="preserve">6.7%</w:t>
            </w:r>
          </w:p>
        </w:tc>
        <w:tc>
          <w:tcPr>
            <w:tcW w:type="dxa" w:w="1337"/>
          </w:tcPr>
          <w:p>
            <w:pPr>
              <w:jc w:val="right"/>
            </w:pPr>
            <w:r>
              <w:rPr>
                <w:rFonts w:ascii="Times New Roman" w:cs="Times New Roman" w:eastAsia="Times New Roman" w:hAnsi="Times New Roman"/>
                <w:b w:val="false"/>
                <w:bCs w:val="false"/>
                <w:sz w:val="18"/>
                <w:szCs w:val="18"/>
              </w:rPr>
              <w:t xml:space="preserve">8.6x</w:t>
            </w:r>
          </w:p>
        </w:tc>
        <w:tc>
          <w:tcPr>
            <w:tcW w:type="dxa" w:w="1337"/>
          </w:tcPr>
          <w:p>
            <w:pPr>
              <w:jc w:val="right"/>
            </w:pPr>
            <w:r>
              <w:rPr>
                <w:rFonts w:ascii="Times New Roman" w:cs="Times New Roman" w:eastAsia="Times New Roman" w:hAnsi="Times New Roman"/>
                <w:b w:val="false"/>
                <w:bCs w:val="false"/>
                <w:sz w:val="18"/>
                <w:szCs w:val="18"/>
              </w:rPr>
              <w:t xml:space="preserve">8.3x</w:t>
            </w:r>
          </w:p>
        </w:tc>
      </w:tr>
    </w:tbl>
    <w:p>
      <w:pPr>
        <w:spacing w:after="120"/>
      </w:pPr>
    </w:p>
    <w:p>
      <w:pPr>
        <w:spacing w:after="160"/>
        <w:jc w:val="both"/>
      </w:pPr>
      <w:r>
        <w:rPr>
          <w:rFonts w:ascii="Times New Roman" w:cs="Times New Roman" w:eastAsia="Times New Roman" w:hAnsi="Times New Roman"/>
          <w:sz w:val="22"/>
          <w:szCs w:val="22"/>
        </w:rPr>
        <w:t xml:space="preserve">William Blair also reviewed, for each selected public company and for the Company, calendar year 2025 actual to calendar year 2026 expected revenue growth and LTM Adjusted EBITDA margin. For the Company, such revenue growth was 8.1% based on the Forecasts and 4.0% based on consensus estimates, and such LTM Adjusted EBITDA margin was 8.6%, in each case pro forma for acquisitions.</w:t>
      </w:r>
    </w:p>
    <w:p>
      <w:pPr>
        <w:spacing w:after="160"/>
        <w:jc w:val="both"/>
      </w:pPr>
      <w:r>
        <w:rPr>
          <w:rFonts w:ascii="Times New Roman" w:cs="Times New Roman" w:eastAsia="Times New Roman" w:hAnsi="Times New Roman"/>
          <w:sz w:val="22"/>
          <w:szCs w:val="22"/>
        </w:rPr>
        <w:t xml:space="preserve">William Blair then used the implied enterprise value of $2,328 million based on the per share Merger Consideration of $35.00, the Company’s fully diluted shares outstanding of 46.946 million as of July 14, 2026 as provided by the Company’s senior management and the net debt of the Company of $685 million as of March 31, 2026, as set forth in and calculated from the Company’s public filings, to derive implied valuation multiples for the Company for LTM Adjusted EBITDA of $173 million and for CY 2026E Adjusted EBITDA of $203 million based on the Forecasts and $180 million based on consensus estimates. William Blair compared the multiples implied for the Company based on the Merger Consideration to the range of trading multiples of the aggregate group of such selected publicly traded companies. Information regarding the multiples derived from William Blair’s selected public company analysis is set forth in the following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Pr>
          <w:p>
            <w:pPr>
              <w:jc w:val="left"/>
            </w:pPr>
            <w:r>
              <w:rPr>
                <w:rFonts w:ascii="Times New Roman" w:cs="Times New Roman" w:eastAsia="Times New Roman" w:hAnsi="Times New Roman"/>
                <w:b/>
                <w:bCs/>
                <w:sz w:val="18"/>
                <w:szCs w:val="18"/>
              </w:rPr>
              <w:t xml:space="preserve">Valuation Multiple</w:t>
            </w:r>
          </w:p>
        </w:tc>
        <w:tc>
          <w:tcPr>
            <w:tcW w:type="dxa" w:w="1337"/>
          </w:tcPr>
          <w:p>
            <w:pPr>
              <w:jc w:val="right"/>
            </w:pPr>
            <w:r>
              <w:rPr>
                <w:rFonts w:ascii="Times New Roman" w:cs="Times New Roman" w:eastAsia="Times New Roman" w:hAnsi="Times New Roman"/>
                <w:b/>
                <w:bCs/>
                <w:sz w:val="18"/>
                <w:szCs w:val="18"/>
              </w:rPr>
              <w:t xml:space="preserve">Metric</w:t>
            </w:r>
          </w:p>
        </w:tc>
        <w:tc>
          <w:tcPr>
            <w:tcW w:type="dxa" w:w="1337"/>
          </w:tcPr>
          <w:p>
            <w:pPr>
              <w:jc w:val="right"/>
            </w:pPr>
            <w:r>
              <w:rPr>
                <w:rFonts w:ascii="Times New Roman" w:cs="Times New Roman" w:eastAsia="Times New Roman" w:hAnsi="Times New Roman"/>
                <w:b/>
                <w:bCs/>
                <w:sz w:val="18"/>
                <w:szCs w:val="18"/>
              </w:rPr>
              <w:t xml:space="preserve">Implied Transaction Multiple</w:t>
            </w:r>
          </w:p>
        </w:tc>
        <w:tc>
          <w:tcPr>
            <w:tcW w:type="dxa" w:w="1337"/>
          </w:tcPr>
          <w:p>
            <w:pPr>
              <w:jc w:val="right"/>
            </w:pPr>
            <w:r>
              <w:rPr>
                <w:rFonts w:ascii="Times New Roman" w:cs="Times New Roman" w:eastAsia="Times New Roman" w:hAnsi="Times New Roman"/>
                <w:b/>
                <w:bCs/>
                <w:sz w:val="18"/>
                <w:szCs w:val="18"/>
              </w:rPr>
              <w:t xml:space="preserve">Min</w:t>
            </w:r>
          </w:p>
        </w:tc>
        <w:tc>
          <w:tcPr>
            <w:tcW w:type="dxa" w:w="1337"/>
          </w:tcPr>
          <w:p>
            <w:pPr>
              <w:jc w:val="right"/>
            </w:pPr>
            <w:r>
              <w:rPr>
                <w:rFonts w:ascii="Times New Roman" w:cs="Times New Roman" w:eastAsia="Times New Roman" w:hAnsi="Times New Roman"/>
                <w:b/>
                <w:bCs/>
                <w:sz w:val="18"/>
                <w:szCs w:val="18"/>
              </w:rPr>
              <w:t xml:space="preserve">Mean</w:t>
            </w:r>
          </w:p>
        </w:tc>
        <w:tc>
          <w:tcPr>
            <w:tcW w:type="dxa" w:w="1337"/>
          </w:tcPr>
          <w:p>
            <w:pPr>
              <w:jc w:val="right"/>
            </w:pPr>
            <w:r>
              <w:rPr>
                <w:rFonts w:ascii="Times New Roman" w:cs="Times New Roman" w:eastAsia="Times New Roman" w:hAnsi="Times New Roman"/>
                <w:b/>
                <w:bCs/>
                <w:sz w:val="18"/>
                <w:szCs w:val="18"/>
              </w:rPr>
              <w:t xml:space="preserve">Median</w:t>
            </w:r>
          </w:p>
        </w:tc>
        <w:tc>
          <w:tcPr>
            <w:tcW w:type="dxa" w:w="1337"/>
          </w:tcPr>
          <w:p>
            <w:pPr>
              <w:jc w:val="right"/>
            </w:pPr>
            <w:r>
              <w:rPr>
                <w:rFonts w:ascii="Times New Roman" w:cs="Times New Roman" w:eastAsia="Times New Roman" w:hAnsi="Times New Roman"/>
                <w:b/>
                <w:bCs/>
                <w:sz w:val="18"/>
                <w:szCs w:val="18"/>
              </w:rPr>
              <w:t xml:space="preserve">Max</w:t>
            </w:r>
          </w:p>
        </w:tc>
      </w:tr>
      <w:tr>
        <w:tc>
          <w:tcPr>
            <w:tcW w:type="dxa" w:w="1337"/>
          </w:tcPr>
          <w:p>
            <w:pPr>
              <w:jc w:val="left"/>
            </w:pPr>
            <w:r>
              <w:rPr>
                <w:rFonts w:ascii="Times New Roman" w:cs="Times New Roman" w:eastAsia="Times New Roman" w:hAnsi="Times New Roman"/>
                <w:b w:val="false"/>
                <w:bCs w:val="false"/>
                <w:sz w:val="18"/>
                <w:szCs w:val="18"/>
              </w:rPr>
              <w:t xml:space="preserve">Enterprise Value/LTM Adjusted EBITDA — actuals</w:t>
            </w:r>
          </w:p>
        </w:tc>
        <w:tc>
          <w:tcPr>
            <w:tcW w:type="dxa" w:w="1337"/>
          </w:tcPr>
          <w:p>
            <w:pPr>
              <w:jc w:val="right"/>
            </w:pPr>
            <w:r>
              <w:rPr>
                <w:rFonts w:ascii="Times New Roman" w:cs="Times New Roman" w:eastAsia="Times New Roman" w:hAnsi="Times New Roman"/>
                <w:b w:val="false"/>
                <w:bCs w:val="false"/>
                <w:sz w:val="18"/>
                <w:szCs w:val="18"/>
              </w:rPr>
              <w:t xml:space="preserve">$173</w:t>
            </w:r>
          </w:p>
        </w:tc>
        <w:tc>
          <w:tcPr>
            <w:tcW w:type="dxa" w:w="1337"/>
          </w:tcPr>
          <w:p>
            <w:pPr>
              <w:jc w:val="right"/>
            </w:pPr>
            <w:r>
              <w:rPr>
                <w:rFonts w:ascii="Times New Roman" w:cs="Times New Roman" w:eastAsia="Times New Roman" w:hAnsi="Times New Roman"/>
                <w:b w:val="false"/>
                <w:bCs w:val="false"/>
                <w:sz w:val="18"/>
                <w:szCs w:val="18"/>
              </w:rPr>
              <w:t xml:space="preserve">13.5x</w:t>
            </w:r>
          </w:p>
        </w:tc>
        <w:tc>
          <w:tcPr>
            <w:tcW w:type="dxa" w:w="1337"/>
          </w:tcPr>
          <w:p>
            <w:pPr>
              <w:jc w:val="right"/>
            </w:pPr>
            <w:r>
              <w:rPr>
                <w:rFonts w:ascii="Times New Roman" w:cs="Times New Roman" w:eastAsia="Times New Roman" w:hAnsi="Times New Roman"/>
                <w:b w:val="false"/>
                <w:bCs w:val="false"/>
                <w:sz w:val="18"/>
                <w:szCs w:val="18"/>
              </w:rPr>
              <w:t xml:space="preserve">8.6x</w:t>
            </w:r>
          </w:p>
        </w:tc>
        <w:tc>
          <w:tcPr>
            <w:tcW w:type="dxa" w:w="1337"/>
          </w:tcPr>
          <w:p>
            <w:pPr>
              <w:jc w:val="right"/>
            </w:pPr>
            <w:r>
              <w:rPr>
                <w:rFonts w:ascii="Times New Roman" w:cs="Times New Roman" w:eastAsia="Times New Roman" w:hAnsi="Times New Roman"/>
                <w:b w:val="false"/>
                <w:bCs w:val="false"/>
                <w:sz w:val="18"/>
                <w:szCs w:val="18"/>
              </w:rPr>
              <w:t xml:space="preserve">16.9x</w:t>
            </w:r>
          </w:p>
        </w:tc>
        <w:tc>
          <w:tcPr>
            <w:tcW w:type="dxa" w:w="1337"/>
          </w:tcPr>
          <w:p>
            <w:pPr>
              <w:jc w:val="right"/>
            </w:pPr>
            <w:r>
              <w:rPr>
                <w:rFonts w:ascii="Times New Roman" w:cs="Times New Roman" w:eastAsia="Times New Roman" w:hAnsi="Times New Roman"/>
                <w:b w:val="false"/>
                <w:bCs w:val="false"/>
                <w:sz w:val="18"/>
                <w:szCs w:val="18"/>
              </w:rPr>
              <w:t xml:space="preserve">15.8x</w:t>
            </w:r>
          </w:p>
        </w:tc>
        <w:tc>
          <w:tcPr>
            <w:tcW w:type="dxa" w:w="1337"/>
          </w:tcPr>
          <w:p>
            <w:pPr>
              <w:jc w:val="right"/>
            </w:pPr>
            <w:r>
              <w:rPr>
                <w:rFonts w:ascii="Times New Roman" w:cs="Times New Roman" w:eastAsia="Times New Roman" w:hAnsi="Times New Roman"/>
                <w:b w:val="false"/>
                <w:bCs w:val="false"/>
                <w:sz w:val="18"/>
                <w:szCs w:val="18"/>
              </w:rPr>
              <w:t xml:space="preserve">26.8x</w:t>
            </w:r>
          </w:p>
        </w:tc>
      </w:tr>
      <w:tr>
        <w:tc>
          <w:tcPr>
            <w:tcW w:type="dxa" w:w="1337"/>
          </w:tcPr>
          <w:p>
            <w:pPr>
              <w:jc w:val="left"/>
            </w:pPr>
            <w:r>
              <w:rPr>
                <w:rFonts w:ascii="Times New Roman" w:cs="Times New Roman" w:eastAsia="Times New Roman" w:hAnsi="Times New Roman"/>
                <w:b w:val="false"/>
                <w:bCs w:val="false"/>
                <w:sz w:val="18"/>
                <w:szCs w:val="18"/>
              </w:rPr>
              <w:t xml:space="preserve">Enterprise Value/CY 2026E Adjusted EBITDA — Forecasts</w:t>
            </w:r>
          </w:p>
        </w:tc>
        <w:tc>
          <w:tcPr>
            <w:tcW w:type="dxa" w:w="1337"/>
          </w:tcPr>
          <w:p>
            <w:pPr>
              <w:jc w:val="right"/>
            </w:pPr>
            <w:r>
              <w:rPr>
                <w:rFonts w:ascii="Times New Roman" w:cs="Times New Roman" w:eastAsia="Times New Roman" w:hAnsi="Times New Roman"/>
                <w:b w:val="false"/>
                <w:bCs w:val="false"/>
                <w:sz w:val="18"/>
                <w:szCs w:val="18"/>
              </w:rPr>
              <w:t xml:space="preserve">$203</w:t>
            </w:r>
          </w:p>
        </w:tc>
        <w:tc>
          <w:tcPr>
            <w:tcW w:type="dxa" w:w="1337"/>
          </w:tcPr>
          <w:p>
            <w:pPr>
              <w:jc w:val="right"/>
            </w:pPr>
            <w:r>
              <w:rPr>
                <w:rFonts w:ascii="Times New Roman" w:cs="Times New Roman" w:eastAsia="Times New Roman" w:hAnsi="Times New Roman"/>
                <w:b w:val="false"/>
                <w:bCs w:val="false"/>
                <w:sz w:val="18"/>
                <w:szCs w:val="18"/>
              </w:rPr>
              <w:t xml:space="preserve">11.5x</w:t>
            </w:r>
          </w:p>
        </w:tc>
        <w:tc>
          <w:tcPr>
            <w:tcW w:type="dxa" w:w="1337"/>
          </w:tcPr>
          <w:p>
            <w:pPr>
              <w:jc w:val="right"/>
            </w:pPr>
            <w:r>
              <w:rPr>
                <w:rFonts w:ascii="Times New Roman" w:cs="Times New Roman" w:eastAsia="Times New Roman" w:hAnsi="Times New Roman"/>
                <w:b w:val="false"/>
                <w:bCs w:val="false"/>
                <w:sz w:val="18"/>
                <w:szCs w:val="18"/>
              </w:rPr>
              <w:t xml:space="preserve">8.3x</w:t>
            </w:r>
          </w:p>
        </w:tc>
        <w:tc>
          <w:tcPr>
            <w:tcW w:type="dxa" w:w="1337"/>
          </w:tcPr>
          <w:p>
            <w:pPr>
              <w:jc w:val="right"/>
            </w:pPr>
            <w:r>
              <w:rPr>
                <w:rFonts w:ascii="Times New Roman" w:cs="Times New Roman" w:eastAsia="Times New Roman" w:hAnsi="Times New Roman"/>
                <w:b w:val="false"/>
                <w:bCs w:val="false"/>
                <w:sz w:val="18"/>
                <w:szCs w:val="18"/>
              </w:rPr>
              <w:t xml:space="preserve">15.8x</w:t>
            </w:r>
          </w:p>
        </w:tc>
        <w:tc>
          <w:tcPr>
            <w:tcW w:type="dxa" w:w="1337"/>
          </w:tcPr>
          <w:p>
            <w:pPr>
              <w:jc w:val="right"/>
            </w:pPr>
            <w:r>
              <w:rPr>
                <w:rFonts w:ascii="Times New Roman" w:cs="Times New Roman" w:eastAsia="Times New Roman" w:hAnsi="Times New Roman"/>
                <w:b w:val="false"/>
                <w:bCs w:val="false"/>
                <w:sz w:val="18"/>
                <w:szCs w:val="18"/>
              </w:rPr>
              <w:t xml:space="preserve">14.4x</w:t>
            </w:r>
          </w:p>
        </w:tc>
        <w:tc>
          <w:tcPr>
            <w:tcW w:type="dxa" w:w="1337"/>
          </w:tcPr>
          <w:p>
            <w:pPr>
              <w:jc w:val="right"/>
            </w:pPr>
            <w:r>
              <w:rPr>
                <w:rFonts w:ascii="Times New Roman" w:cs="Times New Roman" w:eastAsia="Times New Roman" w:hAnsi="Times New Roman"/>
                <w:b w:val="false"/>
                <w:bCs w:val="false"/>
                <w:sz w:val="18"/>
                <w:szCs w:val="18"/>
              </w:rPr>
              <w:t xml:space="preserve">25.1x</w:t>
            </w:r>
          </w:p>
        </w:tc>
      </w:tr>
      <w:tr>
        <w:tc>
          <w:tcPr>
            <w:tcW w:type="dxa" w:w="1337"/>
          </w:tcPr>
          <w:p>
            <w:pPr>
              <w:jc w:val="left"/>
            </w:pPr>
            <w:r>
              <w:rPr>
                <w:rFonts w:ascii="Times New Roman" w:cs="Times New Roman" w:eastAsia="Times New Roman" w:hAnsi="Times New Roman"/>
                <w:b w:val="false"/>
                <w:bCs w:val="false"/>
                <w:sz w:val="18"/>
                <w:szCs w:val="18"/>
              </w:rPr>
              <w:t xml:space="preserve">Enterprise Value/CY 2026E Adjusted EBITDA — consensus estimates</w:t>
            </w:r>
          </w:p>
        </w:tc>
        <w:tc>
          <w:tcPr>
            <w:tcW w:type="dxa" w:w="1337"/>
          </w:tcPr>
          <w:p>
            <w:pPr>
              <w:jc w:val="right"/>
            </w:pPr>
            <w:r>
              <w:rPr>
                <w:rFonts w:ascii="Times New Roman" w:cs="Times New Roman" w:eastAsia="Times New Roman" w:hAnsi="Times New Roman"/>
                <w:b w:val="false"/>
                <w:bCs w:val="false"/>
                <w:sz w:val="18"/>
                <w:szCs w:val="18"/>
              </w:rPr>
              <w:t xml:space="preserve">$180</w:t>
            </w:r>
          </w:p>
        </w:tc>
        <w:tc>
          <w:tcPr>
            <w:tcW w:type="dxa" w:w="1337"/>
          </w:tcPr>
          <w:p>
            <w:pPr>
              <w:jc w:val="right"/>
            </w:pPr>
            <w:r>
              <w:rPr>
                <w:rFonts w:ascii="Times New Roman" w:cs="Times New Roman" w:eastAsia="Times New Roman" w:hAnsi="Times New Roman"/>
                <w:b w:val="false"/>
                <w:bCs w:val="false"/>
                <w:sz w:val="18"/>
                <w:szCs w:val="18"/>
              </w:rPr>
              <w:t xml:space="preserve">12.9x</w:t>
            </w:r>
          </w:p>
        </w:tc>
        <w:tc>
          <w:tcPr>
            <w:tcW w:type="dxa" w:w="1337"/>
          </w:tcPr>
          <w:p>
            <w:pPr>
              <w:jc w:val="right"/>
            </w:pPr>
            <w:r>
              <w:rPr>
                <w:rFonts w:ascii="Times New Roman" w:cs="Times New Roman" w:eastAsia="Times New Roman" w:hAnsi="Times New Roman"/>
                <w:b w:val="false"/>
                <w:bCs w:val="false"/>
                <w:sz w:val="18"/>
                <w:szCs w:val="18"/>
              </w:rPr>
              <w:t xml:space="preserve">8.3x</w:t>
            </w:r>
          </w:p>
        </w:tc>
        <w:tc>
          <w:tcPr>
            <w:tcW w:type="dxa" w:w="1337"/>
          </w:tcPr>
          <w:p>
            <w:pPr>
              <w:jc w:val="right"/>
            </w:pPr>
            <w:r>
              <w:rPr>
                <w:rFonts w:ascii="Times New Roman" w:cs="Times New Roman" w:eastAsia="Times New Roman" w:hAnsi="Times New Roman"/>
                <w:b w:val="false"/>
                <w:bCs w:val="false"/>
                <w:sz w:val="18"/>
                <w:szCs w:val="18"/>
              </w:rPr>
              <w:t xml:space="preserve">15.8x</w:t>
            </w:r>
          </w:p>
        </w:tc>
        <w:tc>
          <w:tcPr>
            <w:tcW w:type="dxa" w:w="1337"/>
          </w:tcPr>
          <w:p>
            <w:pPr>
              <w:jc w:val="right"/>
            </w:pPr>
            <w:r>
              <w:rPr>
                <w:rFonts w:ascii="Times New Roman" w:cs="Times New Roman" w:eastAsia="Times New Roman" w:hAnsi="Times New Roman"/>
                <w:b w:val="false"/>
                <w:bCs w:val="false"/>
                <w:sz w:val="18"/>
                <w:szCs w:val="18"/>
              </w:rPr>
              <w:t xml:space="preserve">14.4x</w:t>
            </w:r>
          </w:p>
        </w:tc>
        <w:tc>
          <w:tcPr>
            <w:tcW w:type="dxa" w:w="1337"/>
          </w:tcPr>
          <w:p>
            <w:pPr>
              <w:jc w:val="right"/>
            </w:pPr>
            <w:r>
              <w:rPr>
                <w:rFonts w:ascii="Times New Roman" w:cs="Times New Roman" w:eastAsia="Times New Roman" w:hAnsi="Times New Roman"/>
                <w:b w:val="false"/>
                <w:bCs w:val="false"/>
                <w:sz w:val="18"/>
                <w:szCs w:val="18"/>
              </w:rPr>
              <w:t xml:space="preserve">25.1x</w:t>
            </w:r>
          </w:p>
        </w:tc>
      </w:tr>
    </w:tbl>
    <w:p>
      <w:pPr>
        <w:spacing w:after="120"/>
      </w:pPr>
    </w:p>
    <w:p>
      <w:pPr>
        <w:spacing w:after="160"/>
        <w:jc w:val="both"/>
      </w:pPr>
      <w:r>
        <w:rPr>
          <w:rFonts w:ascii="Times New Roman" w:cs="Times New Roman" w:eastAsia="Times New Roman" w:hAnsi="Times New Roman"/>
          <w:sz w:val="22"/>
          <w:szCs w:val="22"/>
        </w:rPr>
        <w:t xml:space="preserve">William Blair noted that the analyzed implied valuation multiple for the Company based on the Merger Consideration was within the range of multiples of the selected publicly companies.</w:t>
      </w:r>
    </w:p>
    <w:p>
      <w:pPr>
        <w:spacing w:after="160"/>
        <w:jc w:val="both"/>
      </w:pPr>
      <w:r>
        <w:rPr>
          <w:rFonts w:ascii="Times New Roman" w:cs="Times New Roman" w:eastAsia="Times New Roman" w:hAnsi="Times New Roman"/>
          <w:sz w:val="22"/>
          <w:szCs w:val="22"/>
        </w:rPr>
        <w:t xml:space="preserve">Although William Blair compared the trading multiples of the selected public companies to those implied for the Company, none of the selected public companies is directly comparable to the Company. Accordingly, any analysis of the selected public companies involved complex considerations and judgments concerning the differences in financial and operating characteristics and other factors that would affect the analysis of trading multiples of the selected public companies.</w:t>
      </w:r>
    </w:p>
    <w:p>
      <w:pPr>
        <w:keepNext/>
        <w:spacing w:after="120" w:before="200"/>
      </w:pPr>
      <w:r>
        <w:rPr>
          <w:rFonts w:ascii="Times New Roman" w:cs="Times New Roman" w:eastAsia="Times New Roman" w:hAnsi="Times New Roman"/>
          <w:b/>
          <w:bCs/>
          <w:sz w:val="22"/>
          <w:szCs w:val="22"/>
        </w:rPr>
        <w:t xml:space="preserve">Selected Precedent Transactions Analysis</w:t>
      </w:r>
    </w:p>
    <w:p>
      <w:pPr>
        <w:spacing w:after="160"/>
        <w:jc w:val="both"/>
      </w:pPr>
      <w:r>
        <w:rPr>
          <w:rFonts w:ascii="Times New Roman" w:cs="Times New Roman" w:eastAsia="Times New Roman" w:hAnsi="Times New Roman"/>
          <w:sz w:val="22"/>
          <w:szCs w:val="22"/>
        </w:rPr>
        <w:t xml:space="preserve">William Blair reviewed and compared certain financial information relating to the Company to corresponding financial information and multiples for twelve selected transactions that involved the acquisition of companies in the industrial and specialty distribution sector with similar business models or financial profiles that William Blair deemed relevant based on its professional judgment and experience. William Blair did not take into account any announced or consummated transaction whereby relevant financial information was not publicly disclosed and the selected transactions are not intended to be representative of the entire range of possible relevant transactions. William Blair reviewed the consideration paid in the selected transactions in terms of the enterprise value of such transactions as a multiple of LTM Adjusted EBITDA based on the most recently available publicly disclosed 12-month historical period at the time of announcement for each respective transaction, and is sourced from SEC filings, company disclosures, press releases and subscription services as of July 14, 2026. Set forth below are the transactions and relevant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Pr>
          <w:p>
            <w:pPr>
              <w:jc w:val="left"/>
            </w:pPr>
            <w:r>
              <w:rPr>
                <w:rFonts w:ascii="Times New Roman" w:cs="Times New Roman" w:eastAsia="Times New Roman" w:hAnsi="Times New Roman"/>
                <w:b/>
                <w:bCs/>
                <w:sz w:val="18"/>
                <w:szCs w:val="18"/>
              </w:rPr>
              <w:t xml:space="preserve">Announcement Date</w:t>
            </w:r>
          </w:p>
        </w:tc>
        <w:tc>
          <w:tcPr>
            <w:tcW w:type="dxa" w:w="1872"/>
          </w:tcPr>
          <w:p>
            <w:pPr>
              <w:jc w:val="right"/>
            </w:pPr>
            <w:r>
              <w:rPr>
                <w:rFonts w:ascii="Times New Roman" w:cs="Times New Roman" w:eastAsia="Times New Roman" w:hAnsi="Times New Roman"/>
                <w:b/>
                <w:bCs/>
                <w:sz w:val="18"/>
                <w:szCs w:val="18"/>
              </w:rPr>
              <w:t xml:space="preserve">Target</w:t>
            </w:r>
          </w:p>
        </w:tc>
        <w:tc>
          <w:tcPr>
            <w:tcW w:type="dxa" w:w="1872"/>
          </w:tcPr>
          <w:p>
            <w:pPr>
              <w:jc w:val="right"/>
            </w:pPr>
            <w:r>
              <w:rPr>
                <w:rFonts w:ascii="Times New Roman" w:cs="Times New Roman" w:eastAsia="Times New Roman" w:hAnsi="Times New Roman"/>
                <w:b/>
                <w:bCs/>
                <w:sz w:val="18"/>
                <w:szCs w:val="18"/>
              </w:rPr>
              <w:t xml:space="preserve">Acquiror</w:t>
            </w:r>
          </w:p>
        </w:tc>
        <w:tc>
          <w:tcPr>
            <w:tcW w:type="dxa" w:w="1872"/>
          </w:tcPr>
          <w:p>
            <w:pPr>
              <w:jc w:val="right"/>
            </w:pPr>
            <w:r>
              <w:rPr>
                <w:rFonts w:ascii="Times New Roman" w:cs="Times New Roman" w:eastAsia="Times New Roman" w:hAnsi="Times New Roman"/>
                <w:b/>
                <w:bCs/>
                <w:sz w:val="18"/>
                <w:szCs w:val="18"/>
              </w:rPr>
              <w:t xml:space="preserve">Enterprise Value (millions)</w:t>
            </w:r>
          </w:p>
        </w:tc>
        <w:tc>
          <w:tcPr>
            <w:tcW w:type="dxa" w:w="1872"/>
          </w:tcPr>
          <w:p>
            <w:pPr>
              <w:jc w:val="right"/>
            </w:pPr>
            <w:r>
              <w:rPr>
                <w:rFonts w:ascii="Times New Roman" w:cs="Times New Roman" w:eastAsia="Times New Roman" w:hAnsi="Times New Roman"/>
                <w:b/>
                <w:bCs/>
                <w:sz w:val="18"/>
                <w:szCs w:val="18"/>
              </w:rPr>
              <w:t xml:space="preserve">Enterprise Value/LTM Adjusted EBITDA</w:t>
            </w:r>
          </w:p>
        </w:tc>
      </w:tr>
      <w:tr>
        <w:tc>
          <w:tcPr>
            <w:tcW w:type="dxa" w:w="1872"/>
          </w:tcPr>
          <w:p>
            <w:pPr>
              <w:jc w:val="left"/>
            </w:pPr>
            <w:r>
              <w:rPr>
                <w:rFonts w:ascii="Times New Roman" w:cs="Times New Roman" w:eastAsia="Times New Roman" w:hAnsi="Times New Roman"/>
                <w:b w:val="false"/>
                <w:bCs w:val="false"/>
                <w:sz w:val="18"/>
                <w:szCs w:val="18"/>
              </w:rPr>
              <w:t xml:space="preserve">April 2026</w:t>
            </w:r>
          </w:p>
        </w:tc>
        <w:tc>
          <w:tcPr>
            <w:tcW w:type="dxa" w:w="1872"/>
          </w:tcPr>
          <w:p>
            <w:pPr>
              <w:jc w:val="right"/>
            </w:pPr>
            <w:r>
              <w:rPr>
                <w:rFonts w:ascii="Times New Roman" w:cs="Times New Roman" w:eastAsia="Times New Roman" w:hAnsi="Times New Roman"/>
                <w:b w:val="false"/>
                <w:bCs w:val="false"/>
                <w:sz w:val="18"/>
                <w:szCs w:val="18"/>
              </w:rPr>
              <w:t xml:space="preserve">TopBuild Corp.</w:t>
            </w:r>
          </w:p>
        </w:tc>
        <w:tc>
          <w:tcPr>
            <w:tcW w:type="dxa" w:w="1872"/>
          </w:tcPr>
          <w:p>
            <w:pPr>
              <w:jc w:val="right"/>
            </w:pPr>
            <w:r>
              <w:rPr>
                <w:rFonts w:ascii="Times New Roman" w:cs="Times New Roman" w:eastAsia="Times New Roman" w:hAnsi="Times New Roman"/>
                <w:b w:val="false"/>
                <w:bCs w:val="false"/>
                <w:sz w:val="18"/>
                <w:szCs w:val="18"/>
              </w:rPr>
              <w:t xml:space="preserve">QXO, Inc.</w:t>
            </w:r>
          </w:p>
        </w:tc>
        <w:tc>
          <w:tcPr>
            <w:tcW w:type="dxa" w:w="1872"/>
          </w:tcPr>
          <w:p>
            <w:pPr>
              <w:jc w:val="right"/>
            </w:pPr>
            <w:r>
              <w:rPr>
                <w:rFonts w:ascii="Times New Roman" w:cs="Times New Roman" w:eastAsia="Times New Roman" w:hAnsi="Times New Roman"/>
                <w:b w:val="false"/>
                <w:bCs w:val="false"/>
                <w:sz w:val="18"/>
                <w:szCs w:val="18"/>
              </w:rPr>
              <w:t xml:space="preserve">$16,951</w:t>
            </w:r>
          </w:p>
        </w:tc>
        <w:tc>
          <w:tcPr>
            <w:tcW w:type="dxa" w:w="1872"/>
          </w:tcPr>
          <w:p>
            <w:pPr>
              <w:jc w:val="right"/>
            </w:pPr>
            <w:r>
              <w:rPr>
                <w:rFonts w:ascii="Times New Roman" w:cs="Times New Roman" w:eastAsia="Times New Roman" w:hAnsi="Times New Roman"/>
                <w:b w:val="false"/>
                <w:bCs w:val="false"/>
                <w:sz w:val="18"/>
                <w:szCs w:val="18"/>
              </w:rPr>
              <w:t xml:space="preserve">14.8x</w:t>
            </w:r>
          </w:p>
        </w:tc>
      </w:tr>
      <w:tr>
        <w:tc>
          <w:tcPr>
            <w:tcW w:type="dxa" w:w="1872"/>
          </w:tcPr>
          <w:p>
            <w:pPr>
              <w:jc w:val="left"/>
            </w:pPr>
            <w:r>
              <w:rPr>
                <w:rFonts w:ascii="Times New Roman" w:cs="Times New Roman" w:eastAsia="Times New Roman" w:hAnsi="Times New Roman"/>
                <w:b w:val="false"/>
                <w:bCs w:val="false"/>
                <w:sz w:val="18"/>
                <w:szCs w:val="18"/>
              </w:rPr>
              <w:t xml:space="preserve">August 2025</w:t>
            </w:r>
          </w:p>
        </w:tc>
        <w:tc>
          <w:tcPr>
            <w:tcW w:type="dxa" w:w="1872"/>
          </w:tcPr>
          <w:p>
            <w:pPr>
              <w:jc w:val="right"/>
            </w:pPr>
            <w:r>
              <w:rPr>
                <w:rFonts w:ascii="Times New Roman" w:cs="Times New Roman" w:eastAsia="Times New Roman" w:hAnsi="Times New Roman"/>
                <w:b w:val="false"/>
                <w:bCs w:val="false"/>
                <w:sz w:val="18"/>
                <w:szCs w:val="18"/>
              </w:rPr>
              <w:t xml:space="preserve">Foundation Building Materials, LLC</w:t>
            </w:r>
          </w:p>
        </w:tc>
        <w:tc>
          <w:tcPr>
            <w:tcW w:type="dxa" w:w="1872"/>
          </w:tcPr>
          <w:p>
            <w:pPr>
              <w:jc w:val="right"/>
            </w:pPr>
            <w:r>
              <w:rPr>
                <w:rFonts w:ascii="Times New Roman" w:cs="Times New Roman" w:eastAsia="Times New Roman" w:hAnsi="Times New Roman"/>
                <w:b w:val="false"/>
                <w:bCs w:val="false"/>
                <w:sz w:val="18"/>
                <w:szCs w:val="18"/>
              </w:rPr>
              <w:t xml:space="preserve">Lowe’s Companies, Inc.</w:t>
            </w:r>
          </w:p>
        </w:tc>
        <w:tc>
          <w:tcPr>
            <w:tcW w:type="dxa" w:w="1872"/>
          </w:tcPr>
          <w:p>
            <w:pPr>
              <w:jc w:val="right"/>
            </w:pPr>
            <w:r>
              <w:rPr>
                <w:rFonts w:ascii="Times New Roman" w:cs="Times New Roman" w:eastAsia="Times New Roman" w:hAnsi="Times New Roman"/>
                <w:b w:val="false"/>
                <w:bCs w:val="false"/>
                <w:sz w:val="18"/>
                <w:szCs w:val="18"/>
              </w:rPr>
              <w:t xml:space="preserve">$8,800</w:t>
            </w:r>
          </w:p>
        </w:tc>
        <w:tc>
          <w:tcPr>
            <w:tcW w:type="dxa" w:w="1872"/>
          </w:tcPr>
          <w:p>
            <w:pPr>
              <w:jc w:val="right"/>
            </w:pPr>
            <w:r>
              <w:rPr>
                <w:rFonts w:ascii="Times New Roman" w:cs="Times New Roman" w:eastAsia="Times New Roman" w:hAnsi="Times New Roman"/>
                <w:b w:val="false"/>
                <w:bCs w:val="false"/>
                <w:sz w:val="18"/>
                <w:szCs w:val="18"/>
              </w:rPr>
              <w:t xml:space="preserve">13.9x (1)</w:t>
            </w:r>
          </w:p>
        </w:tc>
      </w:tr>
      <w:tr>
        <w:tc>
          <w:tcPr>
            <w:tcW w:type="dxa" w:w="1872"/>
          </w:tcPr>
          <w:p>
            <w:pPr>
              <w:jc w:val="left"/>
            </w:pPr>
            <w:r>
              <w:rPr>
                <w:rFonts w:ascii="Times New Roman" w:cs="Times New Roman" w:eastAsia="Times New Roman" w:hAnsi="Times New Roman"/>
                <w:b w:val="false"/>
                <w:bCs w:val="false"/>
                <w:sz w:val="18"/>
                <w:szCs w:val="18"/>
              </w:rPr>
              <w:t xml:space="preserve">August 2025</w:t>
            </w:r>
          </w:p>
        </w:tc>
        <w:tc>
          <w:tcPr>
            <w:tcW w:type="dxa" w:w="1872"/>
          </w:tcPr>
          <w:p>
            <w:pPr>
              <w:jc w:val="right"/>
            </w:pPr>
            <w:r>
              <w:rPr>
                <w:rFonts w:ascii="Times New Roman" w:cs="Times New Roman" w:eastAsia="Times New Roman" w:hAnsi="Times New Roman"/>
                <w:b w:val="false"/>
                <w:bCs w:val="false"/>
                <w:sz w:val="18"/>
                <w:szCs w:val="18"/>
              </w:rPr>
              <w:t xml:space="preserve">HVAC division of NSI Industries</w:t>
            </w:r>
          </w:p>
        </w:tc>
        <w:tc>
          <w:tcPr>
            <w:tcW w:type="dxa" w:w="1872"/>
          </w:tcPr>
          <w:p>
            <w:pPr>
              <w:jc w:val="right"/>
            </w:pPr>
            <w:r>
              <w:rPr>
                <w:rFonts w:ascii="Times New Roman" w:cs="Times New Roman" w:eastAsia="Times New Roman" w:hAnsi="Times New Roman"/>
                <w:b w:val="false"/>
                <w:bCs w:val="false"/>
                <w:sz w:val="18"/>
                <w:szCs w:val="18"/>
              </w:rPr>
              <w:t xml:space="preserve">Lennox International Inc.</w:t>
            </w:r>
          </w:p>
        </w:tc>
        <w:tc>
          <w:tcPr>
            <w:tcW w:type="dxa" w:w="1872"/>
          </w:tcPr>
          <w:p>
            <w:pPr>
              <w:jc w:val="right"/>
            </w:pPr>
            <w:r>
              <w:rPr>
                <w:rFonts w:ascii="Times New Roman" w:cs="Times New Roman" w:eastAsia="Times New Roman" w:hAnsi="Times New Roman"/>
                <w:b w:val="false"/>
                <w:bCs w:val="false"/>
                <w:sz w:val="18"/>
                <w:szCs w:val="18"/>
              </w:rPr>
              <w:t xml:space="preserve">$550</w:t>
            </w:r>
          </w:p>
        </w:tc>
        <w:tc>
          <w:tcPr>
            <w:tcW w:type="dxa" w:w="1872"/>
          </w:tcPr>
          <w:p>
            <w:pPr>
              <w:jc w:val="right"/>
            </w:pPr>
            <w:r>
              <w:rPr>
                <w:rFonts w:ascii="Times New Roman" w:cs="Times New Roman" w:eastAsia="Times New Roman" w:hAnsi="Times New Roman"/>
                <w:b w:val="false"/>
                <w:bCs w:val="false"/>
                <w:sz w:val="18"/>
                <w:szCs w:val="18"/>
              </w:rPr>
              <w:t xml:space="preserve">10.0x (2)</w:t>
            </w:r>
          </w:p>
        </w:tc>
      </w:tr>
      <w:tr>
        <w:tc>
          <w:tcPr>
            <w:tcW w:type="dxa" w:w="1872"/>
          </w:tcPr>
          <w:p>
            <w:pPr>
              <w:jc w:val="left"/>
            </w:pPr>
            <w:r>
              <w:rPr>
                <w:rFonts w:ascii="Times New Roman" w:cs="Times New Roman" w:eastAsia="Times New Roman" w:hAnsi="Times New Roman"/>
                <w:b w:val="false"/>
                <w:bCs w:val="false"/>
                <w:sz w:val="18"/>
                <w:szCs w:val="18"/>
              </w:rPr>
              <w:t xml:space="preserve">June 2025</w:t>
            </w:r>
          </w:p>
        </w:tc>
        <w:tc>
          <w:tcPr>
            <w:tcW w:type="dxa" w:w="1872"/>
          </w:tcPr>
          <w:p>
            <w:pPr>
              <w:jc w:val="right"/>
            </w:pPr>
            <w:r>
              <w:rPr>
                <w:rFonts w:ascii="Times New Roman" w:cs="Times New Roman" w:eastAsia="Times New Roman" w:hAnsi="Times New Roman"/>
                <w:b w:val="false"/>
                <w:bCs w:val="false"/>
                <w:sz w:val="18"/>
                <w:szCs w:val="18"/>
              </w:rPr>
              <w:t xml:space="preserve">GMS, Inc.</w:t>
            </w:r>
          </w:p>
        </w:tc>
        <w:tc>
          <w:tcPr>
            <w:tcW w:type="dxa" w:w="1872"/>
          </w:tcPr>
          <w:p>
            <w:pPr>
              <w:jc w:val="right"/>
            </w:pPr>
            <w:r>
              <w:rPr>
                <w:rFonts w:ascii="Times New Roman" w:cs="Times New Roman" w:eastAsia="Times New Roman" w:hAnsi="Times New Roman"/>
                <w:b w:val="false"/>
                <w:bCs w:val="false"/>
                <w:sz w:val="18"/>
                <w:szCs w:val="18"/>
              </w:rPr>
              <w:t xml:space="preserve">Home Depot, Inc.</w:t>
            </w:r>
          </w:p>
        </w:tc>
        <w:tc>
          <w:tcPr>
            <w:tcW w:type="dxa" w:w="1872"/>
          </w:tcPr>
          <w:p>
            <w:pPr>
              <w:jc w:val="right"/>
            </w:pPr>
            <w:r>
              <w:rPr>
                <w:rFonts w:ascii="Times New Roman" w:cs="Times New Roman" w:eastAsia="Times New Roman" w:hAnsi="Times New Roman"/>
                <w:b w:val="false"/>
                <w:bCs w:val="false"/>
                <w:sz w:val="18"/>
                <w:szCs w:val="18"/>
              </w:rPr>
              <w:t xml:space="preserve">$5,553</w:t>
            </w:r>
          </w:p>
        </w:tc>
        <w:tc>
          <w:tcPr>
            <w:tcW w:type="dxa" w:w="1872"/>
          </w:tcPr>
          <w:p>
            <w:pPr>
              <w:jc w:val="right"/>
            </w:pPr>
            <w:r>
              <w:rPr>
                <w:rFonts w:ascii="Times New Roman" w:cs="Times New Roman" w:eastAsia="Times New Roman" w:hAnsi="Times New Roman"/>
                <w:b w:val="false"/>
                <w:bCs w:val="false"/>
                <w:sz w:val="18"/>
                <w:szCs w:val="18"/>
              </w:rPr>
              <w:t xml:space="preserve">11.1x</w:t>
            </w:r>
          </w:p>
        </w:tc>
      </w:tr>
      <w:tr>
        <w:tc>
          <w:tcPr>
            <w:tcW w:type="dxa" w:w="1872"/>
          </w:tcPr>
          <w:p>
            <w:pPr>
              <w:jc w:val="left"/>
            </w:pPr>
            <w:r>
              <w:rPr>
                <w:rFonts w:ascii="Times New Roman" w:cs="Times New Roman" w:eastAsia="Times New Roman" w:hAnsi="Times New Roman"/>
                <w:b w:val="false"/>
                <w:bCs w:val="false"/>
                <w:sz w:val="18"/>
                <w:szCs w:val="18"/>
              </w:rPr>
              <w:t xml:space="preserve">March 2025</w:t>
            </w:r>
          </w:p>
        </w:tc>
        <w:tc>
          <w:tcPr>
            <w:tcW w:type="dxa" w:w="1872"/>
          </w:tcPr>
          <w:p>
            <w:pPr>
              <w:jc w:val="right"/>
            </w:pPr>
            <w:r>
              <w:rPr>
                <w:rFonts w:ascii="Times New Roman" w:cs="Times New Roman" w:eastAsia="Times New Roman" w:hAnsi="Times New Roman"/>
                <w:b w:val="false"/>
                <w:bCs w:val="false"/>
                <w:sz w:val="18"/>
                <w:szCs w:val="18"/>
              </w:rPr>
              <w:t xml:space="preserve">Beacon Roofing Supply, Inc.</w:t>
            </w:r>
          </w:p>
        </w:tc>
        <w:tc>
          <w:tcPr>
            <w:tcW w:type="dxa" w:w="1872"/>
          </w:tcPr>
          <w:p>
            <w:pPr>
              <w:jc w:val="right"/>
            </w:pPr>
            <w:r>
              <w:rPr>
                <w:rFonts w:ascii="Times New Roman" w:cs="Times New Roman" w:eastAsia="Times New Roman" w:hAnsi="Times New Roman"/>
                <w:b w:val="false"/>
                <w:bCs w:val="false"/>
                <w:sz w:val="18"/>
                <w:szCs w:val="18"/>
              </w:rPr>
              <w:t xml:space="preserve">QXO, Inc.</w:t>
            </w:r>
          </w:p>
        </w:tc>
        <w:tc>
          <w:tcPr>
            <w:tcW w:type="dxa" w:w="1872"/>
          </w:tcPr>
          <w:p>
            <w:pPr>
              <w:jc w:val="right"/>
            </w:pPr>
            <w:r>
              <w:rPr>
                <w:rFonts w:ascii="Times New Roman" w:cs="Times New Roman" w:eastAsia="Times New Roman" w:hAnsi="Times New Roman"/>
                <w:b w:val="false"/>
                <w:bCs w:val="false"/>
                <w:sz w:val="18"/>
                <w:szCs w:val="18"/>
              </w:rPr>
              <w:t xml:space="preserve">$10,665</w:t>
            </w:r>
          </w:p>
        </w:tc>
        <w:tc>
          <w:tcPr>
            <w:tcW w:type="dxa" w:w="1872"/>
          </w:tcPr>
          <w:p>
            <w:pPr>
              <w:jc w:val="right"/>
            </w:pPr>
            <w:r>
              <w:rPr>
                <w:rFonts w:ascii="Times New Roman" w:cs="Times New Roman" w:eastAsia="Times New Roman" w:hAnsi="Times New Roman"/>
                <w:b w:val="false"/>
                <w:bCs w:val="false"/>
                <w:sz w:val="18"/>
                <w:szCs w:val="18"/>
              </w:rPr>
              <w:t xml:space="preserve">11.5x</w:t>
            </w:r>
          </w:p>
        </w:tc>
      </w:tr>
      <w:tr>
        <w:tc>
          <w:tcPr>
            <w:tcW w:type="dxa" w:w="1872"/>
          </w:tcPr>
          <w:p>
            <w:pPr>
              <w:jc w:val="left"/>
            </w:pPr>
            <w:r>
              <w:rPr>
                <w:rFonts w:ascii="Times New Roman" w:cs="Times New Roman" w:eastAsia="Times New Roman" w:hAnsi="Times New Roman"/>
                <w:b w:val="false"/>
                <w:bCs w:val="false"/>
                <w:sz w:val="18"/>
                <w:szCs w:val="18"/>
              </w:rPr>
              <w:t xml:space="preserve">November 2024</w:t>
            </w:r>
          </w:p>
        </w:tc>
        <w:tc>
          <w:tcPr>
            <w:tcW w:type="dxa" w:w="1872"/>
          </w:tcPr>
          <w:p>
            <w:pPr>
              <w:jc w:val="right"/>
            </w:pPr>
            <w:r>
              <w:rPr>
                <w:rFonts w:ascii="Times New Roman" w:cs="Times New Roman" w:eastAsia="Times New Roman" w:hAnsi="Times New Roman"/>
                <w:b w:val="false"/>
                <w:bCs w:val="false"/>
                <w:sz w:val="18"/>
                <w:szCs w:val="18"/>
              </w:rPr>
              <w:t xml:space="preserve">Hydradyne LLC</w:t>
            </w:r>
          </w:p>
        </w:tc>
        <w:tc>
          <w:tcPr>
            <w:tcW w:type="dxa" w:w="1872"/>
          </w:tcPr>
          <w:p>
            <w:pPr>
              <w:jc w:val="right"/>
            </w:pPr>
            <w:r>
              <w:rPr>
                <w:rFonts w:ascii="Times New Roman" w:cs="Times New Roman" w:eastAsia="Times New Roman" w:hAnsi="Times New Roman"/>
                <w:b w:val="false"/>
                <w:bCs w:val="false"/>
                <w:sz w:val="18"/>
                <w:szCs w:val="18"/>
              </w:rPr>
              <w:t xml:space="preserve">Applied Industrial Technologies, Inc.</w:t>
            </w:r>
          </w:p>
        </w:tc>
        <w:tc>
          <w:tcPr>
            <w:tcW w:type="dxa" w:w="1872"/>
          </w:tcPr>
          <w:p>
            <w:pPr>
              <w:jc w:val="right"/>
            </w:pPr>
            <w:r>
              <w:rPr>
                <w:rFonts w:ascii="Times New Roman" w:cs="Times New Roman" w:eastAsia="Times New Roman" w:hAnsi="Times New Roman"/>
                <w:b w:val="false"/>
                <w:bCs w:val="false"/>
                <w:sz w:val="18"/>
                <w:szCs w:val="18"/>
              </w:rPr>
              <w:t xml:space="preserve">$273</w:t>
            </w:r>
          </w:p>
        </w:tc>
        <w:tc>
          <w:tcPr>
            <w:tcW w:type="dxa" w:w="1872"/>
          </w:tcPr>
          <w:p>
            <w:pPr>
              <w:jc w:val="right"/>
            </w:pPr>
            <w:r>
              <w:rPr>
                <w:rFonts w:ascii="Times New Roman" w:cs="Times New Roman" w:eastAsia="Times New Roman" w:hAnsi="Times New Roman"/>
                <w:b w:val="false"/>
                <w:bCs w:val="false"/>
                <w:sz w:val="18"/>
                <w:szCs w:val="18"/>
              </w:rPr>
              <w:t xml:space="preserve">9.1x (3)</w:t>
            </w:r>
          </w:p>
        </w:tc>
      </w:tr>
      <w:tr>
        <w:tc>
          <w:tcPr>
            <w:tcW w:type="dxa" w:w="1872"/>
          </w:tcPr>
          <w:p>
            <w:pPr>
              <w:jc w:val="left"/>
            </w:pPr>
            <w:r>
              <w:rPr>
                <w:rFonts w:ascii="Times New Roman" w:cs="Times New Roman" w:eastAsia="Times New Roman" w:hAnsi="Times New Roman"/>
                <w:b w:val="false"/>
                <w:bCs w:val="false"/>
                <w:sz w:val="18"/>
                <w:szCs w:val="18"/>
              </w:rPr>
              <w:t xml:space="preserve">March 2024</w:t>
            </w:r>
          </w:p>
        </w:tc>
        <w:tc>
          <w:tcPr>
            <w:tcW w:type="dxa" w:w="1872"/>
          </w:tcPr>
          <w:p>
            <w:pPr>
              <w:jc w:val="right"/>
            </w:pPr>
            <w:r>
              <w:rPr>
                <w:rFonts w:ascii="Times New Roman" w:cs="Times New Roman" w:eastAsia="Times New Roman" w:hAnsi="Times New Roman"/>
                <w:b w:val="false"/>
                <w:bCs w:val="false"/>
                <w:sz w:val="18"/>
                <w:szCs w:val="18"/>
              </w:rPr>
              <w:t xml:space="preserve">SRS Distribution, Inc.</w:t>
            </w:r>
          </w:p>
        </w:tc>
        <w:tc>
          <w:tcPr>
            <w:tcW w:type="dxa" w:w="1872"/>
          </w:tcPr>
          <w:p>
            <w:pPr>
              <w:jc w:val="right"/>
            </w:pPr>
            <w:r>
              <w:rPr>
                <w:rFonts w:ascii="Times New Roman" w:cs="Times New Roman" w:eastAsia="Times New Roman" w:hAnsi="Times New Roman"/>
                <w:b w:val="false"/>
                <w:bCs w:val="false"/>
                <w:sz w:val="18"/>
                <w:szCs w:val="18"/>
              </w:rPr>
              <w:t xml:space="preserve">Home Depot, Inc.</w:t>
            </w:r>
          </w:p>
        </w:tc>
        <w:tc>
          <w:tcPr>
            <w:tcW w:type="dxa" w:w="1872"/>
          </w:tcPr>
          <w:p>
            <w:pPr>
              <w:jc w:val="right"/>
            </w:pPr>
            <w:r>
              <w:rPr>
                <w:rFonts w:ascii="Times New Roman" w:cs="Times New Roman" w:eastAsia="Times New Roman" w:hAnsi="Times New Roman"/>
                <w:b w:val="false"/>
                <w:bCs w:val="false"/>
                <w:sz w:val="18"/>
                <w:szCs w:val="18"/>
              </w:rPr>
              <w:t xml:space="preserve">$18,250</w:t>
            </w:r>
          </w:p>
        </w:tc>
        <w:tc>
          <w:tcPr>
            <w:tcW w:type="dxa" w:w="1872"/>
          </w:tcPr>
          <w:p>
            <w:pPr>
              <w:jc w:val="right"/>
            </w:pPr>
            <w:r>
              <w:rPr>
                <w:rFonts w:ascii="Times New Roman" w:cs="Times New Roman" w:eastAsia="Times New Roman" w:hAnsi="Times New Roman"/>
                <w:b w:val="false"/>
                <w:bCs w:val="false"/>
                <w:sz w:val="18"/>
                <w:szCs w:val="18"/>
              </w:rPr>
              <w:t xml:space="preserve">17.3x (4)</w:t>
            </w:r>
          </w:p>
        </w:tc>
      </w:tr>
      <w:tr>
        <w:tc>
          <w:tcPr>
            <w:tcW w:type="dxa" w:w="1872"/>
          </w:tcPr>
          <w:p>
            <w:pPr>
              <w:jc w:val="left"/>
            </w:pPr>
            <w:r>
              <w:rPr>
                <w:rFonts w:ascii="Times New Roman" w:cs="Times New Roman" w:eastAsia="Times New Roman" w:hAnsi="Times New Roman"/>
                <w:b w:val="false"/>
                <w:bCs w:val="false"/>
                <w:sz w:val="18"/>
                <w:szCs w:val="18"/>
              </w:rPr>
              <w:t xml:space="preserve">March 2023</w:t>
            </w:r>
          </w:p>
        </w:tc>
        <w:tc>
          <w:tcPr>
            <w:tcW w:type="dxa" w:w="1872"/>
          </w:tcPr>
          <w:p>
            <w:pPr>
              <w:jc w:val="right"/>
            </w:pPr>
            <w:r>
              <w:rPr>
                <w:rFonts w:ascii="Times New Roman" w:cs="Times New Roman" w:eastAsia="Times New Roman" w:hAnsi="Times New Roman"/>
                <w:b w:val="false"/>
                <w:bCs w:val="false"/>
                <w:sz w:val="18"/>
                <w:szCs w:val="18"/>
              </w:rPr>
              <w:t xml:space="preserve">Hisco, Inc.</w:t>
            </w:r>
          </w:p>
        </w:tc>
        <w:tc>
          <w:tcPr>
            <w:tcW w:type="dxa" w:w="1872"/>
          </w:tcPr>
          <w:p>
            <w:pPr>
              <w:jc w:val="right"/>
            </w:pPr>
            <w:r>
              <w:rPr>
                <w:rFonts w:ascii="Times New Roman" w:cs="Times New Roman" w:eastAsia="Times New Roman" w:hAnsi="Times New Roman"/>
                <w:b w:val="false"/>
                <w:bCs w:val="false"/>
                <w:sz w:val="18"/>
                <w:szCs w:val="18"/>
              </w:rPr>
              <w:t xml:space="preserve">Distribution Solutions Group, Inc.</w:t>
            </w:r>
          </w:p>
        </w:tc>
        <w:tc>
          <w:tcPr>
            <w:tcW w:type="dxa" w:w="1872"/>
          </w:tcPr>
          <w:p>
            <w:pPr>
              <w:jc w:val="right"/>
            </w:pPr>
            <w:r>
              <w:rPr>
                <w:rFonts w:ascii="Times New Roman" w:cs="Times New Roman" w:eastAsia="Times New Roman" w:hAnsi="Times New Roman"/>
                <w:b w:val="false"/>
                <w:bCs w:val="false"/>
                <w:sz w:val="18"/>
                <w:szCs w:val="18"/>
              </w:rPr>
              <w:t xml:space="preserve">$307</w:t>
            </w:r>
          </w:p>
        </w:tc>
        <w:tc>
          <w:tcPr>
            <w:tcW w:type="dxa" w:w="1872"/>
          </w:tcPr>
          <w:p>
            <w:pPr>
              <w:jc w:val="right"/>
            </w:pPr>
            <w:r>
              <w:rPr>
                <w:rFonts w:ascii="Times New Roman" w:cs="Times New Roman" w:eastAsia="Times New Roman" w:hAnsi="Times New Roman"/>
                <w:b w:val="false"/>
                <w:bCs w:val="false"/>
                <w:sz w:val="18"/>
                <w:szCs w:val="18"/>
              </w:rPr>
              <w:t xml:space="preserve">10.8x (5)</w:t>
            </w:r>
          </w:p>
        </w:tc>
      </w:tr>
      <w:tr>
        <w:tc>
          <w:tcPr>
            <w:tcW w:type="dxa" w:w="1872"/>
          </w:tcPr>
          <w:p>
            <w:pPr>
              <w:jc w:val="left"/>
            </w:pPr>
            <w:r>
              <w:rPr>
                <w:rFonts w:ascii="Times New Roman" w:cs="Times New Roman" w:eastAsia="Times New Roman" w:hAnsi="Times New Roman"/>
                <w:b w:val="false"/>
                <w:bCs w:val="false"/>
                <w:sz w:val="18"/>
                <w:szCs w:val="18"/>
              </w:rPr>
              <w:t xml:space="preserve">June 2022</w:t>
            </w:r>
          </w:p>
        </w:tc>
        <w:tc>
          <w:tcPr>
            <w:tcW w:type="dxa" w:w="1872"/>
          </w:tcPr>
          <w:p>
            <w:pPr>
              <w:jc w:val="right"/>
            </w:pPr>
            <w:r>
              <w:rPr>
                <w:rFonts w:ascii="Times New Roman" w:cs="Times New Roman" w:eastAsia="Times New Roman" w:hAnsi="Times New Roman"/>
                <w:b w:val="false"/>
                <w:bCs w:val="false"/>
                <w:sz w:val="18"/>
                <w:szCs w:val="18"/>
              </w:rPr>
              <w:t xml:space="preserve">industrial businesses of Roper Technologies, Inc.</w:t>
            </w:r>
          </w:p>
        </w:tc>
        <w:tc>
          <w:tcPr>
            <w:tcW w:type="dxa" w:w="1872"/>
          </w:tcPr>
          <w:p>
            <w:pPr>
              <w:jc w:val="right"/>
            </w:pPr>
            <w:r>
              <w:rPr>
                <w:rFonts w:ascii="Times New Roman" w:cs="Times New Roman" w:eastAsia="Times New Roman" w:hAnsi="Times New Roman"/>
                <w:b w:val="false"/>
                <w:bCs w:val="false"/>
                <w:sz w:val="18"/>
                <w:szCs w:val="18"/>
              </w:rPr>
              <w:t xml:space="preserve">Clayton, Dubilier &amp; Rice, LLC</w:t>
            </w:r>
          </w:p>
        </w:tc>
        <w:tc>
          <w:tcPr>
            <w:tcW w:type="dxa" w:w="1872"/>
          </w:tcPr>
          <w:p>
            <w:pPr>
              <w:jc w:val="right"/>
            </w:pPr>
            <w:r>
              <w:rPr>
                <w:rFonts w:ascii="Times New Roman" w:cs="Times New Roman" w:eastAsia="Times New Roman" w:hAnsi="Times New Roman"/>
                <w:b w:val="false"/>
                <w:bCs w:val="false"/>
                <w:sz w:val="18"/>
                <w:szCs w:val="18"/>
              </w:rPr>
              <w:t xml:space="preserve">$2,600</w:t>
            </w:r>
          </w:p>
        </w:tc>
        <w:tc>
          <w:tcPr>
            <w:tcW w:type="dxa" w:w="1872"/>
          </w:tcPr>
          <w:p>
            <w:pPr>
              <w:jc w:val="right"/>
            </w:pPr>
            <w:r>
              <w:rPr>
                <w:rFonts w:ascii="Times New Roman" w:cs="Times New Roman" w:eastAsia="Times New Roman" w:hAnsi="Times New Roman"/>
                <w:b w:val="false"/>
                <w:bCs w:val="false"/>
                <w:sz w:val="18"/>
                <w:szCs w:val="18"/>
              </w:rPr>
              <w:t xml:space="preserve">10.0x (6)</w:t>
            </w:r>
          </w:p>
        </w:tc>
      </w:tr>
      <w:tr>
        <w:tc>
          <w:tcPr>
            <w:tcW w:type="dxa" w:w="1872"/>
          </w:tcPr>
          <w:p>
            <w:pPr>
              <w:jc w:val="left"/>
            </w:pPr>
            <w:r>
              <w:rPr>
                <w:rFonts w:ascii="Times New Roman" w:cs="Times New Roman" w:eastAsia="Times New Roman" w:hAnsi="Times New Roman"/>
                <w:b w:val="false"/>
                <w:bCs w:val="false"/>
                <w:sz w:val="18"/>
                <w:szCs w:val="18"/>
              </w:rPr>
              <w:t xml:space="preserve">December 2021</w:t>
            </w:r>
          </w:p>
        </w:tc>
        <w:tc>
          <w:tcPr>
            <w:tcW w:type="dxa" w:w="1872"/>
          </w:tcPr>
          <w:p>
            <w:pPr>
              <w:jc w:val="right"/>
            </w:pPr>
            <w:r>
              <w:rPr>
                <w:rFonts w:ascii="Times New Roman" w:cs="Times New Roman" w:eastAsia="Times New Roman" w:hAnsi="Times New Roman"/>
                <w:b w:val="false"/>
                <w:bCs w:val="false"/>
                <w:sz w:val="18"/>
                <w:szCs w:val="18"/>
              </w:rPr>
              <w:t xml:space="preserve">Kaman Distribution Group</w:t>
            </w:r>
          </w:p>
        </w:tc>
        <w:tc>
          <w:tcPr>
            <w:tcW w:type="dxa" w:w="1872"/>
          </w:tcPr>
          <w:p>
            <w:pPr>
              <w:jc w:val="right"/>
            </w:pPr>
            <w:r>
              <w:rPr>
                <w:rFonts w:ascii="Times New Roman" w:cs="Times New Roman" w:eastAsia="Times New Roman" w:hAnsi="Times New Roman"/>
                <w:b w:val="false"/>
                <w:bCs w:val="false"/>
                <w:sz w:val="18"/>
                <w:szCs w:val="18"/>
              </w:rPr>
              <w:t xml:space="preserve">Genuine Parts Company</w:t>
            </w:r>
          </w:p>
        </w:tc>
        <w:tc>
          <w:tcPr>
            <w:tcW w:type="dxa" w:w="1872"/>
          </w:tcPr>
          <w:p>
            <w:pPr>
              <w:jc w:val="right"/>
            </w:pPr>
            <w:r>
              <w:rPr>
                <w:rFonts w:ascii="Times New Roman" w:cs="Times New Roman" w:eastAsia="Times New Roman" w:hAnsi="Times New Roman"/>
                <w:b w:val="false"/>
                <w:bCs w:val="false"/>
                <w:sz w:val="18"/>
                <w:szCs w:val="18"/>
              </w:rPr>
              <w:t xml:space="preserve">$1,300</w:t>
            </w:r>
          </w:p>
        </w:tc>
        <w:tc>
          <w:tcPr>
            <w:tcW w:type="dxa" w:w="1872"/>
          </w:tcPr>
          <w:p>
            <w:pPr>
              <w:jc w:val="right"/>
            </w:pPr>
            <w:r>
              <w:rPr>
                <w:rFonts w:ascii="Times New Roman" w:cs="Times New Roman" w:eastAsia="Times New Roman" w:hAnsi="Times New Roman"/>
                <w:b w:val="false"/>
                <w:bCs w:val="false"/>
                <w:sz w:val="18"/>
                <w:szCs w:val="18"/>
              </w:rPr>
              <w:t xml:space="preserve">13.8x (7)</w:t>
            </w:r>
          </w:p>
        </w:tc>
      </w:tr>
      <w:tr>
        <w:tc>
          <w:tcPr>
            <w:tcW w:type="dxa" w:w="1872"/>
          </w:tcPr>
          <w:p>
            <w:pPr>
              <w:jc w:val="left"/>
            </w:pPr>
            <w:r>
              <w:rPr>
                <w:rFonts w:ascii="Times New Roman" w:cs="Times New Roman" w:eastAsia="Times New Roman" w:hAnsi="Times New Roman"/>
                <w:b w:val="false"/>
                <w:bCs w:val="false"/>
                <w:sz w:val="18"/>
                <w:szCs w:val="18"/>
              </w:rPr>
              <w:t xml:space="preserve">November 2020</w:t>
            </w:r>
          </w:p>
        </w:tc>
        <w:tc>
          <w:tcPr>
            <w:tcW w:type="dxa" w:w="1872"/>
          </w:tcPr>
          <w:p>
            <w:pPr>
              <w:jc w:val="right"/>
            </w:pPr>
            <w:r>
              <w:rPr>
                <w:rFonts w:ascii="Times New Roman" w:cs="Times New Roman" w:eastAsia="Times New Roman" w:hAnsi="Times New Roman"/>
                <w:b w:val="false"/>
                <w:bCs w:val="false"/>
                <w:sz w:val="18"/>
                <w:szCs w:val="18"/>
              </w:rPr>
              <w:t xml:space="preserve">HD Supply Holdings, Inc.</w:t>
            </w:r>
          </w:p>
        </w:tc>
        <w:tc>
          <w:tcPr>
            <w:tcW w:type="dxa" w:w="1872"/>
          </w:tcPr>
          <w:p>
            <w:pPr>
              <w:jc w:val="right"/>
            </w:pPr>
            <w:r>
              <w:rPr>
                <w:rFonts w:ascii="Times New Roman" w:cs="Times New Roman" w:eastAsia="Times New Roman" w:hAnsi="Times New Roman"/>
                <w:b w:val="false"/>
                <w:bCs w:val="false"/>
                <w:sz w:val="18"/>
                <w:szCs w:val="18"/>
              </w:rPr>
              <w:t xml:space="preserve">Home Depot, Inc.</w:t>
            </w:r>
          </w:p>
        </w:tc>
        <w:tc>
          <w:tcPr>
            <w:tcW w:type="dxa" w:w="1872"/>
          </w:tcPr>
          <w:p>
            <w:pPr>
              <w:jc w:val="right"/>
            </w:pPr>
            <w:r>
              <w:rPr>
                <w:rFonts w:ascii="Times New Roman" w:cs="Times New Roman" w:eastAsia="Times New Roman" w:hAnsi="Times New Roman"/>
                <w:b w:val="false"/>
                <w:bCs w:val="false"/>
                <w:sz w:val="18"/>
                <w:szCs w:val="18"/>
              </w:rPr>
              <w:t xml:space="preserve">$7,962</w:t>
            </w:r>
          </w:p>
        </w:tc>
        <w:tc>
          <w:tcPr>
            <w:tcW w:type="dxa" w:w="1872"/>
          </w:tcPr>
          <w:p>
            <w:pPr>
              <w:jc w:val="right"/>
            </w:pPr>
            <w:r>
              <w:rPr>
                <w:rFonts w:ascii="Times New Roman" w:cs="Times New Roman" w:eastAsia="Times New Roman" w:hAnsi="Times New Roman"/>
                <w:b w:val="false"/>
                <w:bCs w:val="false"/>
                <w:sz w:val="18"/>
                <w:szCs w:val="18"/>
              </w:rPr>
              <w:t xml:space="preserve">16.1x</w:t>
            </w:r>
          </w:p>
        </w:tc>
      </w:tr>
      <w:tr>
        <w:tc>
          <w:tcPr>
            <w:tcW w:type="dxa" w:w="1872"/>
          </w:tcPr>
          <w:p>
            <w:pPr>
              <w:jc w:val="left"/>
            </w:pPr>
            <w:r>
              <w:rPr>
                <w:rFonts w:ascii="Times New Roman" w:cs="Times New Roman" w:eastAsia="Times New Roman" w:hAnsi="Times New Roman"/>
                <w:b w:val="false"/>
                <w:bCs w:val="false"/>
                <w:sz w:val="18"/>
                <w:szCs w:val="18"/>
              </w:rPr>
              <w:t xml:space="preserve">September 2020</w:t>
            </w:r>
          </w:p>
        </w:tc>
        <w:tc>
          <w:tcPr>
            <w:tcW w:type="dxa" w:w="1872"/>
          </w:tcPr>
          <w:p>
            <w:pPr>
              <w:jc w:val="right"/>
            </w:pPr>
            <w:r>
              <w:rPr>
                <w:rFonts w:ascii="Times New Roman" w:cs="Times New Roman" w:eastAsia="Times New Roman" w:hAnsi="Times New Roman"/>
                <w:b w:val="false"/>
                <w:bCs w:val="false"/>
                <w:sz w:val="18"/>
                <w:szCs w:val="18"/>
              </w:rPr>
              <w:t xml:space="preserve">Windy City Wire Cable &amp; Technology Products LLC</w:t>
            </w:r>
          </w:p>
        </w:tc>
        <w:tc>
          <w:tcPr>
            <w:tcW w:type="dxa" w:w="1872"/>
          </w:tcPr>
          <w:p>
            <w:pPr>
              <w:jc w:val="right"/>
            </w:pPr>
            <w:r>
              <w:rPr>
                <w:rFonts w:ascii="Times New Roman" w:cs="Times New Roman" w:eastAsia="Times New Roman" w:hAnsi="Times New Roman"/>
                <w:b w:val="false"/>
                <w:bCs w:val="false"/>
                <w:sz w:val="18"/>
                <w:szCs w:val="18"/>
              </w:rPr>
              <w:t xml:space="preserve">Diploma PLC</w:t>
            </w:r>
          </w:p>
        </w:tc>
        <w:tc>
          <w:tcPr>
            <w:tcW w:type="dxa" w:w="1872"/>
          </w:tcPr>
          <w:p>
            <w:pPr>
              <w:jc w:val="right"/>
            </w:pPr>
            <w:r>
              <w:rPr>
                <w:rFonts w:ascii="Times New Roman" w:cs="Times New Roman" w:eastAsia="Times New Roman" w:hAnsi="Times New Roman"/>
                <w:b w:val="false"/>
                <w:bCs w:val="false"/>
                <w:sz w:val="18"/>
                <w:szCs w:val="18"/>
              </w:rPr>
              <w:t xml:space="preserve">$450</w:t>
            </w:r>
          </w:p>
        </w:tc>
        <w:tc>
          <w:tcPr>
            <w:tcW w:type="dxa" w:w="1872"/>
          </w:tcPr>
          <w:p>
            <w:pPr>
              <w:jc w:val="right"/>
            </w:pPr>
            <w:r>
              <w:rPr>
                <w:rFonts w:ascii="Times New Roman" w:cs="Times New Roman" w:eastAsia="Times New Roman" w:hAnsi="Times New Roman"/>
                <w:b w:val="false"/>
                <w:bCs w:val="false"/>
                <w:sz w:val="18"/>
                <w:szCs w:val="18"/>
              </w:rPr>
              <w:t xml:space="preserve">10.1x (8)</w:t>
            </w:r>
          </w:p>
        </w:tc>
      </w:tr>
      <w:tr>
        <w:tc>
          <w:tcPr>
            <w:tcW w:type="dxa" w:w="1872"/>
          </w:tcPr>
          <w:p>
            <w:pPr>
              <w:jc w:val="left"/>
            </w:pPr>
            <w:r>
              <w:rPr>
                <w:rFonts w:ascii="Times New Roman" w:cs="Times New Roman" w:eastAsia="Times New Roman" w:hAnsi="Times New Roman"/>
                <w:b w:val="false"/>
                <w:bCs w:val="false"/>
                <w:sz w:val="18"/>
                <w:szCs w:val="18"/>
              </w:rPr>
              <w:t xml:space="preserve">Max</w:t>
            </w:r>
          </w:p>
        </w:tc>
        <w:tc>
          <w:tcPr>
            <w:tcW w:type="dxa" w:w="1872"/>
          </w:tcPr>
          <w:p>
            <w:pPr>
              <w:jc w:val="right"/>
            </w:pPr>
            <w:r>
              <w:rPr>
                <w:rFonts w:ascii="Times New Roman" w:cs="Times New Roman" w:eastAsia="Times New Roman" w:hAnsi="Times New Roman"/>
                <w:b w:val="false"/>
                <w:bCs w:val="false"/>
                <w:sz w:val="18"/>
                <w:szCs w:val="18"/>
              </w:rPr>
              <w:t xml:space="preserve"/>
            </w:r>
          </w:p>
        </w:tc>
        <w:tc>
          <w:tcPr>
            <w:tcW w:type="dxa" w:w="1872"/>
          </w:tcPr>
          <w:p>
            <w:pPr>
              <w:jc w:val="right"/>
            </w:pPr>
            <w:r>
              <w:rPr>
                <w:rFonts w:ascii="Times New Roman" w:cs="Times New Roman" w:eastAsia="Times New Roman" w:hAnsi="Times New Roman"/>
                <w:b w:val="false"/>
                <w:bCs w:val="false"/>
                <w:sz w:val="18"/>
                <w:szCs w:val="18"/>
              </w:rPr>
              <w:t xml:space="preserve"/>
            </w:r>
          </w:p>
        </w:tc>
        <w:tc>
          <w:tcPr>
            <w:tcW w:type="dxa" w:w="1872"/>
          </w:tcPr>
          <w:p>
            <w:pPr>
              <w:jc w:val="right"/>
            </w:pPr>
            <w:r>
              <w:rPr>
                <w:rFonts w:ascii="Times New Roman" w:cs="Times New Roman" w:eastAsia="Times New Roman" w:hAnsi="Times New Roman"/>
                <w:b w:val="false"/>
                <w:bCs w:val="false"/>
                <w:sz w:val="18"/>
                <w:szCs w:val="18"/>
              </w:rPr>
              <w:t xml:space="preserve">$18,250</w:t>
            </w:r>
          </w:p>
        </w:tc>
        <w:tc>
          <w:tcPr>
            <w:tcW w:type="dxa" w:w="1872"/>
          </w:tcPr>
          <w:p>
            <w:pPr>
              <w:jc w:val="right"/>
            </w:pPr>
            <w:r>
              <w:rPr>
                <w:rFonts w:ascii="Times New Roman" w:cs="Times New Roman" w:eastAsia="Times New Roman" w:hAnsi="Times New Roman"/>
                <w:b w:val="false"/>
                <w:bCs w:val="false"/>
                <w:sz w:val="18"/>
                <w:szCs w:val="18"/>
              </w:rPr>
              <w:t xml:space="preserve">17.3x</w:t>
            </w:r>
          </w:p>
        </w:tc>
      </w:tr>
      <w:tr>
        <w:tc>
          <w:tcPr>
            <w:tcW w:type="dxa" w:w="1872"/>
          </w:tcPr>
          <w:p>
            <w:pPr>
              <w:jc w:val="left"/>
            </w:pPr>
            <w:r>
              <w:rPr>
                <w:rFonts w:ascii="Times New Roman" w:cs="Times New Roman" w:eastAsia="Times New Roman" w:hAnsi="Times New Roman"/>
                <w:b w:val="false"/>
                <w:bCs w:val="false"/>
                <w:sz w:val="18"/>
                <w:szCs w:val="18"/>
              </w:rPr>
              <w:t xml:space="preserve">Mean</w:t>
            </w:r>
          </w:p>
        </w:tc>
        <w:tc>
          <w:tcPr>
            <w:tcW w:type="dxa" w:w="1872"/>
          </w:tcPr>
          <w:p>
            <w:pPr>
              <w:jc w:val="right"/>
            </w:pPr>
            <w:r>
              <w:rPr>
                <w:rFonts w:ascii="Times New Roman" w:cs="Times New Roman" w:eastAsia="Times New Roman" w:hAnsi="Times New Roman"/>
                <w:b w:val="false"/>
                <w:bCs w:val="false"/>
                <w:sz w:val="18"/>
                <w:szCs w:val="18"/>
              </w:rPr>
              <w:t xml:space="preserve"/>
            </w:r>
          </w:p>
        </w:tc>
        <w:tc>
          <w:tcPr>
            <w:tcW w:type="dxa" w:w="1872"/>
          </w:tcPr>
          <w:p>
            <w:pPr>
              <w:jc w:val="right"/>
            </w:pPr>
            <w:r>
              <w:rPr>
                <w:rFonts w:ascii="Times New Roman" w:cs="Times New Roman" w:eastAsia="Times New Roman" w:hAnsi="Times New Roman"/>
                <w:b w:val="false"/>
                <w:bCs w:val="false"/>
                <w:sz w:val="18"/>
                <w:szCs w:val="18"/>
              </w:rPr>
              <w:t xml:space="preserve"/>
            </w:r>
          </w:p>
        </w:tc>
        <w:tc>
          <w:tcPr>
            <w:tcW w:type="dxa" w:w="1872"/>
          </w:tcPr>
          <w:p>
            <w:pPr>
              <w:jc w:val="right"/>
            </w:pPr>
            <w:r>
              <w:rPr>
                <w:rFonts w:ascii="Times New Roman" w:cs="Times New Roman" w:eastAsia="Times New Roman" w:hAnsi="Times New Roman"/>
                <w:b w:val="false"/>
                <w:bCs w:val="false"/>
                <w:sz w:val="18"/>
                <w:szCs w:val="18"/>
              </w:rPr>
              <w:t xml:space="preserve">$6,138</w:t>
            </w:r>
          </w:p>
        </w:tc>
        <w:tc>
          <w:tcPr>
            <w:tcW w:type="dxa" w:w="1872"/>
          </w:tcPr>
          <w:p>
            <w:pPr>
              <w:jc w:val="right"/>
            </w:pPr>
            <w:r>
              <w:rPr>
                <w:rFonts w:ascii="Times New Roman" w:cs="Times New Roman" w:eastAsia="Times New Roman" w:hAnsi="Times New Roman"/>
                <w:b w:val="false"/>
                <w:bCs w:val="false"/>
                <w:sz w:val="18"/>
                <w:szCs w:val="18"/>
              </w:rPr>
              <w:t xml:space="preserve">12.4x</w:t>
            </w:r>
          </w:p>
        </w:tc>
      </w:tr>
      <w:tr>
        <w:tc>
          <w:tcPr>
            <w:tcW w:type="dxa" w:w="1872"/>
          </w:tcPr>
          <w:p>
            <w:pPr>
              <w:jc w:val="left"/>
            </w:pPr>
            <w:r>
              <w:rPr>
                <w:rFonts w:ascii="Times New Roman" w:cs="Times New Roman" w:eastAsia="Times New Roman" w:hAnsi="Times New Roman"/>
                <w:b w:val="false"/>
                <w:bCs w:val="false"/>
                <w:sz w:val="18"/>
                <w:szCs w:val="18"/>
              </w:rPr>
              <w:t xml:space="preserve">Median</w:t>
            </w:r>
          </w:p>
        </w:tc>
        <w:tc>
          <w:tcPr>
            <w:tcW w:type="dxa" w:w="1872"/>
          </w:tcPr>
          <w:p>
            <w:pPr>
              <w:jc w:val="right"/>
            </w:pPr>
            <w:r>
              <w:rPr>
                <w:rFonts w:ascii="Times New Roman" w:cs="Times New Roman" w:eastAsia="Times New Roman" w:hAnsi="Times New Roman"/>
                <w:b w:val="false"/>
                <w:bCs w:val="false"/>
                <w:sz w:val="18"/>
                <w:szCs w:val="18"/>
              </w:rPr>
              <w:t xml:space="preserve"/>
            </w:r>
          </w:p>
        </w:tc>
        <w:tc>
          <w:tcPr>
            <w:tcW w:type="dxa" w:w="1872"/>
          </w:tcPr>
          <w:p>
            <w:pPr>
              <w:jc w:val="right"/>
            </w:pPr>
            <w:r>
              <w:rPr>
                <w:rFonts w:ascii="Times New Roman" w:cs="Times New Roman" w:eastAsia="Times New Roman" w:hAnsi="Times New Roman"/>
                <w:b w:val="false"/>
                <w:bCs w:val="false"/>
                <w:sz w:val="18"/>
                <w:szCs w:val="18"/>
              </w:rPr>
              <w:t xml:space="preserve"/>
            </w:r>
          </w:p>
        </w:tc>
        <w:tc>
          <w:tcPr>
            <w:tcW w:type="dxa" w:w="1872"/>
          </w:tcPr>
          <w:p>
            <w:pPr>
              <w:jc w:val="right"/>
            </w:pPr>
            <w:r>
              <w:rPr>
                <w:rFonts w:ascii="Times New Roman" w:cs="Times New Roman" w:eastAsia="Times New Roman" w:hAnsi="Times New Roman"/>
                <w:b w:val="false"/>
                <w:bCs w:val="false"/>
                <w:sz w:val="18"/>
                <w:szCs w:val="18"/>
              </w:rPr>
              <w:t xml:space="preserve">$4,076</w:t>
            </w:r>
          </w:p>
        </w:tc>
        <w:tc>
          <w:tcPr>
            <w:tcW w:type="dxa" w:w="1872"/>
          </w:tcPr>
          <w:p>
            <w:pPr>
              <w:jc w:val="right"/>
            </w:pPr>
            <w:r>
              <w:rPr>
                <w:rFonts w:ascii="Times New Roman" w:cs="Times New Roman" w:eastAsia="Times New Roman" w:hAnsi="Times New Roman"/>
                <w:b w:val="false"/>
                <w:bCs w:val="false"/>
                <w:sz w:val="18"/>
                <w:szCs w:val="18"/>
              </w:rPr>
              <w:t xml:space="preserve">11.3x</w:t>
            </w:r>
          </w:p>
        </w:tc>
      </w:tr>
      <w:tr>
        <w:tc>
          <w:tcPr>
            <w:tcW w:type="dxa" w:w="1872"/>
          </w:tcPr>
          <w:p>
            <w:pPr>
              <w:jc w:val="left"/>
            </w:pPr>
            <w:r>
              <w:rPr>
                <w:rFonts w:ascii="Times New Roman" w:cs="Times New Roman" w:eastAsia="Times New Roman" w:hAnsi="Times New Roman"/>
                <w:b w:val="false"/>
                <w:bCs w:val="false"/>
                <w:sz w:val="18"/>
                <w:szCs w:val="18"/>
              </w:rPr>
              <w:t xml:space="preserve">Min</w:t>
            </w:r>
          </w:p>
        </w:tc>
        <w:tc>
          <w:tcPr>
            <w:tcW w:type="dxa" w:w="1872"/>
          </w:tcPr>
          <w:p>
            <w:pPr>
              <w:jc w:val="right"/>
            </w:pPr>
            <w:r>
              <w:rPr>
                <w:rFonts w:ascii="Times New Roman" w:cs="Times New Roman" w:eastAsia="Times New Roman" w:hAnsi="Times New Roman"/>
                <w:b w:val="false"/>
                <w:bCs w:val="false"/>
                <w:sz w:val="18"/>
                <w:szCs w:val="18"/>
              </w:rPr>
              <w:t xml:space="preserve"/>
            </w:r>
          </w:p>
        </w:tc>
        <w:tc>
          <w:tcPr>
            <w:tcW w:type="dxa" w:w="1872"/>
          </w:tcPr>
          <w:p>
            <w:pPr>
              <w:jc w:val="right"/>
            </w:pPr>
            <w:r>
              <w:rPr>
                <w:rFonts w:ascii="Times New Roman" w:cs="Times New Roman" w:eastAsia="Times New Roman" w:hAnsi="Times New Roman"/>
                <w:b w:val="false"/>
                <w:bCs w:val="false"/>
                <w:sz w:val="18"/>
                <w:szCs w:val="18"/>
              </w:rPr>
              <w:t xml:space="preserve"/>
            </w:r>
          </w:p>
        </w:tc>
        <w:tc>
          <w:tcPr>
            <w:tcW w:type="dxa" w:w="1872"/>
          </w:tcPr>
          <w:p>
            <w:pPr>
              <w:jc w:val="right"/>
            </w:pPr>
            <w:r>
              <w:rPr>
                <w:rFonts w:ascii="Times New Roman" w:cs="Times New Roman" w:eastAsia="Times New Roman" w:hAnsi="Times New Roman"/>
                <w:b w:val="false"/>
                <w:bCs w:val="false"/>
                <w:sz w:val="18"/>
                <w:szCs w:val="18"/>
              </w:rPr>
              <w:t xml:space="preserve">$273</w:t>
            </w:r>
          </w:p>
        </w:tc>
        <w:tc>
          <w:tcPr>
            <w:tcW w:type="dxa" w:w="1872"/>
          </w:tcPr>
          <w:p>
            <w:pPr>
              <w:jc w:val="right"/>
            </w:pPr>
            <w:r>
              <w:rPr>
                <w:rFonts w:ascii="Times New Roman" w:cs="Times New Roman" w:eastAsia="Times New Roman" w:hAnsi="Times New Roman"/>
                <w:b w:val="false"/>
                <w:bCs w:val="false"/>
                <w:sz w:val="18"/>
                <w:szCs w:val="18"/>
              </w:rPr>
              <w:t xml:space="preserve">9.1x</w:t>
            </w:r>
          </w:p>
        </w:tc>
      </w:tr>
    </w:tbl>
    <w:p>
      <w:pPr>
        <w:spacing w:after="120"/>
      </w:pPr>
    </w:p>
    <w:p>
      <w:pPr>
        <w:spacing w:after="160"/>
        <w:jc w:val="both"/>
      </w:pPr>
      <w:r>
        <w:rPr>
          <w:rFonts w:ascii="Times New Roman" w:cs="Times New Roman" w:eastAsia="Times New Roman" w:hAnsi="Times New Roman"/>
          <w:sz w:val="22"/>
          <w:szCs w:val="22"/>
        </w:rPr>
        <w:t xml:space="preserve">(1) LTM Adjusted EBITDA for the calendar year ending December 31, 2024, as reported in the Current Report on Form 8-K filed by Lowe’s Companies, Inc. on August 20, 2025.</w:t>
      </w:r>
    </w:p>
    <w:p>
      <w:pPr>
        <w:spacing w:after="160"/>
        <w:jc w:val="both"/>
      </w:pPr>
      <w:r>
        <w:rPr>
          <w:rFonts w:ascii="Times New Roman" w:cs="Times New Roman" w:eastAsia="Times New Roman" w:hAnsi="Times New Roman"/>
          <w:sz w:val="22"/>
          <w:szCs w:val="22"/>
        </w:rPr>
        <w:t xml:space="preserve">(2) LTM Adjusted EBITDA for the calendar year ending December 31, 2024, as reported in the Lennox International Inc. investor presentation filed on August 18, 2025.</w:t>
      </w:r>
    </w:p>
    <w:p>
      <w:pPr>
        <w:spacing w:after="160"/>
        <w:jc w:val="both"/>
      </w:pPr>
      <w:r>
        <w:rPr>
          <w:rFonts w:ascii="Times New Roman" w:cs="Times New Roman" w:eastAsia="Times New Roman" w:hAnsi="Times New Roman"/>
          <w:sz w:val="22"/>
          <w:szCs w:val="22"/>
        </w:rPr>
        <w:t xml:space="preserve">(3) LTM Adjusted EBITDA expected to be contributed by Hydradyne LLC within 12 months of transaction closing as disclosed in the Current Report on Form 8-K filed on November 22, 2024.</w:t>
      </w:r>
    </w:p>
    <w:p>
      <w:pPr>
        <w:spacing w:after="160"/>
        <w:jc w:val="both"/>
      </w:pPr>
      <w:r>
        <w:rPr>
          <w:rFonts w:ascii="Times New Roman" w:cs="Times New Roman" w:eastAsia="Times New Roman" w:hAnsi="Times New Roman"/>
          <w:sz w:val="22"/>
          <w:szCs w:val="22"/>
        </w:rPr>
        <w:t xml:space="preserve">(4) LTM Adjusted EBITDA for the calendar year ended December 31, 2023, as reported in the Home Depot, Inc. investor presentation on March 28, 2024.</w:t>
      </w:r>
    </w:p>
    <w:p>
      <w:pPr>
        <w:spacing w:after="160"/>
        <w:jc w:val="both"/>
      </w:pPr>
      <w:r>
        <w:rPr>
          <w:rFonts w:ascii="Times New Roman" w:cs="Times New Roman" w:eastAsia="Times New Roman" w:hAnsi="Times New Roman"/>
          <w:sz w:val="22"/>
          <w:szCs w:val="22"/>
        </w:rPr>
        <w:t xml:space="preserve">(5) LTM Adjusted EBITDA for the fiscal year ending October 31, 2022, as reported in the transaction Current Report on Form 8-K filed by the Company on March 31, 2023. Enterprise value includes $37.5 million in retention bonuses to Hisco, Inc. employees.</w:t>
      </w:r>
    </w:p>
    <w:p>
      <w:pPr>
        <w:spacing w:after="160"/>
        <w:jc w:val="both"/>
      </w:pPr>
      <w:r>
        <w:rPr>
          <w:rFonts w:ascii="Times New Roman" w:cs="Times New Roman" w:eastAsia="Times New Roman" w:hAnsi="Times New Roman"/>
          <w:sz w:val="22"/>
          <w:szCs w:val="22"/>
        </w:rPr>
        <w:t xml:space="preserve">(6) LTM Adjusted EBITDA for the calendar year 2021, as reported in the transaction press release filed by Roper Technologies, Inc. on June 1, 2022. Excludes $51 million in performance based earnouts.</w:t>
      </w:r>
    </w:p>
    <w:p>
      <w:pPr>
        <w:spacing w:after="160"/>
        <w:jc w:val="both"/>
      </w:pPr>
      <w:r>
        <w:rPr>
          <w:rFonts w:ascii="Times New Roman" w:cs="Times New Roman" w:eastAsia="Times New Roman" w:hAnsi="Times New Roman"/>
          <w:sz w:val="22"/>
          <w:szCs w:val="22"/>
        </w:rPr>
        <w:t xml:space="preserve">(7) Represents LTM Adjusted EBITDA for the calendar year 2022, as reported in the investor presentation filed by Genuine Parts Company on December 16, 2021.</w:t>
      </w:r>
    </w:p>
    <w:p>
      <w:pPr>
        <w:spacing w:after="160"/>
        <w:jc w:val="both"/>
      </w:pPr>
      <w:r>
        <w:rPr>
          <w:rFonts w:ascii="Times New Roman" w:cs="Times New Roman" w:eastAsia="Times New Roman" w:hAnsi="Times New Roman"/>
          <w:sz w:val="22"/>
          <w:szCs w:val="22"/>
        </w:rPr>
        <w:t xml:space="preserve">(8) LTM Adjusted EBITDA for the calendar year 2020, as reported in the Diploma PLC investor presentation filed on September 22, 2020.</w:t>
      </w:r>
    </w:p>
    <w:p>
      <w:pPr>
        <w:spacing w:after="160"/>
        <w:jc w:val="both"/>
      </w:pPr>
      <w:r>
        <w:rPr>
          <w:rFonts w:ascii="Times New Roman" w:cs="Times New Roman" w:eastAsia="Times New Roman" w:hAnsi="Times New Roman"/>
          <w:sz w:val="22"/>
          <w:szCs w:val="22"/>
        </w:rPr>
        <w:t xml:space="preserve">William Blair then used the implied enterprise value of $2,328 million based on the per share Merger Consideration of $35.00 and the net debt of the Company of $685 million as of March 31, 2026, as set forth in and calculated from the Company’s public filings, to derive an implied transaction multiple for the Company for LTM Adjusted EBITDA for the twelve months ended March 31, 2026 of $173 million. William Blair compared the multiple implied for the Company based on the Merger Consideration to the range of transaction multiples of the aggregate group of such selected transactions. Information regarding the multiples from William Blair’s selected transaction analysis is set forth in the following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Pr>
          <w:p>
            <w:pPr>
              <w:jc w:val="left"/>
            </w:pPr>
            <w:r>
              <w:rPr>
                <w:rFonts w:ascii="Times New Roman" w:cs="Times New Roman" w:eastAsia="Times New Roman" w:hAnsi="Times New Roman"/>
                <w:b/>
                <w:bCs/>
                <w:sz w:val="18"/>
                <w:szCs w:val="18"/>
              </w:rPr>
              <w:t xml:space="preserve">Multiple</w:t>
            </w:r>
          </w:p>
        </w:tc>
        <w:tc>
          <w:tcPr>
            <w:tcW w:type="dxa" w:w="1560"/>
          </w:tcPr>
          <w:p>
            <w:pPr>
              <w:jc w:val="right"/>
            </w:pPr>
            <w:r>
              <w:rPr>
                <w:rFonts w:ascii="Times New Roman" w:cs="Times New Roman" w:eastAsia="Times New Roman" w:hAnsi="Times New Roman"/>
                <w:b/>
                <w:bCs/>
                <w:sz w:val="18"/>
                <w:szCs w:val="18"/>
              </w:rPr>
              <w:t xml:space="preserve">Implied Transaction Multiple</w:t>
            </w:r>
          </w:p>
        </w:tc>
        <w:tc>
          <w:tcPr>
            <w:tcW w:type="dxa" w:w="1560"/>
          </w:tcPr>
          <w:p>
            <w:pPr>
              <w:jc w:val="right"/>
            </w:pPr>
            <w:r>
              <w:rPr>
                <w:rFonts w:ascii="Times New Roman" w:cs="Times New Roman" w:eastAsia="Times New Roman" w:hAnsi="Times New Roman"/>
                <w:b/>
                <w:bCs/>
                <w:sz w:val="18"/>
                <w:szCs w:val="18"/>
              </w:rPr>
              <w:t xml:space="preserve">Min.</w:t>
            </w:r>
          </w:p>
        </w:tc>
        <w:tc>
          <w:tcPr>
            <w:tcW w:type="dxa" w:w="1560"/>
          </w:tcPr>
          <w:p>
            <w:pPr>
              <w:jc w:val="right"/>
            </w:pPr>
            <w:r>
              <w:rPr>
                <w:rFonts w:ascii="Times New Roman" w:cs="Times New Roman" w:eastAsia="Times New Roman" w:hAnsi="Times New Roman"/>
                <w:b/>
                <w:bCs/>
                <w:sz w:val="18"/>
                <w:szCs w:val="18"/>
              </w:rPr>
              <w:t xml:space="preserve">Mean</w:t>
            </w:r>
          </w:p>
        </w:tc>
        <w:tc>
          <w:tcPr>
            <w:tcW w:type="dxa" w:w="1560"/>
          </w:tcPr>
          <w:p>
            <w:pPr>
              <w:jc w:val="right"/>
            </w:pPr>
            <w:r>
              <w:rPr>
                <w:rFonts w:ascii="Times New Roman" w:cs="Times New Roman" w:eastAsia="Times New Roman" w:hAnsi="Times New Roman"/>
                <w:b/>
                <w:bCs/>
                <w:sz w:val="18"/>
                <w:szCs w:val="18"/>
              </w:rPr>
              <w:t xml:space="preserve">Median</w:t>
            </w:r>
          </w:p>
        </w:tc>
        <w:tc>
          <w:tcPr>
            <w:tcW w:type="dxa" w:w="1560"/>
          </w:tcPr>
          <w:p>
            <w:pPr>
              <w:jc w:val="right"/>
            </w:pPr>
            <w:r>
              <w:rPr>
                <w:rFonts w:ascii="Times New Roman" w:cs="Times New Roman" w:eastAsia="Times New Roman" w:hAnsi="Times New Roman"/>
                <w:b/>
                <w:bCs/>
                <w:sz w:val="18"/>
                <w:szCs w:val="18"/>
              </w:rPr>
              <w:t xml:space="preserve">Max.</w:t>
            </w:r>
          </w:p>
        </w:tc>
      </w:tr>
      <w:tr>
        <w:tc>
          <w:tcPr>
            <w:tcW w:type="dxa" w:w="1560"/>
          </w:tcPr>
          <w:p>
            <w:pPr>
              <w:jc w:val="left"/>
            </w:pPr>
            <w:r>
              <w:rPr>
                <w:rFonts w:ascii="Times New Roman" w:cs="Times New Roman" w:eastAsia="Times New Roman" w:hAnsi="Times New Roman"/>
                <w:b w:val="false"/>
                <w:bCs w:val="false"/>
                <w:sz w:val="18"/>
                <w:szCs w:val="18"/>
              </w:rPr>
              <w:t xml:space="preserve">Enterprise Value/LTM Adjusted EBITDA — actual</w:t>
            </w:r>
          </w:p>
        </w:tc>
        <w:tc>
          <w:tcPr>
            <w:tcW w:type="dxa" w:w="1560"/>
          </w:tcPr>
          <w:p>
            <w:pPr>
              <w:jc w:val="right"/>
            </w:pPr>
            <w:r>
              <w:rPr>
                <w:rFonts w:ascii="Times New Roman" w:cs="Times New Roman" w:eastAsia="Times New Roman" w:hAnsi="Times New Roman"/>
                <w:b w:val="false"/>
                <w:bCs w:val="false"/>
                <w:sz w:val="18"/>
                <w:szCs w:val="18"/>
              </w:rPr>
              <w:t xml:space="preserve">13.5x</w:t>
            </w:r>
          </w:p>
        </w:tc>
        <w:tc>
          <w:tcPr>
            <w:tcW w:type="dxa" w:w="1560"/>
          </w:tcPr>
          <w:p>
            <w:pPr>
              <w:jc w:val="right"/>
            </w:pPr>
            <w:r>
              <w:rPr>
                <w:rFonts w:ascii="Times New Roman" w:cs="Times New Roman" w:eastAsia="Times New Roman" w:hAnsi="Times New Roman"/>
                <w:b w:val="false"/>
                <w:bCs w:val="false"/>
                <w:sz w:val="18"/>
                <w:szCs w:val="18"/>
              </w:rPr>
              <w:t xml:space="preserve">9.1x</w:t>
            </w:r>
          </w:p>
        </w:tc>
        <w:tc>
          <w:tcPr>
            <w:tcW w:type="dxa" w:w="1560"/>
          </w:tcPr>
          <w:p>
            <w:pPr>
              <w:jc w:val="right"/>
            </w:pPr>
            <w:r>
              <w:rPr>
                <w:rFonts w:ascii="Times New Roman" w:cs="Times New Roman" w:eastAsia="Times New Roman" w:hAnsi="Times New Roman"/>
                <w:b w:val="false"/>
                <w:bCs w:val="false"/>
                <w:sz w:val="18"/>
                <w:szCs w:val="18"/>
              </w:rPr>
              <w:t xml:space="preserve">12.4x</w:t>
            </w:r>
          </w:p>
        </w:tc>
        <w:tc>
          <w:tcPr>
            <w:tcW w:type="dxa" w:w="1560"/>
          </w:tcPr>
          <w:p>
            <w:pPr>
              <w:jc w:val="right"/>
            </w:pPr>
            <w:r>
              <w:rPr>
                <w:rFonts w:ascii="Times New Roman" w:cs="Times New Roman" w:eastAsia="Times New Roman" w:hAnsi="Times New Roman"/>
                <w:b w:val="false"/>
                <w:bCs w:val="false"/>
                <w:sz w:val="18"/>
                <w:szCs w:val="18"/>
              </w:rPr>
              <w:t xml:space="preserve">11.3x</w:t>
            </w:r>
          </w:p>
        </w:tc>
        <w:tc>
          <w:tcPr>
            <w:tcW w:type="dxa" w:w="1560"/>
          </w:tcPr>
          <w:p>
            <w:pPr>
              <w:jc w:val="right"/>
            </w:pPr>
            <w:r>
              <w:rPr>
                <w:rFonts w:ascii="Times New Roman" w:cs="Times New Roman" w:eastAsia="Times New Roman" w:hAnsi="Times New Roman"/>
                <w:b w:val="false"/>
                <w:bCs w:val="false"/>
                <w:sz w:val="18"/>
                <w:szCs w:val="18"/>
              </w:rPr>
              <w:t xml:space="preserve">17.3x</w:t>
            </w:r>
          </w:p>
        </w:tc>
      </w:tr>
    </w:tbl>
    <w:p>
      <w:pPr>
        <w:spacing w:after="120"/>
      </w:pPr>
    </w:p>
    <w:p>
      <w:pPr>
        <w:spacing w:after="160"/>
        <w:jc w:val="both"/>
      </w:pPr>
      <w:r>
        <w:rPr>
          <w:rFonts w:ascii="Times New Roman" w:cs="Times New Roman" w:eastAsia="Times New Roman" w:hAnsi="Times New Roman"/>
          <w:sz w:val="22"/>
          <w:szCs w:val="22"/>
        </w:rPr>
        <w:t xml:space="preserve">William Blair noted that the implied transaction multiple of LTM Adjusted EBITDA for the Company based on the Merger Consideration was within the range of multiples of the selected transactions.</w:t>
      </w:r>
    </w:p>
    <w:p>
      <w:pPr>
        <w:spacing w:after="160"/>
        <w:jc w:val="both"/>
      </w:pPr>
      <w:r>
        <w:rPr>
          <w:rFonts w:ascii="Times New Roman" w:cs="Times New Roman" w:eastAsia="Times New Roman" w:hAnsi="Times New Roman"/>
          <w:sz w:val="22"/>
          <w:szCs w:val="22"/>
        </w:rPr>
        <w:t xml:space="preserve">Although William Blair compared the multiples of the selected transactions to that implied for the Company, none of these transactions or associated companies is directly comparable to the Company or the Merger. Accordingly, any analysis of the selected transactions involved complex considerations and judgments concerning the differences in financial and operating characteristics, parties involved and terms of their transactions and other factors that would affect the analysis of multiples of the selected transactions.</w:t>
      </w:r>
    </w:p>
    <w:p>
      <w:pPr>
        <w:keepNext/>
        <w:spacing w:after="120" w:before="200"/>
      </w:pPr>
      <w:r>
        <w:rPr>
          <w:rFonts w:ascii="Times New Roman" w:cs="Times New Roman" w:eastAsia="Times New Roman" w:hAnsi="Times New Roman"/>
          <w:b/>
          <w:bCs/>
          <w:sz w:val="22"/>
          <w:szCs w:val="22"/>
        </w:rPr>
        <w:t xml:space="preserve">Discounted Cash Flow Analysis</w:t>
      </w:r>
    </w:p>
    <w:p>
      <w:pPr>
        <w:spacing w:after="160"/>
        <w:jc w:val="both"/>
      </w:pPr>
      <w:r>
        <w:rPr>
          <w:rFonts w:ascii="Times New Roman" w:cs="Times New Roman" w:eastAsia="Times New Roman" w:hAnsi="Times New Roman"/>
          <w:sz w:val="22"/>
          <w:szCs w:val="22"/>
        </w:rPr>
        <w:t xml:space="preserve">William Blair utilized the Forecasts to perform a discounted cash flow analysis of the Company’s projected future free cash flows for the fiscal years ending December 31, 2026 through December 31, 2030. Using the discounted cash flow methodology, William Blair calculated the present values of the projected after-tax unlevered free cash flows for the Company, using a valuation date of March 31, 2026 and a mid-year discount convention. The projected unlevered free cash flows were burdened by stock-based compensation. In this analysis, William Blair exercised its professional judgment, based on its experience and expertise, and calculated the assumed terminal value of the Company by utilizing a perpetuity growth rate range of 2.0% to 3.0% applied to calendar year 2030 expected unlevered free cash flows. To discount the projected unlevered free cash flows and assumed terminal value to present value, William Blair used discount rates ranging from 9.0% to 11.0% using its professional judgment, based on its experience and expertise. In performing its analysis, as directed by the management of the Company, William Blair assumed a 29.5% effective tax rate.</w:t>
      </w:r>
    </w:p>
    <w:p>
      <w:pPr>
        <w:spacing w:after="160"/>
        <w:jc w:val="both"/>
      </w:pPr>
      <w:r>
        <w:rPr>
          <w:rFonts w:ascii="Times New Roman" w:cs="Times New Roman" w:eastAsia="Times New Roman" w:hAnsi="Times New Roman"/>
          <w:sz w:val="22"/>
          <w:szCs w:val="22"/>
        </w:rPr>
        <w:t xml:space="preserve">William Blair aggregated the present value of the after-tax unlevered free cash flows over the applicable forecast period, the present value of the potential federal tax savings expected to result from the utilization of the Company’s federal net operating losses of $4 million and the present value of the assumed terminal value. William Blair then derived a range of implied equity values per share by subtracting net debt of $685 million as of March 31, 2026, as set forth in and calculated from the Company’s public filings, and dividing such amount by the Company’s fully diluted shares outstanding as of July 14, 2026 as provided by the Company’s senior management (calculated based on 46,255,422 common shares and 2,258,658 options at a weighted average strike price of $42.29, 424,717 restricted stock units and 115,988 deferred shares). This analysis resulted in a range of implied equity values of $24.86 to $42.63 per share, as compared to the Merger Consideration of $35.00 per share.</w:t>
      </w:r>
    </w:p>
    <w:p>
      <w:pPr>
        <w:keepNext/>
        <w:spacing w:after="120" w:before="200"/>
      </w:pPr>
      <w:r>
        <w:rPr>
          <w:rFonts w:ascii="Times New Roman" w:cs="Times New Roman" w:eastAsia="Times New Roman" w:hAnsi="Times New Roman"/>
          <w:b/>
          <w:bCs/>
          <w:sz w:val="22"/>
          <w:szCs w:val="22"/>
        </w:rPr>
        <w:t xml:space="preserve">Leveraged Buyout Analysis</w:t>
      </w:r>
    </w:p>
    <w:p>
      <w:pPr>
        <w:spacing w:after="160"/>
        <w:jc w:val="both"/>
      </w:pPr>
      <w:r>
        <w:rPr>
          <w:rFonts w:ascii="Times New Roman" w:cs="Times New Roman" w:eastAsia="Times New Roman" w:hAnsi="Times New Roman"/>
          <w:sz w:val="22"/>
          <w:szCs w:val="22"/>
        </w:rPr>
        <w:t xml:space="preserve">William Blair utilized the Forecasts to perform a hypothetical leveraged buyout analysis and calculated the illustrative implied purchase prices at which a leveraged buyout of the Company could occur and yield a target range of annualized internal rates of return from 18.0% to 22.0% for a potential investor, assuming a net leverage ratio of 5.3x LTM Adjusted EBITDA, or total net debt of $920 million, financed with a unitranche facility priced at SOFR plus 500 basis points. In this analysis, William Blair estimated an exit value by utilizing a range of multiples of 9.0x to 11.0x applied to calendar year 2030 Adjusted EBITDA of $357 million (including an estimated $5 million of direct costs associated with the Company’s operations as a public company which would no longer be incurred). The target annualized internal rate of return and the range of total net leverage were derived by William Blair utilizing its professional judgment and experience. For purposes of the analysis William Blair utilized valuation and balance sheet figures as of March 31, 2026 and the Company’s fully diluted shares outstanding as of July 14, 2026 as provided by the Company’s senior management. The analysis assumed a 29.5% effective tax rate, giving effect to the utilization of the Company’s federal net operating losses during the forecast period, and a management option pool of 10.0%. Based on the range of internal rates of return and exit multiples above, this analysis resulted in a range of implied equity value $26.61 to $37.00 per share of Company Common Stock, as compared to the Merger Consideration of $35.00 per share of Company Common Stock.</w:t>
      </w:r>
    </w:p>
    <w:p>
      <w:pPr>
        <w:keepNext/>
        <w:spacing w:after="120" w:before="200"/>
      </w:pPr>
      <w:r>
        <w:rPr>
          <w:rFonts w:ascii="Times New Roman" w:cs="Times New Roman" w:eastAsia="Times New Roman" w:hAnsi="Times New Roman"/>
          <w:b/>
          <w:bCs/>
          <w:sz w:val="22"/>
          <w:szCs w:val="22"/>
        </w:rPr>
        <w:t xml:space="preserve">M&amp;A Premiums Paid Analysis</w:t>
      </w:r>
    </w:p>
    <w:p>
      <w:pPr>
        <w:spacing w:after="160"/>
        <w:jc w:val="both"/>
      </w:pPr>
      <w:r>
        <w:rPr>
          <w:rFonts w:ascii="Times New Roman" w:cs="Times New Roman" w:eastAsia="Times New Roman" w:hAnsi="Times New Roman"/>
          <w:sz w:val="22"/>
          <w:szCs w:val="22"/>
        </w:rPr>
        <w:t xml:space="preserve">William Blair analyzed data from 239 acquisitions of North American publicly traded companies across all industries with transaction equity values between $1 billion and $2 billion that were announced since January 1, 2016. Specifically, William Blair compared the acquisition price per share of each transaction to the closing price of the target company’s stock one day, one week, and one month prior to the announcement of such transaction. William Blair then compared the range of resulting per share price premiums for the reviewed transactions to the premiums implied by the Merger Consideration based on Company’s undisturbed share price of $19.31 as of March 13, 2026 (the last trading day prior to public announcement of the proposal to acquire the Company) and on Company’s closing share prices one week and one month prior to such public announcement. Information regarding the premiums from William Blair’s analysis of selected transactions is set forth in the following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gridCol w:w="850"/>
        <w:gridCol w:w="850"/>
        <w:gridCol w:w="850"/>
        <w:gridCol w:w="850"/>
        <w:gridCol w:w="850"/>
        <w:gridCol w:w="850"/>
        <w:gridCol w:w="850"/>
      </w:tblGrid>
      <w:tr>
        <w:tc>
          <w:tcPr>
            <w:tcW w:type="dxa" w:w="850"/>
          </w:tcPr>
          <w:p>
            <w:pPr>
              <w:jc w:val="left"/>
            </w:pPr>
            <w:r>
              <w:rPr>
                <w:rFonts w:ascii="Times New Roman" w:cs="Times New Roman" w:eastAsia="Times New Roman" w:hAnsi="Times New Roman"/>
                <w:b/>
                <w:bCs/>
                <w:sz w:val="18"/>
                <w:szCs w:val="18"/>
              </w:rPr>
              <w:t xml:space="preserve">Period</w:t>
            </w:r>
          </w:p>
        </w:tc>
        <w:tc>
          <w:tcPr>
            <w:tcW w:type="dxa" w:w="850"/>
          </w:tcPr>
          <w:p>
            <w:pPr>
              <w:jc w:val="right"/>
            </w:pPr>
            <w:r>
              <w:rPr>
                <w:rFonts w:ascii="Times New Roman" w:cs="Times New Roman" w:eastAsia="Times New Roman" w:hAnsi="Times New Roman"/>
                <w:b/>
                <w:bCs/>
                <w:sz w:val="18"/>
                <w:szCs w:val="18"/>
              </w:rPr>
              <w:t xml:space="preserve">Implied Premium at $35.00/share (1)</w:t>
            </w:r>
          </w:p>
        </w:tc>
        <w:tc>
          <w:tcPr>
            <w:tcW w:type="dxa" w:w="850"/>
          </w:tcPr>
          <w:p>
            <w:pPr>
              <w:jc w:val="right"/>
            </w:pPr>
            <w:r>
              <w:rPr>
                <w:rFonts w:ascii="Times New Roman" w:cs="Times New Roman" w:eastAsia="Times New Roman" w:hAnsi="Times New Roman"/>
                <w:b/>
                <w:bCs/>
                <w:sz w:val="18"/>
                <w:szCs w:val="18"/>
              </w:rPr>
              <w:t xml:space="preserve">Premiums Paid Data Percentile: 10th</w:t>
            </w:r>
          </w:p>
        </w:tc>
        <w:tc>
          <w:tcPr>
            <w:tcW w:type="dxa" w:w="850"/>
          </w:tcPr>
          <w:p>
            <w:pPr>
              <w:jc w:val="right"/>
            </w:pPr>
            <w:r>
              <w:rPr>
                <w:rFonts w:ascii="Times New Roman" w:cs="Times New Roman" w:eastAsia="Times New Roman" w:hAnsi="Times New Roman"/>
                <w:b/>
                <w:bCs/>
                <w:sz w:val="18"/>
                <w:szCs w:val="18"/>
              </w:rPr>
              <w:t xml:space="preserve">20th</w:t>
            </w:r>
          </w:p>
        </w:tc>
        <w:tc>
          <w:tcPr>
            <w:tcW w:type="dxa" w:w="850"/>
          </w:tcPr>
          <w:p>
            <w:pPr>
              <w:jc w:val="right"/>
            </w:pPr>
            <w:r>
              <w:rPr>
                <w:rFonts w:ascii="Times New Roman" w:cs="Times New Roman" w:eastAsia="Times New Roman" w:hAnsi="Times New Roman"/>
                <w:b/>
                <w:bCs/>
                <w:sz w:val="18"/>
                <w:szCs w:val="18"/>
              </w:rPr>
              <w:t xml:space="preserve">30th</w:t>
            </w:r>
          </w:p>
        </w:tc>
        <w:tc>
          <w:tcPr>
            <w:tcW w:type="dxa" w:w="850"/>
          </w:tcPr>
          <w:p>
            <w:pPr>
              <w:jc w:val="right"/>
            </w:pPr>
            <w:r>
              <w:rPr>
                <w:rFonts w:ascii="Times New Roman" w:cs="Times New Roman" w:eastAsia="Times New Roman" w:hAnsi="Times New Roman"/>
                <w:b/>
                <w:bCs/>
                <w:sz w:val="18"/>
                <w:szCs w:val="18"/>
              </w:rPr>
              <w:t xml:space="preserve">40th</w:t>
            </w:r>
          </w:p>
        </w:tc>
        <w:tc>
          <w:tcPr>
            <w:tcW w:type="dxa" w:w="850"/>
          </w:tcPr>
          <w:p>
            <w:pPr>
              <w:jc w:val="right"/>
            </w:pPr>
            <w:r>
              <w:rPr>
                <w:rFonts w:ascii="Times New Roman" w:cs="Times New Roman" w:eastAsia="Times New Roman" w:hAnsi="Times New Roman"/>
                <w:b/>
                <w:bCs/>
                <w:sz w:val="18"/>
                <w:szCs w:val="18"/>
              </w:rPr>
              <w:t xml:space="preserve">50th</w:t>
            </w:r>
          </w:p>
        </w:tc>
        <w:tc>
          <w:tcPr>
            <w:tcW w:type="dxa" w:w="850"/>
          </w:tcPr>
          <w:p>
            <w:pPr>
              <w:jc w:val="right"/>
            </w:pPr>
            <w:r>
              <w:rPr>
                <w:rFonts w:ascii="Times New Roman" w:cs="Times New Roman" w:eastAsia="Times New Roman" w:hAnsi="Times New Roman"/>
                <w:b/>
                <w:bCs/>
                <w:sz w:val="18"/>
                <w:szCs w:val="18"/>
              </w:rPr>
              <w:t xml:space="preserve">60th</w:t>
            </w:r>
          </w:p>
        </w:tc>
        <w:tc>
          <w:tcPr>
            <w:tcW w:type="dxa" w:w="850"/>
          </w:tcPr>
          <w:p>
            <w:pPr>
              <w:jc w:val="right"/>
            </w:pPr>
            <w:r>
              <w:rPr>
                <w:rFonts w:ascii="Times New Roman" w:cs="Times New Roman" w:eastAsia="Times New Roman" w:hAnsi="Times New Roman"/>
                <w:b/>
                <w:bCs/>
                <w:sz w:val="18"/>
                <w:szCs w:val="18"/>
              </w:rPr>
              <w:t xml:space="preserve">70th</w:t>
            </w:r>
          </w:p>
        </w:tc>
        <w:tc>
          <w:tcPr>
            <w:tcW w:type="dxa" w:w="850"/>
          </w:tcPr>
          <w:p>
            <w:pPr>
              <w:jc w:val="right"/>
            </w:pPr>
            <w:r>
              <w:rPr>
                <w:rFonts w:ascii="Times New Roman" w:cs="Times New Roman" w:eastAsia="Times New Roman" w:hAnsi="Times New Roman"/>
                <w:b/>
                <w:bCs/>
                <w:sz w:val="18"/>
                <w:szCs w:val="18"/>
              </w:rPr>
              <w:t xml:space="preserve">80th</w:t>
            </w:r>
          </w:p>
        </w:tc>
        <w:tc>
          <w:tcPr>
            <w:tcW w:type="dxa" w:w="850"/>
          </w:tcPr>
          <w:p>
            <w:pPr>
              <w:jc w:val="right"/>
            </w:pPr>
            <w:r>
              <w:rPr>
                <w:rFonts w:ascii="Times New Roman" w:cs="Times New Roman" w:eastAsia="Times New Roman" w:hAnsi="Times New Roman"/>
                <w:b/>
                <w:bCs/>
                <w:sz w:val="18"/>
                <w:szCs w:val="18"/>
              </w:rPr>
              <w:t xml:space="preserve">90th</w:t>
            </w:r>
          </w:p>
        </w:tc>
      </w:tr>
      <w:tr>
        <w:tc>
          <w:tcPr>
            <w:tcW w:type="dxa" w:w="850"/>
          </w:tcPr>
          <w:p>
            <w:pPr>
              <w:jc w:val="left"/>
            </w:pPr>
            <w:r>
              <w:rPr>
                <w:rFonts w:ascii="Times New Roman" w:cs="Times New Roman" w:eastAsia="Times New Roman" w:hAnsi="Times New Roman"/>
                <w:b w:val="false"/>
                <w:bCs w:val="false"/>
                <w:sz w:val="18"/>
                <w:szCs w:val="18"/>
              </w:rPr>
              <w:t xml:space="preserve">One Day Prior</w:t>
            </w:r>
          </w:p>
        </w:tc>
        <w:tc>
          <w:tcPr>
            <w:tcW w:type="dxa" w:w="850"/>
          </w:tcPr>
          <w:p>
            <w:pPr>
              <w:jc w:val="right"/>
            </w:pPr>
            <w:r>
              <w:rPr>
                <w:rFonts w:ascii="Times New Roman" w:cs="Times New Roman" w:eastAsia="Times New Roman" w:hAnsi="Times New Roman"/>
                <w:b w:val="false"/>
                <w:bCs w:val="false"/>
                <w:sz w:val="18"/>
                <w:szCs w:val="18"/>
              </w:rPr>
              <w:t xml:space="preserve">81.3%</w:t>
            </w:r>
          </w:p>
        </w:tc>
        <w:tc>
          <w:tcPr>
            <w:tcW w:type="dxa" w:w="850"/>
          </w:tcPr>
          <w:p>
            <w:pPr>
              <w:jc w:val="right"/>
            </w:pPr>
            <w:r>
              <w:rPr>
                <w:rFonts w:ascii="Times New Roman" w:cs="Times New Roman" w:eastAsia="Times New Roman" w:hAnsi="Times New Roman"/>
                <w:b w:val="false"/>
                <w:bCs w:val="false"/>
                <w:sz w:val="18"/>
                <w:szCs w:val="18"/>
              </w:rPr>
              <w:t xml:space="preserve">(0.7%)</w:t>
            </w:r>
          </w:p>
        </w:tc>
        <w:tc>
          <w:tcPr>
            <w:tcW w:type="dxa" w:w="850"/>
          </w:tcPr>
          <w:p>
            <w:pPr>
              <w:jc w:val="right"/>
            </w:pPr>
            <w:r>
              <w:rPr>
                <w:rFonts w:ascii="Times New Roman" w:cs="Times New Roman" w:eastAsia="Times New Roman" w:hAnsi="Times New Roman"/>
                <w:b w:val="false"/>
                <w:bCs w:val="false"/>
                <w:sz w:val="18"/>
                <w:szCs w:val="18"/>
              </w:rPr>
              <w:t xml:space="preserve">5.9%</w:t>
            </w:r>
          </w:p>
        </w:tc>
        <w:tc>
          <w:tcPr>
            <w:tcW w:type="dxa" w:w="850"/>
          </w:tcPr>
          <w:p>
            <w:pPr>
              <w:jc w:val="right"/>
            </w:pPr>
            <w:r>
              <w:rPr>
                <w:rFonts w:ascii="Times New Roman" w:cs="Times New Roman" w:eastAsia="Times New Roman" w:hAnsi="Times New Roman"/>
                <w:b w:val="false"/>
                <w:bCs w:val="false"/>
                <w:sz w:val="18"/>
                <w:szCs w:val="18"/>
              </w:rPr>
              <w:t xml:space="preserve">12.2%</w:t>
            </w:r>
          </w:p>
        </w:tc>
        <w:tc>
          <w:tcPr>
            <w:tcW w:type="dxa" w:w="850"/>
          </w:tcPr>
          <w:p>
            <w:pPr>
              <w:jc w:val="right"/>
            </w:pPr>
            <w:r>
              <w:rPr>
                <w:rFonts w:ascii="Times New Roman" w:cs="Times New Roman" w:eastAsia="Times New Roman" w:hAnsi="Times New Roman"/>
                <w:b w:val="false"/>
                <w:bCs w:val="false"/>
                <w:sz w:val="18"/>
                <w:szCs w:val="18"/>
              </w:rPr>
              <w:t xml:space="preserve">17.2%</w:t>
            </w:r>
          </w:p>
        </w:tc>
        <w:tc>
          <w:tcPr>
            <w:tcW w:type="dxa" w:w="850"/>
          </w:tcPr>
          <w:p>
            <w:pPr>
              <w:jc w:val="right"/>
            </w:pPr>
            <w:r>
              <w:rPr>
                <w:rFonts w:ascii="Times New Roman" w:cs="Times New Roman" w:eastAsia="Times New Roman" w:hAnsi="Times New Roman"/>
                <w:b w:val="false"/>
                <w:bCs w:val="false"/>
                <w:sz w:val="18"/>
                <w:szCs w:val="18"/>
              </w:rPr>
              <w:t xml:space="preserve">22.9%</w:t>
            </w:r>
          </w:p>
        </w:tc>
        <w:tc>
          <w:tcPr>
            <w:tcW w:type="dxa" w:w="850"/>
          </w:tcPr>
          <w:p>
            <w:pPr>
              <w:jc w:val="right"/>
            </w:pPr>
            <w:r>
              <w:rPr>
                <w:rFonts w:ascii="Times New Roman" w:cs="Times New Roman" w:eastAsia="Times New Roman" w:hAnsi="Times New Roman"/>
                <w:b w:val="false"/>
                <w:bCs w:val="false"/>
                <w:sz w:val="18"/>
                <w:szCs w:val="18"/>
              </w:rPr>
              <w:t xml:space="preserve">29.9%</w:t>
            </w:r>
          </w:p>
        </w:tc>
        <w:tc>
          <w:tcPr>
            <w:tcW w:type="dxa" w:w="850"/>
          </w:tcPr>
          <w:p>
            <w:pPr>
              <w:jc w:val="right"/>
            </w:pPr>
            <w:r>
              <w:rPr>
                <w:rFonts w:ascii="Times New Roman" w:cs="Times New Roman" w:eastAsia="Times New Roman" w:hAnsi="Times New Roman"/>
                <w:b w:val="false"/>
                <w:bCs w:val="false"/>
                <w:sz w:val="18"/>
                <w:szCs w:val="18"/>
              </w:rPr>
              <w:t xml:space="preserve">45.0%</w:t>
            </w:r>
          </w:p>
        </w:tc>
        <w:tc>
          <w:tcPr>
            <w:tcW w:type="dxa" w:w="850"/>
          </w:tcPr>
          <w:p>
            <w:pPr>
              <w:jc w:val="right"/>
            </w:pPr>
            <w:r>
              <w:rPr>
                <w:rFonts w:ascii="Times New Roman" w:cs="Times New Roman" w:eastAsia="Times New Roman" w:hAnsi="Times New Roman"/>
                <w:b w:val="false"/>
                <w:bCs w:val="false"/>
                <w:sz w:val="18"/>
                <w:szCs w:val="18"/>
              </w:rPr>
              <w:t xml:space="preserve">57.9%</w:t>
            </w:r>
          </w:p>
        </w:tc>
        <w:tc>
          <w:tcPr>
            <w:tcW w:type="dxa" w:w="850"/>
          </w:tcPr>
          <w:p>
            <w:pPr>
              <w:jc w:val="right"/>
            </w:pPr>
            <w:r>
              <w:rPr>
                <w:rFonts w:ascii="Times New Roman" w:cs="Times New Roman" w:eastAsia="Times New Roman" w:hAnsi="Times New Roman"/>
                <w:b w:val="false"/>
                <w:bCs w:val="false"/>
                <w:sz w:val="18"/>
                <w:szCs w:val="18"/>
              </w:rPr>
              <w:t xml:space="preserve">79.4%</w:t>
            </w:r>
          </w:p>
        </w:tc>
      </w:tr>
      <w:tr>
        <w:tc>
          <w:tcPr>
            <w:tcW w:type="dxa" w:w="850"/>
          </w:tcPr>
          <w:p>
            <w:pPr>
              <w:jc w:val="left"/>
            </w:pPr>
            <w:r>
              <w:rPr>
                <w:rFonts w:ascii="Times New Roman" w:cs="Times New Roman" w:eastAsia="Times New Roman" w:hAnsi="Times New Roman"/>
                <w:b w:val="false"/>
                <w:bCs w:val="false"/>
                <w:sz w:val="18"/>
                <w:szCs w:val="18"/>
              </w:rPr>
              <w:t xml:space="preserve">One Week Prior</w:t>
            </w:r>
          </w:p>
        </w:tc>
        <w:tc>
          <w:tcPr>
            <w:tcW w:type="dxa" w:w="850"/>
          </w:tcPr>
          <w:p>
            <w:pPr>
              <w:jc w:val="right"/>
            </w:pPr>
            <w:r>
              <w:rPr>
                <w:rFonts w:ascii="Times New Roman" w:cs="Times New Roman" w:eastAsia="Times New Roman" w:hAnsi="Times New Roman"/>
                <w:b w:val="false"/>
                <w:bCs w:val="false"/>
                <w:sz w:val="18"/>
                <w:szCs w:val="18"/>
              </w:rPr>
              <w:t xml:space="preserve">58.4%</w:t>
            </w:r>
          </w:p>
        </w:tc>
        <w:tc>
          <w:tcPr>
            <w:tcW w:type="dxa" w:w="850"/>
          </w:tcPr>
          <w:p>
            <w:pPr>
              <w:jc w:val="right"/>
            </w:pPr>
            <w:r>
              <w:rPr>
                <w:rFonts w:ascii="Times New Roman" w:cs="Times New Roman" w:eastAsia="Times New Roman" w:hAnsi="Times New Roman"/>
                <w:b w:val="false"/>
                <w:bCs w:val="false"/>
                <w:sz w:val="18"/>
                <w:szCs w:val="18"/>
              </w:rPr>
              <w:t xml:space="preserve">(1.2%)</w:t>
            </w:r>
          </w:p>
        </w:tc>
        <w:tc>
          <w:tcPr>
            <w:tcW w:type="dxa" w:w="850"/>
          </w:tcPr>
          <w:p>
            <w:pPr>
              <w:jc w:val="right"/>
            </w:pPr>
            <w:r>
              <w:rPr>
                <w:rFonts w:ascii="Times New Roman" w:cs="Times New Roman" w:eastAsia="Times New Roman" w:hAnsi="Times New Roman"/>
                <w:b w:val="false"/>
                <w:bCs w:val="false"/>
                <w:sz w:val="18"/>
                <w:szCs w:val="18"/>
              </w:rPr>
              <w:t xml:space="preserve">8.2%</w:t>
            </w:r>
          </w:p>
        </w:tc>
        <w:tc>
          <w:tcPr>
            <w:tcW w:type="dxa" w:w="850"/>
          </w:tcPr>
          <w:p>
            <w:pPr>
              <w:jc w:val="right"/>
            </w:pPr>
            <w:r>
              <w:rPr>
                <w:rFonts w:ascii="Times New Roman" w:cs="Times New Roman" w:eastAsia="Times New Roman" w:hAnsi="Times New Roman"/>
                <w:b w:val="false"/>
                <w:bCs w:val="false"/>
                <w:sz w:val="18"/>
                <w:szCs w:val="18"/>
              </w:rPr>
              <w:t xml:space="preserve">13.7%</w:t>
            </w:r>
          </w:p>
        </w:tc>
        <w:tc>
          <w:tcPr>
            <w:tcW w:type="dxa" w:w="850"/>
          </w:tcPr>
          <w:p>
            <w:pPr>
              <w:jc w:val="right"/>
            </w:pPr>
            <w:r>
              <w:rPr>
                <w:rFonts w:ascii="Times New Roman" w:cs="Times New Roman" w:eastAsia="Times New Roman" w:hAnsi="Times New Roman"/>
                <w:b w:val="false"/>
                <w:bCs w:val="false"/>
                <w:sz w:val="18"/>
                <w:szCs w:val="18"/>
              </w:rPr>
              <w:t xml:space="preserve">18.0%</w:t>
            </w:r>
          </w:p>
        </w:tc>
        <w:tc>
          <w:tcPr>
            <w:tcW w:type="dxa" w:w="850"/>
          </w:tcPr>
          <w:p>
            <w:pPr>
              <w:jc w:val="right"/>
            </w:pPr>
            <w:r>
              <w:rPr>
                <w:rFonts w:ascii="Times New Roman" w:cs="Times New Roman" w:eastAsia="Times New Roman" w:hAnsi="Times New Roman"/>
                <w:b w:val="false"/>
                <w:bCs w:val="false"/>
                <w:sz w:val="18"/>
                <w:szCs w:val="18"/>
              </w:rPr>
              <w:t xml:space="preserve">23.2%</w:t>
            </w:r>
          </w:p>
        </w:tc>
        <w:tc>
          <w:tcPr>
            <w:tcW w:type="dxa" w:w="850"/>
          </w:tcPr>
          <w:p>
            <w:pPr>
              <w:jc w:val="right"/>
            </w:pPr>
            <w:r>
              <w:rPr>
                <w:rFonts w:ascii="Times New Roman" w:cs="Times New Roman" w:eastAsia="Times New Roman" w:hAnsi="Times New Roman"/>
                <w:b w:val="false"/>
                <w:bCs w:val="false"/>
                <w:sz w:val="18"/>
                <w:szCs w:val="18"/>
              </w:rPr>
              <w:t xml:space="preserve">31.5%</w:t>
            </w:r>
          </w:p>
        </w:tc>
        <w:tc>
          <w:tcPr>
            <w:tcW w:type="dxa" w:w="850"/>
          </w:tcPr>
          <w:p>
            <w:pPr>
              <w:jc w:val="right"/>
            </w:pPr>
            <w:r>
              <w:rPr>
                <w:rFonts w:ascii="Times New Roman" w:cs="Times New Roman" w:eastAsia="Times New Roman" w:hAnsi="Times New Roman"/>
                <w:b w:val="false"/>
                <w:bCs w:val="false"/>
                <w:sz w:val="18"/>
                <w:szCs w:val="18"/>
              </w:rPr>
              <w:t xml:space="preserve">44.6%</w:t>
            </w:r>
          </w:p>
        </w:tc>
        <w:tc>
          <w:tcPr>
            <w:tcW w:type="dxa" w:w="850"/>
          </w:tcPr>
          <w:p>
            <w:pPr>
              <w:jc w:val="right"/>
            </w:pPr>
            <w:r>
              <w:rPr>
                <w:rFonts w:ascii="Times New Roman" w:cs="Times New Roman" w:eastAsia="Times New Roman" w:hAnsi="Times New Roman"/>
                <w:b w:val="false"/>
                <w:bCs w:val="false"/>
                <w:sz w:val="18"/>
                <w:szCs w:val="18"/>
              </w:rPr>
              <w:t xml:space="preserve">62.3%</w:t>
            </w:r>
          </w:p>
        </w:tc>
        <w:tc>
          <w:tcPr>
            <w:tcW w:type="dxa" w:w="850"/>
          </w:tcPr>
          <w:p>
            <w:pPr>
              <w:jc w:val="right"/>
            </w:pPr>
            <w:r>
              <w:rPr>
                <w:rFonts w:ascii="Times New Roman" w:cs="Times New Roman" w:eastAsia="Times New Roman" w:hAnsi="Times New Roman"/>
                <w:b w:val="false"/>
                <w:bCs w:val="false"/>
                <w:sz w:val="18"/>
                <w:szCs w:val="18"/>
              </w:rPr>
              <w:t xml:space="preserve">81.3%</w:t>
            </w:r>
          </w:p>
        </w:tc>
      </w:tr>
      <w:tr>
        <w:tc>
          <w:tcPr>
            <w:tcW w:type="dxa" w:w="850"/>
          </w:tcPr>
          <w:p>
            <w:pPr>
              <w:jc w:val="left"/>
            </w:pPr>
            <w:r>
              <w:rPr>
                <w:rFonts w:ascii="Times New Roman" w:cs="Times New Roman" w:eastAsia="Times New Roman" w:hAnsi="Times New Roman"/>
                <w:b w:val="false"/>
                <w:bCs w:val="false"/>
                <w:sz w:val="18"/>
                <w:szCs w:val="18"/>
              </w:rPr>
              <w:t xml:space="preserve">One Month Prior</w:t>
            </w:r>
          </w:p>
        </w:tc>
        <w:tc>
          <w:tcPr>
            <w:tcW w:type="dxa" w:w="850"/>
          </w:tcPr>
          <w:p>
            <w:pPr>
              <w:jc w:val="right"/>
            </w:pPr>
            <w:r>
              <w:rPr>
                <w:rFonts w:ascii="Times New Roman" w:cs="Times New Roman" w:eastAsia="Times New Roman" w:hAnsi="Times New Roman"/>
                <w:b w:val="false"/>
                <w:bCs w:val="false"/>
                <w:sz w:val="18"/>
                <w:szCs w:val="18"/>
              </w:rPr>
              <w:t xml:space="preserve">13.5%</w:t>
            </w:r>
          </w:p>
        </w:tc>
        <w:tc>
          <w:tcPr>
            <w:tcW w:type="dxa" w:w="850"/>
          </w:tcPr>
          <w:p>
            <w:pPr>
              <w:jc w:val="right"/>
            </w:pPr>
            <w:r>
              <w:rPr>
                <w:rFonts w:ascii="Times New Roman" w:cs="Times New Roman" w:eastAsia="Times New Roman" w:hAnsi="Times New Roman"/>
                <w:b w:val="false"/>
                <w:bCs w:val="false"/>
                <w:sz w:val="18"/>
                <w:szCs w:val="18"/>
              </w:rPr>
              <w:t xml:space="preserve">(2.1%)</w:t>
            </w:r>
          </w:p>
        </w:tc>
        <w:tc>
          <w:tcPr>
            <w:tcW w:type="dxa" w:w="850"/>
          </w:tcPr>
          <w:p>
            <w:pPr>
              <w:jc w:val="right"/>
            </w:pPr>
            <w:r>
              <w:rPr>
                <w:rFonts w:ascii="Times New Roman" w:cs="Times New Roman" w:eastAsia="Times New Roman" w:hAnsi="Times New Roman"/>
                <w:b w:val="false"/>
                <w:bCs w:val="false"/>
                <w:sz w:val="18"/>
                <w:szCs w:val="18"/>
              </w:rPr>
              <w:t xml:space="preserve">11.5%</w:t>
            </w:r>
          </w:p>
        </w:tc>
        <w:tc>
          <w:tcPr>
            <w:tcW w:type="dxa" w:w="850"/>
          </w:tcPr>
          <w:p>
            <w:pPr>
              <w:jc w:val="right"/>
            </w:pPr>
            <w:r>
              <w:rPr>
                <w:rFonts w:ascii="Times New Roman" w:cs="Times New Roman" w:eastAsia="Times New Roman" w:hAnsi="Times New Roman"/>
                <w:b w:val="false"/>
                <w:bCs w:val="false"/>
                <w:sz w:val="18"/>
                <w:szCs w:val="18"/>
              </w:rPr>
              <w:t xml:space="preserve">17.6%</w:t>
            </w:r>
          </w:p>
        </w:tc>
        <w:tc>
          <w:tcPr>
            <w:tcW w:type="dxa" w:w="850"/>
          </w:tcPr>
          <w:p>
            <w:pPr>
              <w:jc w:val="right"/>
            </w:pPr>
            <w:r>
              <w:rPr>
                <w:rFonts w:ascii="Times New Roman" w:cs="Times New Roman" w:eastAsia="Times New Roman" w:hAnsi="Times New Roman"/>
                <w:b w:val="false"/>
                <w:bCs w:val="false"/>
                <w:sz w:val="18"/>
                <w:szCs w:val="18"/>
              </w:rPr>
              <w:t xml:space="preserve">25.0%</w:t>
            </w:r>
          </w:p>
        </w:tc>
        <w:tc>
          <w:tcPr>
            <w:tcW w:type="dxa" w:w="850"/>
          </w:tcPr>
          <w:p>
            <w:pPr>
              <w:jc w:val="right"/>
            </w:pPr>
            <w:r>
              <w:rPr>
                <w:rFonts w:ascii="Times New Roman" w:cs="Times New Roman" w:eastAsia="Times New Roman" w:hAnsi="Times New Roman"/>
                <w:b w:val="false"/>
                <w:bCs w:val="false"/>
                <w:sz w:val="18"/>
                <w:szCs w:val="18"/>
              </w:rPr>
              <w:t xml:space="preserve">31.1%</w:t>
            </w:r>
          </w:p>
        </w:tc>
        <w:tc>
          <w:tcPr>
            <w:tcW w:type="dxa" w:w="850"/>
          </w:tcPr>
          <w:p>
            <w:pPr>
              <w:jc w:val="right"/>
            </w:pPr>
            <w:r>
              <w:rPr>
                <w:rFonts w:ascii="Times New Roman" w:cs="Times New Roman" w:eastAsia="Times New Roman" w:hAnsi="Times New Roman"/>
                <w:b w:val="false"/>
                <w:bCs w:val="false"/>
                <w:sz w:val="18"/>
                <w:szCs w:val="18"/>
              </w:rPr>
              <w:t xml:space="preserve">38.4%</w:t>
            </w:r>
          </w:p>
        </w:tc>
        <w:tc>
          <w:tcPr>
            <w:tcW w:type="dxa" w:w="850"/>
          </w:tcPr>
          <w:p>
            <w:pPr>
              <w:jc w:val="right"/>
            </w:pPr>
            <w:r>
              <w:rPr>
                <w:rFonts w:ascii="Times New Roman" w:cs="Times New Roman" w:eastAsia="Times New Roman" w:hAnsi="Times New Roman"/>
                <w:b w:val="false"/>
                <w:bCs w:val="false"/>
                <w:sz w:val="18"/>
                <w:szCs w:val="18"/>
              </w:rPr>
              <w:t xml:space="preserve">48.7%</w:t>
            </w:r>
          </w:p>
        </w:tc>
        <w:tc>
          <w:tcPr>
            <w:tcW w:type="dxa" w:w="850"/>
          </w:tcPr>
          <w:p>
            <w:pPr>
              <w:jc w:val="right"/>
            </w:pPr>
            <w:r>
              <w:rPr>
                <w:rFonts w:ascii="Times New Roman" w:cs="Times New Roman" w:eastAsia="Times New Roman" w:hAnsi="Times New Roman"/>
                <w:b w:val="false"/>
                <w:bCs w:val="false"/>
                <w:sz w:val="18"/>
                <w:szCs w:val="18"/>
              </w:rPr>
              <w:t xml:space="preserve">63.3%</w:t>
            </w:r>
          </w:p>
        </w:tc>
        <w:tc>
          <w:tcPr>
            <w:tcW w:type="dxa" w:w="850"/>
          </w:tcPr>
          <w:p>
            <w:pPr>
              <w:jc w:val="right"/>
            </w:pPr>
            <w:r>
              <w:rPr>
                <w:rFonts w:ascii="Times New Roman" w:cs="Times New Roman" w:eastAsia="Times New Roman" w:hAnsi="Times New Roman"/>
                <w:b w:val="false"/>
                <w:bCs w:val="false"/>
                <w:sz w:val="18"/>
                <w:szCs w:val="18"/>
              </w:rPr>
              <w:t xml:space="preserve">94.7%</w:t>
            </w:r>
          </w:p>
        </w:tc>
      </w:tr>
    </w:tbl>
    <w:p>
      <w:pPr>
        <w:spacing w:after="120"/>
      </w:pPr>
    </w:p>
    <w:p>
      <w:pPr>
        <w:spacing w:after="160"/>
        <w:jc w:val="both"/>
      </w:pPr>
      <w:r>
        <w:rPr>
          <w:rFonts w:ascii="Times New Roman" w:cs="Times New Roman" w:eastAsia="Times New Roman" w:hAnsi="Times New Roman"/>
          <w:sz w:val="22"/>
          <w:szCs w:val="22"/>
        </w:rPr>
        <w:t xml:space="preserve">(1) Implied premium based on Merger Consideration of $35.00 per share. Relative to undisturbed share price of $19.31 as of March 13, 2026.</w:t>
      </w:r>
    </w:p>
    <w:p>
      <w:pPr>
        <w:spacing w:after="160"/>
        <w:jc w:val="both"/>
      </w:pPr>
      <w:r>
        <w:rPr>
          <w:rFonts w:ascii="Times New Roman" w:cs="Times New Roman" w:eastAsia="Times New Roman" w:hAnsi="Times New Roman"/>
          <w:sz w:val="22"/>
          <w:szCs w:val="22"/>
        </w:rPr>
        <w:t xml:space="preserve">For the Special Committee’s reference only purposes, William Blair also calculated the premiums implied by the Merger Consideration based on Company’s closing share price of $27.59 as of July 14, 2026 and on Company’s closing share prices one week and one month prior thereto. This analysis resulted in implied premiums of 26.9%, 29.9% and 26.3%, respectively.</w:t>
      </w:r>
    </w:p>
    <w:p>
      <w:pPr>
        <w:keepNext/>
        <w:spacing w:after="120" w:before="200"/>
      </w:pPr>
      <w:r>
        <w:rPr>
          <w:rFonts w:ascii="Times New Roman" w:cs="Times New Roman" w:eastAsia="Times New Roman" w:hAnsi="Times New Roman"/>
          <w:b/>
          <w:bCs/>
          <w:sz w:val="22"/>
          <w:szCs w:val="22"/>
        </w:rPr>
        <w:t xml:space="preserve">General</w:t>
      </w:r>
    </w:p>
    <w:p>
      <w:pPr>
        <w:spacing w:after="160"/>
        <w:jc w:val="both"/>
      </w:pPr>
      <w:r>
        <w:rPr>
          <w:rFonts w:ascii="Times New Roman" w:cs="Times New Roman" w:eastAsia="Times New Roman" w:hAnsi="Times New Roman"/>
          <w:sz w:val="22"/>
          <w:szCs w:val="22"/>
        </w:rPr>
        <w:t xml:space="preserve">This summary is not a complete description of the analysis performed by William Blair, but contains the material elements of the analysis. The preparation of an opinion regarding fairness is a complex process involving various determinations as to the most appropriate and relevant methods of financial analysis and the application of those methods to the particular circumstances, and, therefore, such an opinion is not readily susceptible to partial analysis or summary description. The preparation of an opinion regarding fairness does not involve a mathematical evaluation or weighing of the results of the individual analyses performed, but requires William Blair to exercise its professional judgment, based on its experience and expertise, in considering a wide variety of analyses taken as a whole. Each of the analyses conducted by William Blair was carried out in order to provide a different perspective on the Merger Consideration and add to the total mix of information available. The analyses were prepared solely for the purpose of William Blair providing its opinion and do not purport to be appraisals or necessarily reflect the prices at which securities actually may be sold. William Blair did not form a conclusion as to whether any individual analysis, considered in isolation, supported or failed to support an opinion about the fairness of the Merger Consideration to be received by the Disinterested Stockholders, other than the holders of Excluded Shares. Rather, in rendering its oral opinion on July 15, 2026 (subsequently confirmed in its written opinion dated July 15, 2026) to the Special Committee, as of that date and based upon and subject to the assumptions, qualifications and limitations stated in its written opinion, as to whether the Merger Consideration to be received by the Disinterested Stockholders, other than the holders of Excluded Shares, was fair, from a financial point of view, to such stockholders, William Blair considered the results of the analyses in light of each other and ultimately reached its opinion based on the results of all analyses taken as a whole. William Blair’s fairness opinion considered each valuation method equally and did not place any particular reliance or weight on any particular analysis, but instead concluded that its analyses, taken as a whole, supported its determination. Accordingly, notwithstanding the separate factors summarized above, William Blair believes that its analyses must be considered as a whole and that selecting portions of its analyses and the factors considered by it, without considering all analyses and factors, may create an incomplete view of the evaluation process underlying its opinion. No company or transaction used in the above analyses as a comparison is directly comparable to the Company or the Merger. In performing its analyses, William Blair made numerous assumptions with respect to industry performance, business and economic conditions and other matters. The analyses performed by William Blair are not necessarily indicative of future actual values and future results, which may be significantly more or less favorable than suggested by such analyses.</w:t>
      </w:r>
    </w:p>
    <w:p>
      <w:pPr>
        <w:spacing w:after="160"/>
        <w:jc w:val="both"/>
      </w:pPr>
      <w:r>
        <w:rPr>
          <w:rFonts w:ascii="Times New Roman" w:cs="Times New Roman" w:eastAsia="Times New Roman" w:hAnsi="Times New Roman"/>
          <w:sz w:val="22"/>
          <w:szCs w:val="22"/>
        </w:rPr>
        <w:t xml:space="preserve">William Blair has been engaged in the investment banking business since 1935. William Blair continually undertakes the valuation of investment securities in connection with public offerings, private placements, business combinations and similar transactions. In the ordinary course of its business, William Blair may from time to time trade the securities of the Company or other parties involved in the Merger for its own account and for the accounts of its customers, and accordingly may at any time hold a long or short position in such securities. William Blair is familiar with the Company and has acted as an investment banker to the Company in connection with the Merger.</w:t>
      </w:r>
    </w:p>
    <w:p>
      <w:pPr>
        <w:keepNext/>
        <w:spacing w:after="120" w:before="200"/>
      </w:pPr>
      <w:r>
        <w:rPr>
          <w:rFonts w:ascii="Times New Roman" w:cs="Times New Roman" w:eastAsia="Times New Roman" w:hAnsi="Times New Roman"/>
          <w:b/>
          <w:bCs/>
          <w:sz w:val="22"/>
          <w:szCs w:val="22"/>
        </w:rPr>
        <w:t xml:space="preserve">Fees</w:t>
      </w:r>
    </w:p>
    <w:p>
      <w:pPr>
        <w:spacing w:after="160"/>
        <w:jc w:val="both"/>
      </w:pPr>
      <w:r>
        <w:rPr>
          <w:rFonts w:ascii="Times New Roman" w:cs="Times New Roman" w:eastAsia="Times New Roman" w:hAnsi="Times New Roman"/>
          <w:sz w:val="22"/>
          <w:szCs w:val="22"/>
        </w:rPr>
        <w:t xml:space="preserve">Pursuant to a letter agreement with William Blair, a fairness opinion fee of $2.0 million became payable to William Blair upon delivery of its fairness opinion. An additional fee of approximately $4.6 million will become payable to William Blair in connection with the consummation of the Merger and is contingent on consummation of the Merger. No portion of the fees payable to William Blair were contingent on the conclusions reached by William Blair in William Blair’s fairness opinion. In addition, the Company agreed to indemnify William Blair against certain potential liabilities arising out of its engagement.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2026-09-10T04:26:13.273Z</dcterms:created>
  <dcterms:modified xsi:type="dcterms:W3CDTF">2026-09-10T04:26:13.276Z</dcterms:modified>
</cp:coreProperties>
</file>

<file path=docProps/custom.xml><?xml version="1.0" encoding="utf-8"?>
<Properties xmlns="http://schemas.openxmlformats.org/officeDocument/2006/custom-properties" xmlns:vt="http://schemas.openxmlformats.org/officeDocument/2006/docPropsVTypes"/>
</file>