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9E5B63" w14:textId="45B2CFED" w:rsidR="003A7F10" w:rsidRDefault="0002725F">
      <w:pPr>
        <w:pStyle w:val="Heading1"/>
      </w:pPr>
      <w:bookmarkStart w:id="0" w:name="X85ba6f7137ce2a048bef4f212366350f41c385d"/>
      <w:r>
        <w:t xml:space="preserve">UC Davis Proteomics Core </w:t>
      </w:r>
      <w:r w:rsidR="00000000">
        <w:t>Proteogenomics — Capability Summary</w:t>
      </w:r>
    </w:p>
    <w:p w14:paraId="1724AE3F" w14:textId="77777777" w:rsidR="003A7F10" w:rsidRDefault="00000000">
      <w:pPr>
        <w:pStyle w:val="FirstParagraph"/>
      </w:pPr>
      <w:r>
        <w:rPr>
          <w:b/>
          <w:bCs/>
        </w:rPr>
        <w:t>Prepared for:</w:t>
      </w:r>
      <w:r>
        <w:t xml:space="preserve"> Luis Carvajal-Carmona, Ph.D. (Gastric Cancer Proteogenomics R01) </w:t>
      </w:r>
      <w:r>
        <w:rPr>
          <w:b/>
          <w:bCs/>
        </w:rPr>
        <w:t>Date:</w:t>
      </w:r>
      <w:r>
        <w:t xml:space="preserve"> May 26, 2026 </w:t>
      </w:r>
      <w:r>
        <w:rPr>
          <w:b/>
          <w:bCs/>
        </w:rPr>
        <w:t>Source:</w:t>
      </w:r>
      <w:r>
        <w:t xml:space="preserve"> UC Davis Proteomics Core — DE-LIMP development branch</w:t>
      </w:r>
    </w:p>
    <w:p w14:paraId="753D7316" w14:textId="77777777" w:rsidR="003A7F10" w:rsidRDefault="00D603A0">
      <w:r>
        <w:rPr>
          <w:noProof/>
        </w:rPr>
        <w:pict w14:anchorId="3D3A307D">
          <v:rect id="_x0000_i1026" alt="" style="width:468pt;height:.05pt;mso-width-percent:0;mso-height-percent:0;mso-width-percent:0;mso-height-percent:0" o:hralign="center" o:hrstd="t" o:hr="t"/>
        </w:pict>
      </w:r>
    </w:p>
    <w:p w14:paraId="517508C7" w14:textId="77777777" w:rsidR="003A7F10" w:rsidRDefault="00000000">
      <w:pPr>
        <w:pStyle w:val="Heading2"/>
      </w:pPr>
      <w:bookmarkStart w:id="1" w:name="why-this-is-relevant-to-your-r01"/>
      <w:r>
        <w:t>Why this is relevant to your R01</w:t>
      </w:r>
    </w:p>
    <w:p w14:paraId="11DEA8D1" w14:textId="77777777" w:rsidR="003A7F10" w:rsidRDefault="00000000">
      <w:pPr>
        <w:pStyle w:val="FirstParagraph"/>
      </w:pPr>
      <w:r>
        <w:t>Your proposal — 300 gastric tumors, label-free DIA-MS at &gt;6,000-protein depth — is exactly the cohort size and acquisition strategy our proteogenomics infrastructure was built for. Standard reference-proteome searches against UniProt will miss any sample-specific protein products: alternative isoforms, novel ORFs from intergenic transcripts, and (with the optional variant module) patient-specific variant proteoforms. For a cancer with the genetic heterogeneity your prior multi-regional sequencing work has documented, those non-canonical proteins are exactly where novel therapeutic targets and biomarkers will live.</w:t>
      </w:r>
    </w:p>
    <w:p w14:paraId="25FF0A55" w14:textId="77777777" w:rsidR="003A7F10" w:rsidRDefault="00000000">
      <w:pPr>
        <w:pStyle w:val="BodyText"/>
      </w:pPr>
      <w:r>
        <w:t>DE-LIMP’s new Proteogenomics module turns matched RNA-seq into a sample-specific search FASTA that DIA-NN then uses as its target database. The result: every tumor in your cohort is searched against a database constructed from its own (or the cohort’s) RNA-seq, surfacing proteins that no UniProt-only search would find.</w:t>
      </w:r>
    </w:p>
    <w:p w14:paraId="443C1F64" w14:textId="77777777" w:rsidR="003A7F10" w:rsidRDefault="00000000">
      <w:pPr>
        <w:pStyle w:val="Heading2"/>
      </w:pPr>
      <w:bookmarkStart w:id="2" w:name="what-the-pipeline-does"/>
      <w:bookmarkEnd w:id="1"/>
      <w:r>
        <w:t>What the pipeline does</w:t>
      </w:r>
    </w:p>
    <w:p w14:paraId="518D283A" w14:textId="77777777" w:rsidR="003A7F10" w:rsidRDefault="00000000">
      <w:pPr>
        <w:pStyle w:val="FirstParagraph"/>
      </w:pPr>
      <w:r>
        <w:t>A SLURM-based RNA-seq-to-FASTA pipeline that runs on UC Davis Hive:</w:t>
      </w:r>
    </w:p>
    <w:p w14:paraId="2F4D1E4D" w14:textId="77777777" w:rsidR="003A7F10" w:rsidRDefault="00000000">
      <w:pPr>
        <w:pStyle w:val="Compact"/>
        <w:numPr>
          <w:ilvl w:val="0"/>
          <w:numId w:val="2"/>
        </w:numPr>
      </w:pPr>
      <w:r>
        <w:rPr>
          <w:b/>
          <w:bCs/>
        </w:rPr>
        <w:t>Ingestion</w:t>
      </w:r>
      <w:r>
        <w:t xml:space="preserve"> — from DNA Tech Core SLIMS URL, SRA/ENA accession, or any RNA-seq folder already on the cluster</w:t>
      </w:r>
    </w:p>
    <w:p w14:paraId="3C9032A9" w14:textId="77777777" w:rsidR="003A7F10" w:rsidRDefault="00000000">
      <w:pPr>
        <w:pStyle w:val="Compact"/>
        <w:numPr>
          <w:ilvl w:val="0"/>
          <w:numId w:val="2"/>
        </w:numPr>
      </w:pPr>
      <w:r>
        <w:rPr>
          <w:b/>
          <w:bCs/>
        </w:rPr>
        <w:t>Quality + filter</w:t>
      </w:r>
      <w:r>
        <w:t xml:space="preserve"> — fastp adapter/quality trim, then bowtie2 against organism-specific rRNA to remove ribosomal contamination</w:t>
      </w:r>
    </w:p>
    <w:p w14:paraId="02F44A33" w14:textId="77777777" w:rsidR="003A7F10" w:rsidRDefault="00000000">
      <w:pPr>
        <w:pStyle w:val="Compact"/>
        <w:numPr>
          <w:ilvl w:val="0"/>
          <w:numId w:val="2"/>
        </w:numPr>
      </w:pPr>
      <w:r>
        <w:rPr>
          <w:b/>
          <w:bCs/>
        </w:rPr>
        <w:t>Alignment</w:t>
      </w:r>
      <w:r>
        <w:t xml:space="preserve"> — STAR with read-length-adaptive thresholds and a hard quality gate (≥60% uniquely-mapped for 150 bp reads; auto-relaxed for shorter reads, refused for &lt;60 bp)</w:t>
      </w:r>
    </w:p>
    <w:p w14:paraId="70CF40F8" w14:textId="77777777" w:rsidR="003A7F10" w:rsidRDefault="00000000">
      <w:pPr>
        <w:pStyle w:val="Compact"/>
        <w:numPr>
          <w:ilvl w:val="0"/>
          <w:numId w:val="2"/>
        </w:numPr>
      </w:pPr>
      <w:r>
        <w:rPr>
          <w:b/>
          <w:bCs/>
        </w:rPr>
        <w:t>Transcript assembly</w:t>
      </w:r>
      <w:r>
        <w:t xml:space="preserve"> — per-sample StringTie 3.0.3, then merged across the cohort</w:t>
      </w:r>
    </w:p>
    <w:p w14:paraId="59FC5E02" w14:textId="77777777" w:rsidR="003A7F10" w:rsidRDefault="00000000">
      <w:pPr>
        <w:pStyle w:val="Compact"/>
        <w:numPr>
          <w:ilvl w:val="0"/>
          <w:numId w:val="2"/>
        </w:numPr>
      </w:pPr>
      <w:r>
        <w:rPr>
          <w:b/>
          <w:bCs/>
        </w:rPr>
        <w:t>Novel-transcript classification</w:t>
      </w:r>
      <w:r>
        <w:t xml:space="preserve"> — gffcompare class codes distinguish reference matches from novel splicing isoforms (</w:t>
      </w:r>
      <w:r>
        <w:rPr>
          <w:rStyle w:val="VerbatimChar"/>
        </w:rPr>
        <w:t>j</w:t>
      </w:r>
      <w:r>
        <w:t xml:space="preserve">, </w:t>
      </w:r>
      <w:r>
        <w:rPr>
          <w:rStyle w:val="VerbatimChar"/>
        </w:rPr>
        <w:t>e</w:t>
      </w:r>
      <w:r>
        <w:t xml:space="preserve">, </w:t>
      </w:r>
      <w:r>
        <w:rPr>
          <w:rStyle w:val="VerbatimChar"/>
        </w:rPr>
        <w:t>k</w:t>
      </w:r>
      <w:r>
        <w:t xml:space="preserve">, </w:t>
      </w:r>
      <w:r>
        <w:rPr>
          <w:rStyle w:val="VerbatimChar"/>
        </w:rPr>
        <w:t>m</w:t>
      </w:r>
      <w:r>
        <w:t xml:space="preserve">, </w:t>
      </w:r>
      <w:r>
        <w:rPr>
          <w:rStyle w:val="VerbatimChar"/>
        </w:rPr>
        <w:t>n</w:t>
      </w:r>
      <w:r>
        <w:t xml:space="preserve">, </w:t>
      </w:r>
      <w:r>
        <w:rPr>
          <w:rStyle w:val="VerbatimChar"/>
        </w:rPr>
        <w:t>y</w:t>
      </w:r>
      <w:r>
        <w:t>) and novel intergenic loci (</w:t>
      </w:r>
      <w:r>
        <w:rPr>
          <w:rStyle w:val="VerbatimChar"/>
        </w:rPr>
        <w:t>u</w:t>
      </w:r>
      <w:r>
        <w:t xml:space="preserve">, </w:t>
      </w:r>
      <w:r>
        <w:rPr>
          <w:rStyle w:val="VerbatimChar"/>
        </w:rPr>
        <w:t>i</w:t>
      </w:r>
      <w:r>
        <w:t>)</w:t>
      </w:r>
    </w:p>
    <w:p w14:paraId="41AF637E" w14:textId="77777777" w:rsidR="003A7F10" w:rsidRDefault="00000000">
      <w:pPr>
        <w:pStyle w:val="Compact"/>
        <w:numPr>
          <w:ilvl w:val="0"/>
          <w:numId w:val="2"/>
        </w:numPr>
      </w:pPr>
      <w:r>
        <w:rPr>
          <w:b/>
          <w:bCs/>
        </w:rPr>
        <w:t>ORF prediction</w:t>
      </w:r>
      <w:r>
        <w:t xml:space="preserve"> — TransDecoder.LongOrfs + TransDecoder.Predict (single best ORF per transcript, ≥100 aa default)</w:t>
      </w:r>
    </w:p>
    <w:p w14:paraId="0088C0C7" w14:textId="77777777" w:rsidR="003A7F10" w:rsidRDefault="00000000">
      <w:pPr>
        <w:pStyle w:val="Compact"/>
        <w:numPr>
          <w:ilvl w:val="0"/>
          <w:numId w:val="2"/>
        </w:numPr>
      </w:pPr>
      <w:r>
        <w:rPr>
          <w:b/>
          <w:bCs/>
        </w:rPr>
        <w:t>Header rewriting</w:t>
      </w:r>
      <w:r>
        <w:t xml:space="preserve"> — predicted proteins get UniProt-compatible </w:t>
      </w:r>
      <w:r>
        <w:rPr>
          <w:rStyle w:val="VerbatimChar"/>
        </w:rPr>
        <w:t>sp|&lt;id&gt;|&lt;symbol&gt;_&lt;PROJECT_TAG&gt;</w:t>
      </w:r>
      <w:r>
        <w:t xml:space="preserve"> headers with explicit </w:t>
      </w:r>
      <w:r>
        <w:rPr>
          <w:rStyle w:val="VerbatimChar"/>
        </w:rPr>
        <w:t>source=REF/NOVEL_GENE/NOVEL_ISOFORM/VARIANT</w:t>
      </w:r>
      <w:r>
        <w:t xml:space="preserve"> tags. Zero unparsed entries is a hard gate; the pipeline halts rather than silently producing malformed entries</w:t>
      </w:r>
    </w:p>
    <w:p w14:paraId="19584A44" w14:textId="77777777" w:rsidR="003A7F10" w:rsidRDefault="00000000">
      <w:pPr>
        <w:pStyle w:val="Compact"/>
        <w:numPr>
          <w:ilvl w:val="0"/>
          <w:numId w:val="2"/>
        </w:numPr>
      </w:pPr>
      <w:r>
        <w:rPr>
          <w:b/>
          <w:bCs/>
        </w:rPr>
        <w:lastRenderedPageBreak/>
        <w:t>Database assembly</w:t>
      </w:r>
      <w:r>
        <w:t xml:space="preserve"> — predicted ORFs are concatenated with UniProt reference proteome + cRAP-equivalent contaminants (HaoGroup Frankenfield 2022 universal contaminant library, fully cited in methods text), then deduplicated by sequence</w:t>
      </w:r>
    </w:p>
    <w:p w14:paraId="6B25E07A" w14:textId="77777777" w:rsidR="003A7F10" w:rsidRDefault="00000000">
      <w:pPr>
        <w:pStyle w:val="FirstParagraph"/>
      </w:pPr>
      <w:r>
        <w:t>The resulting FASTA is registered and appears in DE-LIMP’s Run Search dropdown with a 🧬 marker showing composition (e.g., “17,388 UniProt + 56,926 reference + 1,024 novel isoforms + 37 novel genes”). DIA-NN searches against this database run through the existing DE-LIMP DIA-NN HPC orchestration unchanged.</w:t>
      </w:r>
    </w:p>
    <w:p w14:paraId="2721A27E" w14:textId="77777777" w:rsidR="003A7F10" w:rsidRDefault="00000000">
      <w:pPr>
        <w:pStyle w:val="BodyText"/>
      </w:pPr>
      <w:r>
        <w:t>Downstream, DE-LIMP automatically detects proteogenomic protein groups in the DIA-NN result by accession structure (MSTRG.* → NOVEL_GENE; ENSMUST</w:t>
      </w:r>
      <w:r>
        <w:rPr>
          <w:i/>
          <w:iCs/>
        </w:rPr>
        <w:t>.pN → REF/NOVEL_ISOFORM; INDEL_ENSP</w:t>
      </w:r>
      <w:r>
        <w:t>/SNV_ENSP* → VARIANT) and produces class-stratified analyses: volcano plots colored by source class, separate “novel discoveries” sections in the Claude AI report, and a Proteogenomics Glossary shipped with every export so collaborators unfamiliar with the convention can interpret the IDs.</w:t>
      </w:r>
    </w:p>
    <w:p w14:paraId="506388B9" w14:textId="77777777" w:rsidR="003A7F10" w:rsidRDefault="00000000">
      <w:pPr>
        <w:pStyle w:val="Heading2"/>
      </w:pPr>
      <w:bookmarkStart w:id="3" w:name="X932f977b91b5bad2065b9a9e6ce5bd3ffa96de3"/>
      <w:bookmarkEnd w:id="2"/>
      <w:r>
        <w:t>Validation data we generated (May 20–22, 2026)</w:t>
      </w:r>
    </w:p>
    <w:p w14:paraId="15810FF4" w14:textId="77777777" w:rsidR="003A7F10" w:rsidRDefault="00000000">
      <w:pPr>
        <w:pStyle w:val="FirstParagraph"/>
      </w:pPr>
      <w:r>
        <w:t>End-to-end validation was done on mouse RNA-seq + mouse DIA proteomics to confirm every stage produces correct, reproducible output before we offer the capability to investigators.</w:t>
      </w:r>
    </w:p>
    <w:p w14:paraId="134DC8F4" w14:textId="77777777" w:rsidR="003A7F10" w:rsidRDefault="00000000">
      <w:pPr>
        <w:pStyle w:val="Heading3"/>
      </w:pPr>
      <w:bookmarkStart w:id="4" w:name="pipeline-validation-test-1"/>
      <w:r>
        <w:t>Pipeline validation (Test 1)</w:t>
      </w:r>
    </w:p>
    <w:p w14:paraId="2A22ECCB" w14:textId="77777777" w:rsidR="003A7F10" w:rsidRDefault="00000000">
      <w:pPr>
        <w:pStyle w:val="Compact"/>
        <w:numPr>
          <w:ilvl w:val="0"/>
          <w:numId w:val="3"/>
        </w:numPr>
      </w:pPr>
      <w:r>
        <w:rPr>
          <w:b/>
          <w:bCs/>
        </w:rPr>
        <w:t>Input:</w:t>
      </w:r>
      <w:r>
        <w:t xml:space="preserve"> 2 mouse RNA-seq samples from ENCODE 2014 (SRR1303776/77, ~4.4M paired reads each, 92 bp — deliberately short to exercise the adaptive STAR thresholds)</w:t>
      </w:r>
    </w:p>
    <w:p w14:paraId="18E2EB69" w14:textId="77777777" w:rsidR="003A7F10" w:rsidRDefault="00000000">
      <w:pPr>
        <w:pStyle w:val="Compact"/>
        <w:numPr>
          <w:ilvl w:val="0"/>
          <w:numId w:val="3"/>
        </w:numPr>
      </w:pPr>
      <w:r>
        <w:rPr>
          <w:b/>
          <w:bCs/>
        </w:rPr>
        <w:t>Wall time:</w:t>
      </w:r>
      <w:r>
        <w:t xml:space="preserve"> ~40 minutes on Hive </w:t>
      </w:r>
      <w:r>
        <w:rPr>
          <w:rStyle w:val="VerbatimChar"/>
        </w:rPr>
        <w:t>high</w:t>
      </w:r>
      <w:r>
        <w:t xml:space="preserve"> partition (10 SLURM stages with </w:t>
      </w:r>
      <w:r>
        <w:rPr>
          <w:rStyle w:val="VerbatimChar"/>
        </w:rPr>
        <w:t>--dependency=afterok</w:t>
      </w:r>
      <w:r>
        <w:t xml:space="preserve"> chaining)</w:t>
      </w:r>
    </w:p>
    <w:p w14:paraId="546DCF72" w14:textId="77777777" w:rsidR="003A7F10" w:rsidRDefault="00000000">
      <w:pPr>
        <w:pStyle w:val="Compact"/>
        <w:numPr>
          <w:ilvl w:val="0"/>
          <w:numId w:val="3"/>
        </w:numPr>
      </w:pPr>
      <w:r>
        <w:rPr>
          <w:b/>
          <w:bCs/>
        </w:rPr>
        <w:t>Final FASTA composition:</w:t>
      </w:r>
      <w:r>
        <w:t xml:space="preserve"> 75,375 total entries (after seqkit dedup)</w:t>
      </w:r>
    </w:p>
    <w:p w14:paraId="13BC1A04" w14:textId="77777777" w:rsidR="003A7F10" w:rsidRDefault="00000000">
      <w:pPr>
        <w:pStyle w:val="Compact"/>
        <w:numPr>
          <w:ilvl w:val="1"/>
          <w:numId w:val="4"/>
        </w:numPr>
      </w:pPr>
      <w:r>
        <w:t>17,388 canonical UniProt (mouse Swiss-Prot UP000000589) + Mouse-Tissue contaminants</w:t>
      </w:r>
    </w:p>
    <w:p w14:paraId="323EB783" w14:textId="77777777" w:rsidR="003A7F10" w:rsidRDefault="00000000">
      <w:pPr>
        <w:pStyle w:val="Compact"/>
        <w:numPr>
          <w:ilvl w:val="1"/>
          <w:numId w:val="4"/>
        </w:numPr>
      </w:pPr>
      <w:r>
        <w:t>56,926 reference-derived predicted proteins</w:t>
      </w:r>
    </w:p>
    <w:p w14:paraId="2B12EEF0" w14:textId="77777777" w:rsidR="003A7F10" w:rsidRDefault="00000000">
      <w:pPr>
        <w:pStyle w:val="Compact"/>
        <w:numPr>
          <w:ilvl w:val="1"/>
          <w:numId w:val="4"/>
        </w:numPr>
      </w:pPr>
      <w:r>
        <w:rPr>
          <w:b/>
          <w:bCs/>
        </w:rPr>
        <w:t>1,024 NOVEL_ISOFORM</w:t>
      </w:r>
      <w:r>
        <w:t xml:space="preserve"> (alternative splicings of known genes, recovered by the gffcompare classification step)</w:t>
      </w:r>
    </w:p>
    <w:p w14:paraId="10653892" w14:textId="77777777" w:rsidR="003A7F10" w:rsidRDefault="00000000">
      <w:pPr>
        <w:pStyle w:val="Compact"/>
        <w:numPr>
          <w:ilvl w:val="1"/>
          <w:numId w:val="4"/>
        </w:numPr>
      </w:pPr>
      <w:r>
        <w:rPr>
          <w:b/>
          <w:bCs/>
        </w:rPr>
        <w:t>37 NOVEL_GENE</w:t>
      </w:r>
      <w:r>
        <w:t xml:space="preserve"> (predicted proteins from intergenic loci absent from the reference annotation)</w:t>
      </w:r>
    </w:p>
    <w:p w14:paraId="1637E22D" w14:textId="77777777" w:rsidR="003A7F10" w:rsidRDefault="00000000">
      <w:pPr>
        <w:pStyle w:val="Compact"/>
        <w:numPr>
          <w:ilvl w:val="1"/>
          <w:numId w:val="4"/>
        </w:numPr>
      </w:pPr>
      <w:r>
        <w:t>0 UNPARSED (hard quality gate satisfied)</w:t>
      </w:r>
    </w:p>
    <w:p w14:paraId="78ECA778" w14:textId="77777777" w:rsidR="003A7F10" w:rsidRDefault="00000000">
      <w:pPr>
        <w:pStyle w:val="Compact"/>
        <w:numPr>
          <w:ilvl w:val="0"/>
          <w:numId w:val="3"/>
        </w:numPr>
      </w:pPr>
      <w:r>
        <w:rPr>
          <w:b/>
          <w:bCs/>
        </w:rPr>
        <w:t>Reproducibility:</w:t>
      </w:r>
      <w:r>
        <w:t xml:space="preserve"> two independent runs produced compositions within ±100 entries per class</w:t>
      </w:r>
    </w:p>
    <w:p w14:paraId="29E19F9B" w14:textId="77777777" w:rsidR="003A7F10" w:rsidRDefault="00000000">
      <w:pPr>
        <w:pStyle w:val="Heading3"/>
      </w:pPr>
      <w:bookmarkStart w:id="5" w:name="Xfc4ef965ccf8d6c239ec5de337e2899e92ee022"/>
      <w:bookmarkEnd w:id="4"/>
      <w:r>
        <w:t>Real-world novel-discovery validation (Test 2)</w:t>
      </w:r>
    </w:p>
    <w:p w14:paraId="4FB4BE45" w14:textId="5E972564" w:rsidR="003A7F10" w:rsidRDefault="00000000">
      <w:pPr>
        <w:pStyle w:val="Compact"/>
        <w:numPr>
          <w:ilvl w:val="0"/>
          <w:numId w:val="5"/>
        </w:numPr>
      </w:pPr>
      <w:r>
        <w:rPr>
          <w:b/>
          <w:bCs/>
        </w:rPr>
        <w:t>DIA-NN library-free search</w:t>
      </w:r>
      <w:r>
        <w:t xml:space="preserve"> against the 75,375-entry assembled FASTA using 3 mouse-liver DIA-PASEF runs from the Bruker timsTOF </w:t>
      </w:r>
      <w:r w:rsidR="0002725F">
        <w:t xml:space="preserve">HT </w:t>
      </w:r>
      <w:r>
        <w:t>(independent samples, no biological relationship to the RNA-seq used to build the FASTA)</w:t>
      </w:r>
    </w:p>
    <w:p w14:paraId="63F44969" w14:textId="77777777" w:rsidR="003A7F10" w:rsidRDefault="00000000">
      <w:pPr>
        <w:pStyle w:val="Compact"/>
        <w:numPr>
          <w:ilvl w:val="0"/>
          <w:numId w:val="5"/>
        </w:numPr>
      </w:pPr>
      <w:r>
        <w:rPr>
          <w:b/>
          <w:bCs/>
        </w:rPr>
        <w:t>Wall time:</w:t>
      </w:r>
      <w:r>
        <w:t xml:space="preserve"> ~1h 50m on 16 cores</w:t>
      </w:r>
    </w:p>
    <w:p w14:paraId="2DB13403" w14:textId="77777777" w:rsidR="003A7F10" w:rsidRDefault="00000000">
      <w:pPr>
        <w:pStyle w:val="Compact"/>
        <w:numPr>
          <w:ilvl w:val="0"/>
          <w:numId w:val="5"/>
        </w:numPr>
      </w:pPr>
      <w:r>
        <w:rPr>
          <w:b/>
          <w:bCs/>
        </w:rPr>
        <w:t>Results at 1% FDR:</w:t>
      </w:r>
    </w:p>
    <w:p w14:paraId="02251C07" w14:textId="77777777" w:rsidR="003A7F10" w:rsidRDefault="00000000">
      <w:pPr>
        <w:pStyle w:val="Compact"/>
        <w:numPr>
          <w:ilvl w:val="1"/>
          <w:numId w:val="6"/>
        </w:numPr>
      </w:pPr>
      <w:r>
        <w:lastRenderedPageBreak/>
        <w:t>7,090 unique protein groups identified</w:t>
      </w:r>
    </w:p>
    <w:p w14:paraId="64B0F036" w14:textId="77777777" w:rsidR="003A7F10" w:rsidRDefault="00000000">
      <w:pPr>
        <w:pStyle w:val="Compact"/>
        <w:numPr>
          <w:ilvl w:val="1"/>
          <w:numId w:val="6"/>
        </w:numPr>
      </w:pPr>
      <w:r>
        <w:rPr>
          <w:b/>
          <w:bCs/>
        </w:rPr>
        <w:t>27 protein groups contain MSTRG.* accessions</w:t>
      </w:r>
      <w:r>
        <w:t xml:space="preserve"> (i.e., novel-protein candidates); 19 survive strict PG.Q.Value &lt; 0.01</w:t>
      </w:r>
    </w:p>
    <w:p w14:paraId="72FC463F" w14:textId="77777777" w:rsidR="003A7F10" w:rsidRDefault="00000000">
      <w:pPr>
        <w:pStyle w:val="Compact"/>
        <w:numPr>
          <w:ilvl w:val="1"/>
          <w:numId w:val="6"/>
        </w:numPr>
      </w:pPr>
      <w:r>
        <w:rPr>
          <w:b/>
          <w:bCs/>
        </w:rPr>
        <w:t>9 are pure-MSTRG single-source identifications</w:t>
      </w:r>
      <w:r>
        <w:t xml:space="preserve"> with no canonical reference fallback — these are the strongest novel-protein candidates</w:t>
      </w:r>
    </w:p>
    <w:p w14:paraId="531FCEAE" w14:textId="77777777" w:rsidR="003A7F10" w:rsidRDefault="00000000">
      <w:pPr>
        <w:pStyle w:val="Compact"/>
        <w:numPr>
          <w:ilvl w:val="1"/>
          <w:numId w:val="6"/>
        </w:numPr>
      </w:pPr>
      <w:r>
        <w:t xml:space="preserve">1 protein group reclassified to NOVEL_ISOFORM via FASTA refinement of the gffcompare </w:t>
      </w:r>
      <w:r>
        <w:rPr>
          <w:rStyle w:val="VerbatimChar"/>
        </w:rPr>
        <w:t>source=NOVEL_ISOFORM</w:t>
      </w:r>
      <w:r>
        <w:t xml:space="preserve"> tag</w:t>
      </w:r>
    </w:p>
    <w:p w14:paraId="0648C35B" w14:textId="77777777" w:rsidR="003A7F10" w:rsidRDefault="00000000">
      <w:pPr>
        <w:pStyle w:val="Compact"/>
        <w:numPr>
          <w:ilvl w:val="0"/>
          <w:numId w:val="5"/>
        </w:numPr>
      </w:pPr>
      <w:r>
        <w:rPr>
          <w:b/>
          <w:bCs/>
        </w:rPr>
        <w:t>Interpretation:</w:t>
      </w:r>
      <w:r>
        <w:t xml:space="preserve"> the 9 pure-MSTRG identifications are predicted proteins from one mouse experiment getting independent peptide evidence in an unrelated mouse experiment. This is exactly the validation pattern that distinguishes real novel proteins from StringTie assembly artifacts — random assembly errors would not produce reproducible peptide evidence across independent biological samples.</w:t>
      </w:r>
    </w:p>
    <w:p w14:paraId="307B1AE1" w14:textId="77777777" w:rsidR="003A7F10" w:rsidRDefault="00000000">
      <w:pPr>
        <w:pStyle w:val="Heading2"/>
      </w:pPr>
      <w:bookmarkStart w:id="6" w:name="X45c5301ca8846169359e275c7ff2ff84ec7385b"/>
      <w:bookmarkEnd w:id="3"/>
      <w:bookmarkEnd w:id="5"/>
      <w:r>
        <w:t>What this means for a 300-tumor gastric proteogenomics cohort</w:t>
      </w:r>
    </w:p>
    <w:p w14:paraId="7DC2F2A4" w14:textId="77777777" w:rsidR="003A7F10" w:rsidRDefault="00000000">
      <w:pPr>
        <w:pStyle w:val="FirstParagraph"/>
      </w:pPr>
      <w:r>
        <w:t>Scaling from our 2-sample validation to a 300-sample R01 cohort, with PE150 reads (DNA Tech Core’s standard delivery, vs the 92 bp legacy data we validated against):</w:t>
      </w:r>
    </w:p>
    <w:tbl>
      <w:tblPr>
        <w:tblStyle w:val="Table"/>
        <w:tblW w:w="0" w:type="pct"/>
        <w:tblLook w:val="0020" w:firstRow="1" w:lastRow="0" w:firstColumn="0" w:lastColumn="0" w:noHBand="0" w:noVBand="0"/>
      </w:tblPr>
      <w:tblGrid>
        <w:gridCol w:w="4118"/>
        <w:gridCol w:w="2428"/>
        <w:gridCol w:w="3030"/>
      </w:tblGrid>
      <w:tr w:rsidR="003A7F10" w14:paraId="057CA523"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AE373AA" w14:textId="77777777" w:rsidR="003A7F10" w:rsidRDefault="00000000">
            <w:pPr>
              <w:pStyle w:val="Compact"/>
            </w:pPr>
            <w:r>
              <w:t>Dimension</w:t>
            </w:r>
          </w:p>
        </w:tc>
        <w:tc>
          <w:tcPr>
            <w:tcW w:w="0" w:type="auto"/>
          </w:tcPr>
          <w:p w14:paraId="42D924CA" w14:textId="77777777" w:rsidR="003A7F10" w:rsidRDefault="00000000">
            <w:pPr>
              <w:pStyle w:val="Compact"/>
            </w:pPr>
            <w:r>
              <w:t>Validation (2 samples)</w:t>
            </w:r>
          </w:p>
        </w:tc>
        <w:tc>
          <w:tcPr>
            <w:tcW w:w="0" w:type="auto"/>
          </w:tcPr>
          <w:p w14:paraId="1F651FAB" w14:textId="77777777" w:rsidR="003A7F10" w:rsidRDefault="00000000">
            <w:pPr>
              <w:pStyle w:val="Compact"/>
            </w:pPr>
            <w:r>
              <w:t>R01 scale (300 samples)</w:t>
            </w:r>
          </w:p>
        </w:tc>
      </w:tr>
      <w:tr w:rsidR="003A7F10" w14:paraId="39260632" w14:textId="77777777">
        <w:tc>
          <w:tcPr>
            <w:tcW w:w="0" w:type="auto"/>
          </w:tcPr>
          <w:p w14:paraId="19D7E42B" w14:textId="77777777" w:rsidR="003A7F10" w:rsidRDefault="00000000">
            <w:pPr>
              <w:pStyle w:val="Compact"/>
            </w:pPr>
            <w:r>
              <w:t>FASTQ wall time per sample</w:t>
            </w:r>
          </w:p>
        </w:tc>
        <w:tc>
          <w:tcPr>
            <w:tcW w:w="0" w:type="auto"/>
          </w:tcPr>
          <w:p w14:paraId="0A58FECC" w14:textId="77777777" w:rsidR="003A7F10" w:rsidRDefault="00000000">
            <w:pPr>
              <w:pStyle w:val="Compact"/>
            </w:pPr>
            <w:r>
              <w:t>~3 min</w:t>
            </w:r>
          </w:p>
        </w:tc>
        <w:tc>
          <w:tcPr>
            <w:tcW w:w="0" w:type="auto"/>
          </w:tcPr>
          <w:p w14:paraId="13337BEE" w14:textId="77777777" w:rsidR="003A7F10" w:rsidRDefault="00000000">
            <w:pPr>
              <w:pStyle w:val="Compact"/>
            </w:pPr>
            <w:r>
              <w:t>~15 min</w:t>
            </w:r>
          </w:p>
        </w:tc>
      </w:tr>
      <w:tr w:rsidR="003A7F10" w14:paraId="590DCE6D" w14:textId="77777777">
        <w:tc>
          <w:tcPr>
            <w:tcW w:w="0" w:type="auto"/>
          </w:tcPr>
          <w:p w14:paraId="02C87081" w14:textId="77777777" w:rsidR="003A7F10" w:rsidRDefault="00000000">
            <w:pPr>
              <w:pStyle w:val="Compact"/>
            </w:pPr>
            <w:r>
              <w:t>STAR wall per sample</w:t>
            </w:r>
          </w:p>
        </w:tc>
        <w:tc>
          <w:tcPr>
            <w:tcW w:w="0" w:type="auto"/>
          </w:tcPr>
          <w:p w14:paraId="5E90AB26" w14:textId="77777777" w:rsidR="003A7F10" w:rsidRDefault="00000000">
            <w:pPr>
              <w:pStyle w:val="Compact"/>
            </w:pPr>
            <w:r>
              <w:t>~5 min</w:t>
            </w:r>
          </w:p>
        </w:tc>
        <w:tc>
          <w:tcPr>
            <w:tcW w:w="0" w:type="auto"/>
          </w:tcPr>
          <w:p w14:paraId="6F02CA0A" w14:textId="77777777" w:rsidR="003A7F10" w:rsidRDefault="00000000">
            <w:pPr>
              <w:pStyle w:val="Compact"/>
            </w:pPr>
            <w:r>
              <w:t>~30-60 min</w:t>
            </w:r>
          </w:p>
        </w:tc>
      </w:tr>
      <w:tr w:rsidR="003A7F10" w14:paraId="6B8CFAD7" w14:textId="77777777">
        <w:tc>
          <w:tcPr>
            <w:tcW w:w="0" w:type="auto"/>
          </w:tcPr>
          <w:p w14:paraId="01B521EA" w14:textId="77777777" w:rsidR="003A7F10" w:rsidRDefault="00000000">
            <w:pPr>
              <w:pStyle w:val="Compact"/>
            </w:pPr>
            <w:r>
              <w:t>Total RNA-seq wall (parallel array)</w:t>
            </w:r>
          </w:p>
        </w:tc>
        <w:tc>
          <w:tcPr>
            <w:tcW w:w="0" w:type="auto"/>
          </w:tcPr>
          <w:p w14:paraId="1CE2BA38" w14:textId="77777777" w:rsidR="003A7F10" w:rsidRDefault="00000000">
            <w:pPr>
              <w:pStyle w:val="Compact"/>
            </w:pPr>
            <w:r>
              <w:t>~40 min</w:t>
            </w:r>
          </w:p>
        </w:tc>
        <w:tc>
          <w:tcPr>
            <w:tcW w:w="0" w:type="auto"/>
          </w:tcPr>
          <w:p w14:paraId="410EB044" w14:textId="77777777" w:rsidR="003A7F10" w:rsidRDefault="00000000">
            <w:pPr>
              <w:pStyle w:val="Compact"/>
            </w:pPr>
            <w:r>
              <w:t>~6-12 h</w:t>
            </w:r>
          </w:p>
        </w:tc>
      </w:tr>
      <w:tr w:rsidR="003A7F10" w14:paraId="609E24A7" w14:textId="77777777">
        <w:tc>
          <w:tcPr>
            <w:tcW w:w="0" w:type="auto"/>
          </w:tcPr>
          <w:p w14:paraId="1A7FF7A7" w14:textId="77777777" w:rsidR="003A7F10" w:rsidRDefault="00000000">
            <w:pPr>
              <w:pStyle w:val="Compact"/>
            </w:pPr>
            <w:r>
              <w:t>DIA-NN search wall per sample</w:t>
            </w:r>
          </w:p>
        </w:tc>
        <w:tc>
          <w:tcPr>
            <w:tcW w:w="0" w:type="auto"/>
          </w:tcPr>
          <w:p w14:paraId="3A4C8A93" w14:textId="77777777" w:rsidR="003A7F10" w:rsidRDefault="00000000">
            <w:pPr>
              <w:pStyle w:val="Compact"/>
            </w:pPr>
            <w:r>
              <w:t>~30 min</w:t>
            </w:r>
          </w:p>
        </w:tc>
        <w:tc>
          <w:tcPr>
            <w:tcW w:w="0" w:type="auto"/>
          </w:tcPr>
          <w:p w14:paraId="256CF921" w14:textId="77777777" w:rsidR="003A7F10" w:rsidRDefault="00000000">
            <w:pPr>
              <w:pStyle w:val="Compact"/>
            </w:pPr>
            <w:r>
              <w:t>~30 min (parallelizable)</w:t>
            </w:r>
          </w:p>
        </w:tc>
      </w:tr>
      <w:tr w:rsidR="003A7F10" w14:paraId="55E03508" w14:textId="77777777">
        <w:tc>
          <w:tcPr>
            <w:tcW w:w="0" w:type="auto"/>
          </w:tcPr>
          <w:p w14:paraId="2DF10751" w14:textId="77777777" w:rsidR="003A7F10" w:rsidRDefault="00000000">
            <w:pPr>
              <w:pStyle w:val="Compact"/>
            </w:pPr>
            <w:r>
              <w:t>Total DIA-NN wall (parallel array)</w:t>
            </w:r>
          </w:p>
        </w:tc>
        <w:tc>
          <w:tcPr>
            <w:tcW w:w="0" w:type="auto"/>
          </w:tcPr>
          <w:p w14:paraId="12B27071" w14:textId="77777777" w:rsidR="003A7F10" w:rsidRDefault="00000000">
            <w:pPr>
              <w:pStyle w:val="Compact"/>
            </w:pPr>
            <w:r>
              <w:t>~2 h</w:t>
            </w:r>
          </w:p>
        </w:tc>
        <w:tc>
          <w:tcPr>
            <w:tcW w:w="0" w:type="auto"/>
          </w:tcPr>
          <w:p w14:paraId="62905380" w14:textId="77777777" w:rsidR="003A7F10" w:rsidRDefault="00000000">
            <w:pPr>
              <w:pStyle w:val="Compact"/>
            </w:pPr>
            <w:r>
              <w:t>~24-48 h</w:t>
            </w:r>
          </w:p>
        </w:tc>
      </w:tr>
      <w:tr w:rsidR="003A7F10" w14:paraId="2586E5C5" w14:textId="77777777">
        <w:tc>
          <w:tcPr>
            <w:tcW w:w="0" w:type="auto"/>
          </w:tcPr>
          <w:p w14:paraId="155F6474" w14:textId="77777777" w:rsidR="003A7F10" w:rsidRDefault="00000000">
            <w:pPr>
              <w:pStyle w:val="Compact"/>
            </w:pPr>
            <w:r>
              <w:t>Storage (raw + intermediates + outputs)</w:t>
            </w:r>
          </w:p>
        </w:tc>
        <w:tc>
          <w:tcPr>
            <w:tcW w:w="0" w:type="auto"/>
          </w:tcPr>
          <w:p w14:paraId="079D62E0" w14:textId="77777777" w:rsidR="003A7F10" w:rsidRDefault="00000000">
            <w:pPr>
              <w:pStyle w:val="Compact"/>
            </w:pPr>
            <w:r>
              <w:t>~250 GB</w:t>
            </w:r>
          </w:p>
        </w:tc>
        <w:tc>
          <w:tcPr>
            <w:tcW w:w="0" w:type="auto"/>
          </w:tcPr>
          <w:p w14:paraId="3BE6EFB6" w14:textId="77777777" w:rsidR="003A7F10" w:rsidRDefault="00000000">
            <w:pPr>
              <w:pStyle w:val="Compact"/>
            </w:pPr>
            <w:r>
              <w:t>~30-50 TB</w:t>
            </w:r>
          </w:p>
        </w:tc>
      </w:tr>
      <w:tr w:rsidR="003A7F10" w14:paraId="51CD2AC6" w14:textId="77777777">
        <w:tc>
          <w:tcPr>
            <w:tcW w:w="0" w:type="auto"/>
          </w:tcPr>
          <w:p w14:paraId="43298970" w14:textId="77777777" w:rsidR="003A7F10" w:rsidRDefault="00000000">
            <w:pPr>
              <w:pStyle w:val="Compact"/>
            </w:pPr>
            <w:r>
              <w:t>Final FASTA size</w:t>
            </w:r>
          </w:p>
        </w:tc>
        <w:tc>
          <w:tcPr>
            <w:tcW w:w="0" w:type="auto"/>
          </w:tcPr>
          <w:p w14:paraId="2B8A637B" w14:textId="77777777" w:rsidR="003A7F10" w:rsidRDefault="00000000">
            <w:pPr>
              <w:pStyle w:val="Compact"/>
            </w:pPr>
            <w:r>
              <w:t>~50 MB</w:t>
            </w:r>
          </w:p>
        </w:tc>
        <w:tc>
          <w:tcPr>
            <w:tcW w:w="0" w:type="auto"/>
          </w:tcPr>
          <w:p w14:paraId="77173EB2" w14:textId="77777777" w:rsidR="003A7F10" w:rsidRDefault="00000000">
            <w:pPr>
              <w:pStyle w:val="Compact"/>
            </w:pPr>
            <w:r>
              <w:t>~50-100 MB (cohort merge)</w:t>
            </w:r>
          </w:p>
        </w:tc>
      </w:tr>
    </w:tbl>
    <w:p w14:paraId="46EECE5D" w14:textId="77777777" w:rsidR="003A7F10" w:rsidRDefault="00000000">
      <w:pPr>
        <w:pStyle w:val="BodyText"/>
      </w:pPr>
      <w:r>
        <w:t>The pipeline parallelizes per-sample on Hive’s high partition (</w:t>
      </w:r>
      <w:r>
        <w:rPr>
          <w:rStyle w:val="VerbatimChar"/>
        </w:rPr>
        <w:t>genome-center-grp</w:t>
      </w:r>
      <w:r>
        <w:t xml:space="preserve"> account, 64-CPU per-user cap with array job support). 300 samples is well within capacity.</w:t>
      </w:r>
    </w:p>
    <w:p w14:paraId="526F96DB" w14:textId="77777777" w:rsidR="003A7F10" w:rsidRDefault="00000000">
      <w:pPr>
        <w:pStyle w:val="BodyText"/>
      </w:pPr>
      <w:r>
        <w:rPr>
          <w:b/>
          <w:bCs/>
        </w:rPr>
        <w:t>Power consideration for the grant:</w:t>
      </w:r>
      <w:r>
        <w:t xml:space="preserve"> In our 2-sample validation, ~0.4% of identified protein groups at 1% FDR were novel-class (27 / 7,090). For a 300-tumor cohort identifying ~6,000 protein groups per sample, this ratio scaled naively would predict ~25 novel-protein candidates per tumor, with much higher cohort-level totals after cross-sample protein grouping. But this is a conservative lower bound — the validation used unrelated biological samples; matched tumor RNA-seq + tumor DIA proteomics should produce substantially higher novel-discovery yield because the RNA-seq captures tumor-specific transcripts that aren’t expressed in the public mouse RNA-seq archive.</w:t>
      </w:r>
    </w:p>
    <w:p w14:paraId="1DFB3DEE" w14:textId="77777777" w:rsidR="003A7F10" w:rsidRDefault="00000000">
      <w:pPr>
        <w:pStyle w:val="Heading2"/>
      </w:pPr>
      <w:bookmarkStart w:id="7" w:name="infrastructure-already-in-place"/>
      <w:bookmarkEnd w:id="6"/>
      <w:r>
        <w:lastRenderedPageBreak/>
        <w:t>Infrastructure already in place</w:t>
      </w:r>
    </w:p>
    <w:p w14:paraId="4A839C4A" w14:textId="77777777" w:rsidR="003A7F10" w:rsidRDefault="00000000">
      <w:pPr>
        <w:pStyle w:val="Compact"/>
        <w:numPr>
          <w:ilvl w:val="0"/>
          <w:numId w:val="7"/>
        </w:numPr>
      </w:pPr>
      <w:r>
        <w:rPr>
          <w:b/>
          <w:bCs/>
        </w:rPr>
        <w:t>DE-LIMP</w:t>
      </w:r>
      <w:r>
        <w:t xml:space="preserve"> Shiny app — proteogenomics database builder UI + DIA-NN search orchestration + downstream analysis (DE, GSEA, MOFA2 multi-omics, Claude AI summary export) — all integrated</w:t>
      </w:r>
    </w:p>
    <w:p w14:paraId="360FB201" w14:textId="77777777" w:rsidR="003A7F10" w:rsidRDefault="00000000">
      <w:pPr>
        <w:pStyle w:val="Compact"/>
        <w:numPr>
          <w:ilvl w:val="0"/>
          <w:numId w:val="7"/>
        </w:numPr>
      </w:pPr>
      <w:r>
        <w:rPr>
          <w:b/>
          <w:bCs/>
        </w:rPr>
        <w:t>UC Davis Hive HPC</w:t>
      </w:r>
      <w:r>
        <w:t xml:space="preserve"> — SLURM dependency chains, parallel array jobs, rRNA filter indices for human/mouse pre-staged</w:t>
      </w:r>
    </w:p>
    <w:p w14:paraId="132C9227" w14:textId="77777777" w:rsidR="003A7F10" w:rsidRDefault="00000000">
      <w:pPr>
        <w:pStyle w:val="Compact"/>
        <w:numPr>
          <w:ilvl w:val="0"/>
          <w:numId w:val="7"/>
        </w:numPr>
      </w:pPr>
      <w:r>
        <w:rPr>
          <w:b/>
          <w:bCs/>
        </w:rPr>
        <w:t>Reference genomes</w:t>
      </w:r>
      <w:r>
        <w:t xml:space="preserve"> — human (GRCh38.p14, RefSeq) and mouse (GRCm39, GENCODE vM38) pre-staged with STAR indices, GTFs, and rRNA filter sequences</w:t>
      </w:r>
    </w:p>
    <w:p w14:paraId="2FEFA814" w14:textId="77777777" w:rsidR="003A7F10" w:rsidRDefault="00000000">
      <w:pPr>
        <w:pStyle w:val="Compact"/>
        <w:numPr>
          <w:ilvl w:val="0"/>
          <w:numId w:val="7"/>
        </w:numPr>
      </w:pPr>
      <w:r>
        <w:rPr>
          <w:b/>
          <w:bCs/>
        </w:rPr>
        <w:t>Tool stack</w:t>
      </w:r>
      <w:r>
        <w:t xml:space="preserve"> (Hive central modules + curated conda env) — fastp 0.23.4, bowtie2 2.5.2, STAR 2.7.11a, samtools 1.19.2, gffcompare 0.12.6, gffread 0.12.7, transdecoder 5.7.1, stringtie 3.0.3, seqkit 2.13.0, diamond 2.1.7, DIA-NN 2.3.0</w:t>
      </w:r>
    </w:p>
    <w:p w14:paraId="180FCCCD" w14:textId="77777777" w:rsidR="003A7F10" w:rsidRDefault="00000000">
      <w:pPr>
        <w:pStyle w:val="Compact"/>
        <w:numPr>
          <w:ilvl w:val="0"/>
          <w:numId w:val="7"/>
        </w:numPr>
      </w:pPr>
      <w:r>
        <w:rPr>
          <w:b/>
          <w:bCs/>
        </w:rPr>
        <w:t>Contaminant library</w:t>
      </w:r>
      <w:r>
        <w:t xml:space="preserve"> — HaoGroup universal protein contaminant library (Frankenfield et al. 2022, J Proteome Res 21:2104) with provenance metadata for every distributed file</w:t>
      </w:r>
    </w:p>
    <w:p w14:paraId="31309D87" w14:textId="77777777" w:rsidR="003A7F10" w:rsidRDefault="00000000">
      <w:pPr>
        <w:pStyle w:val="Compact"/>
        <w:numPr>
          <w:ilvl w:val="0"/>
          <w:numId w:val="7"/>
        </w:numPr>
      </w:pPr>
      <w:r>
        <w:rPr>
          <w:b/>
          <w:bCs/>
        </w:rPr>
        <w:t>Validation track record</w:t>
      </w:r>
      <w:r>
        <w:t xml:space="preserve"> — the May 2026 validation cycle surfaced and resolved 18 spec-level lessons (including read-length-adaptive STAR thresholds, gffcompare class-code mapping, input-integrity instrumentation to prevent data corruption, and a project-wide preference for R-native operations over shell-outs after a real data-corruption incident)</w:t>
      </w:r>
    </w:p>
    <w:p w14:paraId="311821B4" w14:textId="77777777" w:rsidR="003A7F10" w:rsidRDefault="00000000">
      <w:pPr>
        <w:pStyle w:val="Heading2"/>
      </w:pPr>
      <w:bookmarkStart w:id="8" w:name="Xad5bc7d66e45db609b6f541aaa8e0e00548a3b2"/>
      <w:bookmarkEnd w:id="7"/>
      <w:r>
        <w:t>What we would deliver per sample for the R01</w:t>
      </w:r>
    </w:p>
    <w:p w14:paraId="05D1D22F" w14:textId="77777777" w:rsidR="003A7F10" w:rsidRDefault="00000000">
      <w:pPr>
        <w:pStyle w:val="FirstParagraph"/>
      </w:pPr>
      <w:r>
        <w:t>Beyond standard DIA-MS proteomics deliverables:</w:t>
      </w:r>
    </w:p>
    <w:p w14:paraId="5D78F5BE" w14:textId="77777777" w:rsidR="003A7F10" w:rsidRDefault="00000000">
      <w:pPr>
        <w:pStyle w:val="Compact"/>
        <w:numPr>
          <w:ilvl w:val="0"/>
          <w:numId w:val="8"/>
        </w:numPr>
      </w:pPr>
      <w:r>
        <w:rPr>
          <w:b/>
          <w:bCs/>
        </w:rPr>
        <w:t>Per-sample search database</w:t>
      </w:r>
      <w:r>
        <w:t xml:space="preserve"> — UniProt reference + sample-derived novel ORFs, fully cited methods paragraph for the manuscript</w:t>
      </w:r>
    </w:p>
    <w:p w14:paraId="04785B5C" w14:textId="77777777" w:rsidR="003A7F10" w:rsidRDefault="00000000">
      <w:pPr>
        <w:pStyle w:val="Compact"/>
        <w:numPr>
          <w:ilvl w:val="0"/>
          <w:numId w:val="8"/>
        </w:numPr>
      </w:pPr>
      <w:r>
        <w:rPr>
          <w:b/>
          <w:bCs/>
        </w:rPr>
        <w:t>DIA-NN report.parquet</w:t>
      </w:r>
      <w:r>
        <w:t xml:space="preserve"> — searched against the proteogenomics FASTA with </w:t>
      </w:r>
      <w:r>
        <w:rPr>
          <w:rStyle w:val="VerbatimChar"/>
        </w:rPr>
        <w:t>--relaxed-prot-inf</w:t>
      </w:r>
      <w:r>
        <w:t xml:space="preserve"> and tuned min-peptide-length (auto-set by DE-LIMP when a proteogenomics FASTA is detected)</w:t>
      </w:r>
    </w:p>
    <w:p w14:paraId="18558A07" w14:textId="77777777" w:rsidR="003A7F10" w:rsidRDefault="00000000">
      <w:pPr>
        <w:pStyle w:val="Compact"/>
        <w:numPr>
          <w:ilvl w:val="0"/>
          <w:numId w:val="8"/>
        </w:numPr>
      </w:pPr>
      <w:r>
        <w:rPr>
          <w:b/>
          <w:bCs/>
        </w:rPr>
        <w:t>Class-stratified DE analysis</w:t>
      </w:r>
      <w:r>
        <w:t xml:space="preserve"> — separate analyses + figures for canonical reference proteins vs novel candidates, with explicit “candidate” framing on all novel-class results</w:t>
      </w:r>
    </w:p>
    <w:p w14:paraId="249CEB76" w14:textId="77777777" w:rsidR="003A7F10" w:rsidRDefault="00000000">
      <w:pPr>
        <w:pStyle w:val="Compact"/>
        <w:numPr>
          <w:ilvl w:val="0"/>
          <w:numId w:val="8"/>
        </w:numPr>
      </w:pPr>
      <w:r>
        <w:rPr>
          <w:b/>
          <w:bCs/>
        </w:rPr>
        <w:t>Proteogenomics Glossary</w:t>
      </w:r>
      <w:r>
        <w:t xml:space="preserve"> — accompanies every export, ensures anyone reviewing the data (reviewers, collaborators, your trainees) can interpret MSTRG.* / ENSMUST</w:t>
      </w:r>
      <w:r>
        <w:rPr>
          <w:i/>
          <w:iCs/>
        </w:rPr>
        <w:t>.pN / INDEL_ENSP</w:t>
      </w:r>
      <w:r>
        <w:t xml:space="preserve"> identifiers without training</w:t>
      </w:r>
    </w:p>
    <w:p w14:paraId="3301DB32" w14:textId="77777777" w:rsidR="003A7F10" w:rsidRDefault="00000000">
      <w:pPr>
        <w:pStyle w:val="Compact"/>
        <w:numPr>
          <w:ilvl w:val="0"/>
          <w:numId w:val="8"/>
        </w:numPr>
      </w:pPr>
      <w:r>
        <w:rPr>
          <w:b/>
          <w:bCs/>
        </w:rPr>
        <w:t>Reproducibility provenance</w:t>
      </w:r>
      <w:r>
        <w:t xml:space="preserve"> — every FASTA carries its full build manifest (sample IDs, reference version, pipeline version, parameter tier, mean rRNA% and unique-mapping%) in a registry JSON; sister </w:t>
      </w:r>
      <w:r>
        <w:rPr>
          <w:rStyle w:val="VerbatimChar"/>
        </w:rPr>
        <w:t>merged.gtf</w:t>
      </w:r>
      <w:r>
        <w:t xml:space="preserve"> preserved for genomic-coordinate lookups</w:t>
      </w:r>
    </w:p>
    <w:p w14:paraId="6942D205" w14:textId="77777777" w:rsidR="003A7F10" w:rsidRDefault="00000000">
      <w:pPr>
        <w:pStyle w:val="Compact"/>
        <w:numPr>
          <w:ilvl w:val="0"/>
          <w:numId w:val="8"/>
        </w:numPr>
      </w:pPr>
      <w:r>
        <w:rPr>
          <w:b/>
          <w:bCs/>
        </w:rPr>
        <w:t>Cross-tool comparator support</w:t>
      </w:r>
      <w:r>
        <w:t xml:space="preserve"> — DE-LIMP can compare the proteogenomics search results against a canonical-only search of the same samples, quantifying the novel-discovery payoff explicitly</w:t>
      </w:r>
    </w:p>
    <w:p w14:paraId="4380073F" w14:textId="77777777" w:rsidR="003A7F10" w:rsidRDefault="00000000">
      <w:pPr>
        <w:pStyle w:val="Heading2"/>
      </w:pPr>
      <w:bookmarkStart w:id="9" w:name="suggested-grant-language"/>
      <w:bookmarkEnd w:id="8"/>
      <w:r>
        <w:lastRenderedPageBreak/>
        <w:t>Suggested grant language</w:t>
      </w:r>
    </w:p>
    <w:p w14:paraId="21A2D847" w14:textId="77777777" w:rsidR="003A7F10" w:rsidRDefault="00000000">
      <w:pPr>
        <w:pStyle w:val="FirstParagraph"/>
      </w:pPr>
      <w:r>
        <w:t>Feel free to draft against:</w:t>
      </w:r>
    </w:p>
    <w:p w14:paraId="7F4FCDD7" w14:textId="77777777" w:rsidR="003A7F10" w:rsidRDefault="00000000">
      <w:pPr>
        <w:pStyle w:val="BlockText"/>
      </w:pPr>
      <w:r>
        <w:t>“Proteogenomic database construction and analysis will be performed using DE-LIMP, an in-house Shiny platform developed by the UC Davis Proteomics Core that orchestrates a SLURM-based RNA-seq pipeline (fastp / bowtie2 / STAR / stringtie / gffcompare / TransDecoder) on the UC Davis Hive HPC cluster. Per-cohort proteogenomics search databases combine the canonical UniProt reference proteome with sample-specific predicted open reading frames and isoforms derived from matched tumor RNA-seq. DIA-NN library-free searches against these expanded databases are performed within the same platform, with downstream differential expression analysis using LIMMA via the limpa R package. The platform has been validated end-to-end using mouse data (May 2026), demonstrating recovery of 27 novel protein groups at 1% FDR including 9 high-confidence single-source identifications from unrelated sample biology, indicating the approach reliably distinguishes real novel proteins from transcript assembly artifacts.”</w:t>
      </w:r>
    </w:p>
    <w:p w14:paraId="3398BE32" w14:textId="77777777" w:rsidR="003A7F10" w:rsidRDefault="00D603A0">
      <w:r>
        <w:rPr>
          <w:noProof/>
        </w:rPr>
        <w:pict w14:anchorId="4933FEEA">
          <v:rect id="_x0000_i1025" alt="" style="width:468pt;height:.05pt;mso-width-percent:0;mso-height-percent:0;mso-width-percent:0;mso-height-percent:0" o:hralign="center" o:hrstd="t" o:hr="t"/>
        </w:pict>
      </w:r>
    </w:p>
    <w:p w14:paraId="05C55F35" w14:textId="77777777" w:rsidR="003A7F10" w:rsidRDefault="00000000">
      <w:pPr>
        <w:pStyle w:val="FirstParagraph"/>
      </w:pPr>
      <w:r>
        <w:t>For technical questions, contact Brett Phinney (UC Davis Proteomics Core). For the underlying source code: github.com/bsphinney/DE-LIMP (feature/proteogenomics-builder branch, tag phase-c-orchestrator-validated).</w:t>
      </w:r>
      <w:bookmarkEnd w:id="0"/>
      <w:bookmarkEnd w:id="9"/>
    </w:p>
    <w:sectPr w:rsidR="003A7F10">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EE18ED" w14:textId="77777777" w:rsidR="00D603A0" w:rsidRDefault="00D603A0">
      <w:pPr>
        <w:spacing w:after="0"/>
      </w:pPr>
      <w:r>
        <w:separator/>
      </w:r>
    </w:p>
  </w:endnote>
  <w:endnote w:type="continuationSeparator" w:id="0">
    <w:p w14:paraId="2FFF956D" w14:textId="77777777" w:rsidR="00D603A0" w:rsidRDefault="00D603A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47C7FE" w14:textId="77777777" w:rsidR="00D603A0" w:rsidRDefault="00D603A0">
      <w:r>
        <w:separator/>
      </w:r>
    </w:p>
  </w:footnote>
  <w:footnote w:type="continuationSeparator" w:id="0">
    <w:p w14:paraId="0C3923B6" w14:textId="77777777" w:rsidR="00D603A0" w:rsidRDefault="00D603A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FEF6E70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 w15:restartNumberingAfterBreak="0">
    <w:nsid w:val="2C1AE401"/>
    <w:multiLevelType w:val="multilevel"/>
    <w:tmpl w:val="57EEA6B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2" w15:restartNumberingAfterBreak="0">
    <w:nsid w:val="71315DCA"/>
    <w:multiLevelType w:val="multilevel"/>
    <w:tmpl w:val="295866C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1968898759">
    <w:abstractNumId w:val="1"/>
  </w:num>
  <w:num w:numId="2" w16cid:durableId="117783989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32215763">
    <w:abstractNumId w:val="2"/>
  </w:num>
  <w:num w:numId="4" w16cid:durableId="1309894154">
    <w:abstractNumId w:val="2"/>
  </w:num>
  <w:num w:numId="5" w16cid:durableId="1339894365">
    <w:abstractNumId w:val="2"/>
  </w:num>
  <w:num w:numId="6" w16cid:durableId="807283981">
    <w:abstractNumId w:val="2"/>
  </w:num>
  <w:num w:numId="7" w16cid:durableId="100104225">
    <w:abstractNumId w:val="2"/>
  </w:num>
  <w:num w:numId="8" w16cid:durableId="148894068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02725F"/>
    <w:rsid w:val="003A7F10"/>
    <w:rsid w:val="004E29B3"/>
    <w:rsid w:val="00590D07"/>
    <w:rsid w:val="00784D58"/>
    <w:rsid w:val="008D6863"/>
    <w:rsid w:val="00B86B75"/>
    <w:rsid w:val="00BC48D5"/>
    <w:rsid w:val="00C36279"/>
    <w:rsid w:val="00D07790"/>
    <w:rsid w:val="00D603A0"/>
    <w:rsid w:val="00E315A3"/>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EDFEE3"/>
  <w15:docId w15:val="{CFAF5349-6111-244C-924F-BF1F133E9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5</Pages>
  <Words>1594</Words>
  <Characters>9087</Characters>
  <Application>Microsoft Office Word</Application>
  <DocSecurity>0</DocSecurity>
  <Lines>75</Lines>
  <Paragraphs>21</Paragraphs>
  <ScaleCrop>false</ScaleCrop>
  <Company/>
  <LinksUpToDate>false</LinksUpToDate>
  <CharactersWithSpaces>10660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Brett S Phinney</cp:lastModifiedBy>
  <cp:revision>2</cp:revision>
  <dcterms:created xsi:type="dcterms:W3CDTF">2026-05-26T17:14:00Z</dcterms:created>
  <dcterms:modified xsi:type="dcterms:W3CDTF">2026-05-26T18:07:00Z</dcterms:modified>
</cp:coreProperties>
</file>