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C24D" w14:textId="77777777" w:rsidR="0064205C" w:rsidRPr="0064205C" w:rsidRDefault="0064205C" w:rsidP="0064205C">
      <w:pPr>
        <w:rPr>
          <w:rFonts w:ascii="Times New Roman" w:hAnsi="Times New Roman" w:cs="Times New Roman"/>
          <w:b/>
          <w:bCs/>
        </w:rPr>
      </w:pPr>
      <w:r w:rsidRPr="0064205C">
        <w:rPr>
          <w:rFonts w:ascii="Times New Roman" w:hAnsi="Times New Roman" w:cs="Times New Roman"/>
          <w:b/>
          <w:bCs/>
        </w:rPr>
        <w:t>Why school closure and building transitions are harmful</w:t>
      </w:r>
    </w:p>
    <w:p w14:paraId="5814BC8B" w14:textId="59188169" w:rsidR="0064205C" w:rsidRPr="0064205C" w:rsidRDefault="0064205C" w:rsidP="006420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205C">
        <w:rPr>
          <w:rFonts w:ascii="Times New Roman" w:hAnsi="Times New Roman" w:cs="Times New Roman"/>
          <w:b/>
          <w:bCs/>
        </w:rPr>
        <w:t>They weaken local economies</w:t>
      </w:r>
      <w:r w:rsidRPr="000D6342">
        <w:rPr>
          <w:rFonts w:ascii="Times New Roman" w:hAnsi="Times New Roman" w:cs="Times New Roman"/>
          <w:b/>
          <w:bCs/>
        </w:rPr>
        <w:t xml:space="preserve"> and fail to save money overall</w:t>
      </w:r>
      <w:r w:rsidRPr="0064205C">
        <w:rPr>
          <w:rFonts w:ascii="Times New Roman" w:hAnsi="Times New Roman" w:cs="Times New Roman"/>
        </w:rPr>
        <w:br/>
        <w:t>Schools act as economic anchors; when they close, property values drop, small businesses lose customers, and communities experience declining tax bases.</w:t>
      </w:r>
      <w:r w:rsidRPr="000D6342">
        <w:rPr>
          <w:rFonts w:ascii="Times New Roman" w:hAnsi="Times New Roman" w:cs="Times New Roman"/>
        </w:rPr>
        <w:t xml:space="preserve"> In addition, t</w:t>
      </w:r>
      <w:r w:rsidRPr="0064205C">
        <w:rPr>
          <w:rFonts w:ascii="Times New Roman" w:hAnsi="Times New Roman" w:cs="Times New Roman"/>
        </w:rPr>
        <w:t>he supposed “economies of scale” from consolidation are frequently offset by increased transportation costs, infrastructure strain, and broader economic losses to the community.</w:t>
      </w:r>
    </w:p>
    <w:p w14:paraId="32099DBC" w14:textId="77777777" w:rsidR="0064205C" w:rsidRPr="0064205C" w:rsidRDefault="0064205C" w:rsidP="006420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205C">
        <w:rPr>
          <w:rFonts w:ascii="Times New Roman" w:hAnsi="Times New Roman" w:cs="Times New Roman"/>
          <w:b/>
          <w:bCs/>
        </w:rPr>
        <w:t>They erode community identity and social cohesion</w:t>
      </w:r>
      <w:r w:rsidRPr="0064205C">
        <w:rPr>
          <w:rFonts w:ascii="Times New Roman" w:hAnsi="Times New Roman" w:cs="Times New Roman"/>
        </w:rPr>
        <w:br/>
        <w:t>Schools serve as the “heart” of communities; their removal leads to a loss of shared identity, pride, and sense of place.</w:t>
      </w:r>
    </w:p>
    <w:p w14:paraId="3F286CFB" w14:textId="2E7626B5" w:rsidR="0064205C" w:rsidRPr="0064205C" w:rsidRDefault="0064205C" w:rsidP="006420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205C">
        <w:rPr>
          <w:rFonts w:ascii="Times New Roman" w:hAnsi="Times New Roman" w:cs="Times New Roman"/>
          <w:b/>
          <w:bCs/>
        </w:rPr>
        <w:t>They negatively impact student well-being and daily life</w:t>
      </w:r>
      <w:r w:rsidRPr="0064205C">
        <w:rPr>
          <w:rFonts w:ascii="Times New Roman" w:hAnsi="Times New Roman" w:cs="Times New Roman"/>
        </w:rPr>
        <w:br/>
        <w:t>Longer commutes lead to fatigue, reduced extracurricular participation, and increased stress, affecting both physical and emotional health.</w:t>
      </w:r>
      <w:r w:rsidRPr="000D6342">
        <w:rPr>
          <w:rFonts w:ascii="Times New Roman" w:hAnsi="Times New Roman" w:cs="Times New Roman"/>
        </w:rPr>
        <w:t xml:space="preserve"> </w:t>
      </w:r>
      <w:r w:rsidR="000D6342">
        <w:rPr>
          <w:rFonts w:ascii="Times New Roman" w:hAnsi="Times New Roman" w:cs="Times New Roman"/>
        </w:rPr>
        <w:t>Building t</w:t>
      </w:r>
      <w:r w:rsidRPr="0064205C">
        <w:rPr>
          <w:rFonts w:ascii="Times New Roman" w:hAnsi="Times New Roman" w:cs="Times New Roman"/>
        </w:rPr>
        <w:t xml:space="preserve">ransitions </w:t>
      </w:r>
      <w:r w:rsidR="000D6342">
        <w:rPr>
          <w:rFonts w:ascii="Times New Roman" w:hAnsi="Times New Roman" w:cs="Times New Roman"/>
        </w:rPr>
        <w:t>often</w:t>
      </w:r>
      <w:r w:rsidRPr="0064205C">
        <w:rPr>
          <w:rFonts w:ascii="Times New Roman" w:hAnsi="Times New Roman" w:cs="Times New Roman"/>
        </w:rPr>
        <w:t xml:space="preserve"> cause loneliness, anxiety, depression, and loss of peer/teacher </w:t>
      </w:r>
      <w:proofErr w:type="gramStart"/>
      <w:r w:rsidRPr="0064205C">
        <w:rPr>
          <w:rFonts w:ascii="Times New Roman" w:hAnsi="Times New Roman" w:cs="Times New Roman"/>
        </w:rPr>
        <w:t>connections—</w:t>
      </w:r>
      <w:proofErr w:type="gramEnd"/>
      <w:r w:rsidRPr="0064205C">
        <w:rPr>
          <w:rFonts w:ascii="Times New Roman" w:hAnsi="Times New Roman" w:cs="Times New Roman"/>
        </w:rPr>
        <w:t>especially during sensitive developmental periods like early adolescence.</w:t>
      </w:r>
    </w:p>
    <w:p w14:paraId="0CE9A59D" w14:textId="05B7BF81" w:rsidR="0064205C" w:rsidRPr="000D6342" w:rsidRDefault="0064205C" w:rsidP="006420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205C">
        <w:rPr>
          <w:rFonts w:ascii="Times New Roman" w:hAnsi="Times New Roman" w:cs="Times New Roman"/>
          <w:b/>
          <w:bCs/>
        </w:rPr>
        <w:t>They disrupt academic progress and growth</w:t>
      </w:r>
      <w:r w:rsidRPr="000D6342">
        <w:rPr>
          <w:rFonts w:ascii="Times New Roman" w:hAnsi="Times New Roman" w:cs="Times New Roman"/>
          <w:b/>
          <w:bCs/>
        </w:rPr>
        <w:t xml:space="preserve"> and disproportionately harm vulnerable students</w:t>
      </w:r>
      <w:r w:rsidRPr="0064205C">
        <w:rPr>
          <w:rFonts w:ascii="Times New Roman" w:hAnsi="Times New Roman" w:cs="Times New Roman"/>
        </w:rPr>
        <w:br/>
        <w:t>School transitions (e.g., changing buildings) are linked to lower academic growth, especially in key transition years.</w:t>
      </w:r>
      <w:r w:rsidRPr="000D6342">
        <w:rPr>
          <w:rFonts w:ascii="Times New Roman" w:hAnsi="Times New Roman" w:cs="Times New Roman"/>
        </w:rPr>
        <w:t xml:space="preserve"> </w:t>
      </w:r>
      <w:r w:rsidRPr="0064205C">
        <w:rPr>
          <w:rFonts w:ascii="Times New Roman" w:hAnsi="Times New Roman" w:cs="Times New Roman"/>
        </w:rPr>
        <w:t>Students with higher needs (e.g., neurodivergent students or highly mobile students) experience greater anxiety, disruption, and academic setbacks during school changes.</w:t>
      </w:r>
      <w:r w:rsidRPr="000D6342">
        <w:rPr>
          <w:rFonts w:ascii="Times New Roman" w:hAnsi="Times New Roman" w:cs="Times New Roman"/>
        </w:rPr>
        <w:t xml:space="preserve"> Many never recover.</w:t>
      </w:r>
    </w:p>
    <w:p w14:paraId="4CB1188D" w14:textId="77777777" w:rsidR="0064205C" w:rsidRPr="000D6342" w:rsidRDefault="0064205C" w:rsidP="0064205C">
      <w:pPr>
        <w:rPr>
          <w:rFonts w:ascii="Times New Roman" w:hAnsi="Times New Roman" w:cs="Times New Roman"/>
        </w:rPr>
      </w:pPr>
    </w:p>
    <w:p w14:paraId="032B5C78" w14:textId="77777777" w:rsidR="00264DAE" w:rsidRPr="000D6342" w:rsidRDefault="00264DAE" w:rsidP="0064205C">
      <w:pPr>
        <w:rPr>
          <w:rFonts w:ascii="Times New Roman" w:hAnsi="Times New Roman" w:cs="Times New Roman"/>
        </w:rPr>
      </w:pPr>
    </w:p>
    <w:p w14:paraId="2177F37E" w14:textId="77777777" w:rsidR="0064205C" w:rsidRPr="000D6342" w:rsidRDefault="0064205C" w:rsidP="0064205C">
      <w:pPr>
        <w:rPr>
          <w:rFonts w:ascii="Times New Roman" w:hAnsi="Times New Roman" w:cs="Times New Roman"/>
        </w:rPr>
      </w:pPr>
    </w:p>
    <w:p w14:paraId="4A281F11" w14:textId="77777777" w:rsidR="0064205C" w:rsidRPr="000D6342" w:rsidRDefault="0064205C" w:rsidP="0064205C">
      <w:pPr>
        <w:rPr>
          <w:rFonts w:ascii="Times New Roman" w:hAnsi="Times New Roman" w:cs="Times New Roman"/>
        </w:rPr>
      </w:pPr>
    </w:p>
    <w:p w14:paraId="31387B1E" w14:textId="77777777" w:rsidR="0064205C" w:rsidRPr="000D6342" w:rsidRDefault="0064205C" w:rsidP="0064205C">
      <w:pPr>
        <w:rPr>
          <w:rFonts w:ascii="Times New Roman" w:hAnsi="Times New Roman" w:cs="Times New Roman"/>
        </w:rPr>
      </w:pPr>
    </w:p>
    <w:p w14:paraId="215D15D5" w14:textId="77777777" w:rsidR="0064205C" w:rsidRPr="000D6342" w:rsidRDefault="0064205C" w:rsidP="0064205C">
      <w:pPr>
        <w:rPr>
          <w:rFonts w:ascii="Times New Roman" w:hAnsi="Times New Roman" w:cs="Times New Roman"/>
        </w:rPr>
      </w:pPr>
    </w:p>
    <w:p w14:paraId="313691AB" w14:textId="77777777" w:rsidR="0064205C" w:rsidRPr="000D6342" w:rsidRDefault="0064205C" w:rsidP="0064205C">
      <w:pPr>
        <w:rPr>
          <w:rFonts w:ascii="Times New Roman" w:hAnsi="Times New Roman" w:cs="Times New Roman"/>
        </w:rPr>
      </w:pPr>
    </w:p>
    <w:p w14:paraId="497F631E" w14:textId="77777777" w:rsidR="0064205C" w:rsidRPr="000D6342" w:rsidRDefault="0064205C" w:rsidP="0064205C">
      <w:pPr>
        <w:rPr>
          <w:rFonts w:ascii="Times New Roman" w:hAnsi="Times New Roman" w:cs="Times New Roman"/>
        </w:rPr>
      </w:pPr>
    </w:p>
    <w:p w14:paraId="21D874E1" w14:textId="77777777" w:rsidR="0064205C" w:rsidRPr="000D6342" w:rsidRDefault="0064205C" w:rsidP="0064205C">
      <w:pPr>
        <w:rPr>
          <w:rFonts w:ascii="Times New Roman" w:hAnsi="Times New Roman" w:cs="Times New Roman"/>
        </w:rPr>
      </w:pPr>
    </w:p>
    <w:p w14:paraId="4B1D6625" w14:textId="77777777" w:rsidR="0064205C" w:rsidRDefault="0064205C" w:rsidP="0064205C">
      <w:pPr>
        <w:rPr>
          <w:rFonts w:ascii="Times New Roman" w:hAnsi="Times New Roman" w:cs="Times New Roman"/>
        </w:rPr>
      </w:pPr>
    </w:p>
    <w:p w14:paraId="5E2ECF06" w14:textId="77777777" w:rsidR="000D6342" w:rsidRDefault="000D6342" w:rsidP="0064205C">
      <w:pPr>
        <w:rPr>
          <w:rFonts w:ascii="Times New Roman" w:hAnsi="Times New Roman" w:cs="Times New Roman"/>
        </w:rPr>
      </w:pPr>
    </w:p>
    <w:p w14:paraId="6FD46DCF" w14:textId="77777777" w:rsidR="000D6342" w:rsidRPr="000D6342" w:rsidRDefault="000D6342" w:rsidP="0064205C">
      <w:pPr>
        <w:rPr>
          <w:rFonts w:ascii="Times New Roman" w:hAnsi="Times New Roman" w:cs="Times New Roman"/>
        </w:rPr>
      </w:pPr>
    </w:p>
    <w:p w14:paraId="73838A32" w14:textId="7F276693" w:rsidR="0064205C" w:rsidRPr="000D6342" w:rsidRDefault="0064205C" w:rsidP="0064205C">
      <w:pPr>
        <w:rPr>
          <w:rFonts w:ascii="Times New Roman" w:hAnsi="Times New Roman" w:cs="Times New Roman"/>
        </w:rPr>
      </w:pPr>
      <w:r w:rsidRPr="000D6342">
        <w:rPr>
          <w:rFonts w:ascii="Times New Roman" w:hAnsi="Times New Roman" w:cs="Times New Roman"/>
        </w:rPr>
        <w:lastRenderedPageBreak/>
        <w:t>References:</w:t>
      </w:r>
    </w:p>
    <w:p w14:paraId="640E6603" w14:textId="09FAA97B" w:rsidR="000D6342" w:rsidRDefault="000D6342" w:rsidP="000D6342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0D6342">
        <w:rPr>
          <w:rFonts w:ascii="Times New Roman" w:hAnsi="Times New Roman" w:cs="Times New Roman"/>
          <w:color w:val="1F1F1F"/>
        </w:rPr>
        <w:t xml:space="preserve">Barnes, K. (2022, April 6). </w:t>
      </w:r>
      <w:r w:rsidRPr="000D6342">
        <w:rPr>
          <w:rFonts w:ascii="Times New Roman" w:hAnsi="Times New Roman" w:cs="Times New Roman"/>
          <w:i/>
          <w:iCs/>
          <w:color w:val="1F1F1F"/>
        </w:rPr>
        <w:t>Building transitions lead to lower value-added growth for middle-school students</w:t>
      </w:r>
      <w:r w:rsidRPr="000D6342">
        <w:rPr>
          <w:rFonts w:ascii="Times New Roman" w:hAnsi="Times New Roman" w:cs="Times New Roman"/>
          <w:color w:val="1F1F1F"/>
        </w:rPr>
        <w:t>. University of Arkansas, Office for Education Policy (OEP).</w:t>
      </w:r>
    </w:p>
    <w:p w14:paraId="0F416A3C" w14:textId="77777777" w:rsidR="000D6342" w:rsidRPr="000D6342" w:rsidRDefault="000D6342" w:rsidP="000D6342">
      <w:pPr>
        <w:spacing w:after="0" w:line="240" w:lineRule="auto"/>
        <w:ind w:left="720" w:hanging="720"/>
        <w:rPr>
          <w:rFonts w:ascii="Times New Roman" w:hAnsi="Times New Roman" w:cs="Times New Roman"/>
        </w:rPr>
      </w:pPr>
    </w:p>
    <w:p w14:paraId="2F4D16AE" w14:textId="0362100D" w:rsidR="0064205C" w:rsidRPr="000D6342" w:rsidRDefault="0064205C" w:rsidP="000D6342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0D6342">
        <w:rPr>
          <w:rFonts w:ascii="Times New Roman" w:hAnsi="Times New Roman" w:cs="Times New Roman"/>
        </w:rPr>
        <w:t>Haynes, M. (2022). The impacts of school closure on rural communities in Canada: A review. </w:t>
      </w:r>
      <w:r w:rsidRPr="000D6342">
        <w:rPr>
          <w:rFonts w:ascii="Times New Roman" w:hAnsi="Times New Roman" w:cs="Times New Roman"/>
          <w:i/>
          <w:iCs/>
        </w:rPr>
        <w:t>The Rural Educator, 43</w:t>
      </w:r>
      <w:r w:rsidRPr="000D6342">
        <w:rPr>
          <w:rFonts w:ascii="Times New Roman" w:hAnsi="Times New Roman" w:cs="Times New Roman"/>
        </w:rPr>
        <w:t>(2), 60-74. </w:t>
      </w:r>
      <w:hyperlink r:id="rId5" w:history="1">
        <w:r w:rsidRPr="000D6342">
          <w:rPr>
            <w:rStyle w:val="Hyperlink"/>
            <w:rFonts w:ascii="Times New Roman" w:hAnsi="Times New Roman" w:cs="Times New Roman"/>
          </w:rPr>
          <w:t>https://doi.org/10.55533/2643-9662.1321</w:t>
        </w:r>
      </w:hyperlink>
    </w:p>
    <w:p w14:paraId="727EE834" w14:textId="5B953A77" w:rsidR="000D6342" w:rsidRPr="000D6342" w:rsidRDefault="000D6342" w:rsidP="000D6342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0D6342">
        <w:rPr>
          <w:rFonts w:ascii="Times New Roman" w:hAnsi="Times New Roman" w:cs="Times New Roman"/>
          <w:color w:val="1F1F1F"/>
        </w:rPr>
        <w:t xml:space="preserve">López, B. A., &amp; Benner, A. D. (2025). Promoting students’ well-being during the transition to high school. </w:t>
      </w:r>
      <w:r w:rsidRPr="000D6342">
        <w:rPr>
          <w:rFonts w:ascii="Times New Roman" w:hAnsi="Times New Roman" w:cs="Times New Roman"/>
          <w:i/>
          <w:iCs/>
          <w:color w:val="1F1F1F"/>
        </w:rPr>
        <w:t>State Education Standard, 25</w:t>
      </w:r>
      <w:r w:rsidRPr="000D6342">
        <w:rPr>
          <w:rFonts w:ascii="Times New Roman" w:hAnsi="Times New Roman" w:cs="Times New Roman"/>
          <w:color w:val="1F1F1F"/>
        </w:rPr>
        <w:t>(2), 28–33.</w:t>
      </w:r>
    </w:p>
    <w:p w14:paraId="070073B4" w14:textId="77777777" w:rsidR="0064205C" w:rsidRPr="000D6342" w:rsidRDefault="0064205C" w:rsidP="000D6342">
      <w:pPr>
        <w:spacing w:line="240" w:lineRule="auto"/>
        <w:rPr>
          <w:rFonts w:ascii="Times New Roman" w:hAnsi="Times New Roman" w:cs="Times New Roman"/>
        </w:rPr>
      </w:pPr>
    </w:p>
    <w:p w14:paraId="04595F64" w14:textId="77777777" w:rsidR="000D6342" w:rsidRPr="000D6342" w:rsidRDefault="000D6342" w:rsidP="000D63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hAnsi="Times New Roman" w:cs="Times New Roman"/>
          <w:color w:val="000000"/>
        </w:rPr>
      </w:pPr>
      <w:r w:rsidRPr="000D6342">
        <w:rPr>
          <w:rFonts w:ascii="Times New Roman" w:hAnsi="Times New Roman" w:cs="Times New Roman"/>
          <w:color w:val="000000"/>
        </w:rPr>
        <w:t>Lyson, T. A. (2002). What does a school mean to a community? Assessing the social and economic benefits of schools to rural villages in New York. Journal of Research in Rural Education, 17(3), 131–137.</w:t>
      </w:r>
    </w:p>
    <w:p w14:paraId="35687B92" w14:textId="77777777" w:rsidR="000D6342" w:rsidRPr="000D6342" w:rsidRDefault="000D6342" w:rsidP="000D6342">
      <w:pPr>
        <w:spacing w:line="240" w:lineRule="auto"/>
        <w:rPr>
          <w:rFonts w:ascii="Times New Roman" w:hAnsi="Times New Roman" w:cs="Times New Roman"/>
        </w:rPr>
      </w:pPr>
    </w:p>
    <w:p w14:paraId="2A30AB69" w14:textId="77777777" w:rsidR="000D6342" w:rsidRPr="000D6342" w:rsidRDefault="000D6342" w:rsidP="000D634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hAnsi="Times New Roman" w:cs="Times New Roman"/>
          <w:color w:val="000000"/>
        </w:rPr>
      </w:pPr>
      <w:r w:rsidRPr="000D6342">
        <w:rPr>
          <w:rFonts w:ascii="Times New Roman" w:hAnsi="Times New Roman" w:cs="Times New Roman"/>
          <w:color w:val="000000"/>
        </w:rPr>
        <w:t>Oncescu, J. (2014). Creating constraints to community resiliency: The event of a rural school's closure. Online Journal of Rural Research and Policy, 9(2), 1–30.</w:t>
      </w:r>
      <w:hyperlink r:id="rId6">
        <w:r w:rsidRPr="000D6342">
          <w:rPr>
            <w:rFonts w:ascii="Times New Roman" w:hAnsi="Times New Roman" w:cs="Times New Roman"/>
            <w:color w:val="000000"/>
          </w:rPr>
          <w:t xml:space="preserve"> </w:t>
        </w:r>
      </w:hyperlink>
      <w:hyperlink r:id="rId7">
        <w:r w:rsidRPr="000D6342">
          <w:rPr>
            <w:rFonts w:ascii="Times New Roman" w:hAnsi="Times New Roman" w:cs="Times New Roman"/>
            <w:color w:val="1155CC"/>
            <w:u w:val="single"/>
          </w:rPr>
          <w:t>https://doi.org/10.4148/ojrrp.v9i2.1975</w:t>
        </w:r>
      </w:hyperlink>
    </w:p>
    <w:p w14:paraId="564B84C0" w14:textId="77777777" w:rsidR="000D6342" w:rsidRPr="000D6342" w:rsidRDefault="000D6342" w:rsidP="000D6342">
      <w:pPr>
        <w:spacing w:line="240" w:lineRule="auto"/>
        <w:rPr>
          <w:rFonts w:ascii="Times New Roman" w:hAnsi="Times New Roman" w:cs="Times New Roman"/>
        </w:rPr>
      </w:pPr>
    </w:p>
    <w:p w14:paraId="7E2CF422" w14:textId="09F6A603" w:rsidR="0064205C" w:rsidRPr="000D6342" w:rsidRDefault="0064205C" w:rsidP="000D6342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0D6342">
        <w:rPr>
          <w:rFonts w:ascii="Times New Roman" w:hAnsi="Times New Roman" w:cs="Times New Roman"/>
        </w:rPr>
        <w:t>Oncescu, J., &amp; Giles, A. (2014). Rebuilding a sense of community through reconnection: The impact of a rural school’s closure on individuals without school-aged children. The Journal of Rural and Community Development, 9(3), 295–318.</w:t>
      </w:r>
    </w:p>
    <w:p w14:paraId="66CDDAA5" w14:textId="77777777" w:rsidR="000D6342" w:rsidRPr="000D6342" w:rsidRDefault="000D6342" w:rsidP="000D6342">
      <w:pPr>
        <w:spacing w:after="0" w:line="240" w:lineRule="auto"/>
        <w:ind w:left="720" w:hanging="720"/>
        <w:rPr>
          <w:rFonts w:ascii="Times New Roman" w:hAnsi="Times New Roman" w:cs="Times New Roman"/>
          <w:color w:val="1F1F1F"/>
        </w:rPr>
      </w:pPr>
      <w:r w:rsidRPr="000D6342">
        <w:rPr>
          <w:rFonts w:ascii="Times New Roman" w:hAnsi="Times New Roman" w:cs="Times New Roman"/>
          <w:color w:val="1F1F1F"/>
        </w:rPr>
        <w:t xml:space="preserve">Roberts, R. A. (2024). </w:t>
      </w:r>
      <w:r w:rsidRPr="000D6342">
        <w:rPr>
          <w:rFonts w:ascii="Times New Roman" w:hAnsi="Times New Roman" w:cs="Times New Roman"/>
          <w:i/>
          <w:iCs/>
          <w:color w:val="1F1F1F"/>
        </w:rPr>
        <w:t>A review of best practices for implementation of transition programs from middle to high school: A qualitative study</w:t>
      </w:r>
      <w:r w:rsidRPr="000D6342">
        <w:rPr>
          <w:rFonts w:ascii="Times New Roman" w:hAnsi="Times New Roman" w:cs="Times New Roman"/>
          <w:color w:val="1F1F1F"/>
        </w:rPr>
        <w:t xml:space="preserve"> (ED659771) [Doctoral dissertation, University of Bridgeport]. ERIC.</w:t>
      </w:r>
    </w:p>
    <w:p w14:paraId="25C04C50" w14:textId="77777777" w:rsidR="000D6342" w:rsidRPr="000D6342" w:rsidRDefault="000D6342" w:rsidP="000D6342">
      <w:pPr>
        <w:spacing w:after="0" w:line="240" w:lineRule="auto"/>
        <w:rPr>
          <w:rFonts w:ascii="Times New Roman" w:hAnsi="Times New Roman" w:cs="Times New Roman"/>
          <w:color w:val="1F1F1F"/>
        </w:rPr>
      </w:pPr>
    </w:p>
    <w:p w14:paraId="6D00C603" w14:textId="77777777" w:rsidR="000D6342" w:rsidRPr="000D6342" w:rsidRDefault="000D6342" w:rsidP="000D6342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0D6342">
        <w:rPr>
          <w:rFonts w:ascii="Times New Roman" w:hAnsi="Times New Roman" w:cs="Times New Roman"/>
          <w:color w:val="1F1F1F"/>
        </w:rPr>
        <w:t xml:space="preserve">Rumberger, R. W. (2015). </w:t>
      </w:r>
      <w:r w:rsidRPr="000D6342">
        <w:rPr>
          <w:rFonts w:ascii="Times New Roman" w:hAnsi="Times New Roman" w:cs="Times New Roman"/>
          <w:i/>
          <w:iCs/>
          <w:color w:val="1F1F1F"/>
        </w:rPr>
        <w:t>Student mobility: Causes, consequences, and solutions</w:t>
      </w:r>
      <w:r w:rsidRPr="000D6342">
        <w:rPr>
          <w:rFonts w:ascii="Times New Roman" w:hAnsi="Times New Roman" w:cs="Times New Roman"/>
          <w:color w:val="1F1F1F"/>
        </w:rPr>
        <w:t>. National Education Policy Center.</w:t>
      </w:r>
      <w:hyperlink r:id="rId8">
        <w:r w:rsidRPr="000D6342">
          <w:rPr>
            <w:rFonts w:ascii="Times New Roman" w:hAnsi="Times New Roman" w:cs="Times New Roman"/>
            <w:color w:val="1F1F1F"/>
          </w:rPr>
          <w:t xml:space="preserve"> </w:t>
        </w:r>
      </w:hyperlink>
      <w:hyperlink r:id="rId9">
        <w:r w:rsidRPr="000D6342">
          <w:rPr>
            <w:rFonts w:ascii="Times New Roman" w:hAnsi="Times New Roman" w:cs="Times New Roman"/>
            <w:color w:val="0B57D0"/>
            <w:u w:val="single"/>
          </w:rPr>
          <w:t>http://nepc.colorado.edu/publication/student-mobility</w:t>
        </w:r>
      </w:hyperlink>
    </w:p>
    <w:p w14:paraId="28B2FCF7" w14:textId="77777777" w:rsidR="000D6342" w:rsidRPr="000D6342" w:rsidRDefault="000D6342" w:rsidP="000D6342">
      <w:pPr>
        <w:spacing w:after="0" w:line="240" w:lineRule="auto"/>
        <w:rPr>
          <w:rFonts w:ascii="Times New Roman" w:hAnsi="Times New Roman" w:cs="Times New Roman"/>
        </w:rPr>
      </w:pPr>
    </w:p>
    <w:p w14:paraId="129CD1CA" w14:textId="77777777" w:rsidR="000D6342" w:rsidRPr="000D6342" w:rsidRDefault="000D6342" w:rsidP="000D6342">
      <w:pPr>
        <w:spacing w:after="240" w:line="240" w:lineRule="auto"/>
        <w:ind w:left="720" w:hanging="720"/>
        <w:rPr>
          <w:rFonts w:ascii="Times New Roman" w:hAnsi="Times New Roman" w:cs="Times New Roman"/>
        </w:rPr>
      </w:pPr>
      <w:proofErr w:type="spellStart"/>
      <w:r w:rsidRPr="000D6342">
        <w:rPr>
          <w:rFonts w:ascii="Times New Roman" w:hAnsi="Times New Roman" w:cs="Times New Roman"/>
          <w:color w:val="1F1F1F"/>
        </w:rPr>
        <w:t>Sideropoulos</w:t>
      </w:r>
      <w:proofErr w:type="spellEnd"/>
      <w:r w:rsidRPr="000D6342">
        <w:rPr>
          <w:rFonts w:ascii="Times New Roman" w:hAnsi="Times New Roman" w:cs="Times New Roman"/>
          <w:color w:val="1F1F1F"/>
        </w:rPr>
        <w:t xml:space="preserve">, V., Palikara, O., Burchell, E., Ashworth, M., &amp; Van </w:t>
      </w:r>
      <w:proofErr w:type="spellStart"/>
      <w:r w:rsidRPr="000D6342">
        <w:rPr>
          <w:rFonts w:ascii="Times New Roman" w:hAnsi="Times New Roman" w:cs="Times New Roman"/>
          <w:color w:val="1F1F1F"/>
        </w:rPr>
        <w:t>Herwegen</w:t>
      </w:r>
      <w:proofErr w:type="spellEnd"/>
      <w:r w:rsidRPr="000D6342">
        <w:rPr>
          <w:rFonts w:ascii="Times New Roman" w:hAnsi="Times New Roman" w:cs="Times New Roman"/>
          <w:color w:val="1F1F1F"/>
        </w:rPr>
        <w:t xml:space="preserve">, J. (2024). Anxiety during transition from primary to secondary schools in neurodivergent children. </w:t>
      </w:r>
      <w:r w:rsidRPr="000D6342">
        <w:rPr>
          <w:rFonts w:ascii="Times New Roman" w:hAnsi="Times New Roman" w:cs="Times New Roman"/>
          <w:i/>
          <w:iCs/>
          <w:color w:val="1F1F1F"/>
        </w:rPr>
        <w:t>JCPP Advances, 5</w:t>
      </w:r>
      <w:r w:rsidRPr="000D6342">
        <w:rPr>
          <w:rFonts w:ascii="Times New Roman" w:hAnsi="Times New Roman" w:cs="Times New Roman"/>
          <w:color w:val="1F1F1F"/>
        </w:rPr>
        <w:t>(2).</w:t>
      </w:r>
    </w:p>
    <w:p w14:paraId="7F4B9B96" w14:textId="77777777" w:rsidR="000D6342" w:rsidRPr="000D6342" w:rsidRDefault="000D6342" w:rsidP="000D6342">
      <w:pPr>
        <w:spacing w:after="0" w:line="276" w:lineRule="auto"/>
        <w:rPr>
          <w:rFonts w:ascii="Times New Roman" w:hAnsi="Times New Roman" w:cs="Times New Roman"/>
        </w:rPr>
      </w:pPr>
    </w:p>
    <w:p w14:paraId="6F7EC2B6" w14:textId="77777777" w:rsidR="000D6342" w:rsidRPr="000D6342" w:rsidRDefault="000D6342" w:rsidP="000D6342">
      <w:pPr>
        <w:spacing w:after="0" w:line="276" w:lineRule="auto"/>
        <w:rPr>
          <w:rFonts w:ascii="Times New Roman" w:hAnsi="Times New Roman" w:cs="Times New Roman"/>
        </w:rPr>
      </w:pPr>
    </w:p>
    <w:p w14:paraId="6C2F1F3A" w14:textId="77777777" w:rsidR="000D6342" w:rsidRPr="000D6342" w:rsidRDefault="000D6342" w:rsidP="0064205C">
      <w:pPr>
        <w:rPr>
          <w:rFonts w:ascii="Times New Roman" w:hAnsi="Times New Roman" w:cs="Times New Roman"/>
        </w:rPr>
      </w:pPr>
    </w:p>
    <w:sectPr w:rsidR="000D6342" w:rsidRPr="000D6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11378"/>
    <w:multiLevelType w:val="multilevel"/>
    <w:tmpl w:val="43A22F5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0E44779"/>
    <w:multiLevelType w:val="multilevel"/>
    <w:tmpl w:val="3B86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919594">
    <w:abstractNumId w:val="1"/>
  </w:num>
  <w:num w:numId="2" w16cid:durableId="3912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05C"/>
    <w:rsid w:val="000D6342"/>
    <w:rsid w:val="00264DAE"/>
    <w:rsid w:val="00607377"/>
    <w:rsid w:val="0064205C"/>
    <w:rsid w:val="00A20785"/>
    <w:rsid w:val="00AA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BB11"/>
  <w15:chartTrackingRefBased/>
  <w15:docId w15:val="{B8CBD73A-9F5A-4610-9BE0-A0AF6B7C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0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pc.colorado.edu/publication/student-mobil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4148/ojrrp.v9i2.197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4148/ojrrp.v9i2.197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55533/2643-9662.132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nepc.colorado.edu/publication/student-mo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Maine System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Meaghan Lynn Arena</dc:creator>
  <cp:keywords/>
  <dc:description/>
  <cp:lastModifiedBy>Meaghan Lynn Arena</cp:lastModifiedBy>
  <cp:revision>1</cp:revision>
  <dcterms:created xsi:type="dcterms:W3CDTF">2026-03-20T17:41:00Z</dcterms:created>
  <dcterms:modified xsi:type="dcterms:W3CDTF">2026-03-20T18:00:00Z</dcterms:modified>
</cp:coreProperties>
</file>