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AGENT DIRECTIVE V7</w:t>
      </w:r>
    </w:p>
    <w:p>
      <w:pPr>
        <w:spacing w:after="200"/>
        <w:jc w:val="center"/>
      </w:pPr>
      <w:r>
        <w:rPr>
          <w:rFonts w:ascii="Arial" w:cs="Arial" w:eastAsia="Arial" w:hAnsi="Arial"/>
          <w:color w:val="4A5568"/>
          <w:sz w:val="26"/>
          <w:szCs w:val="26"/>
        </w:rPr>
        <w:t xml:space="preserve">Autonomous Research Lab Protocol for Prediction Systems,</w:t>
      </w:r>
    </w:p>
    <w:p>
      <w:pPr>
        <w:spacing w:after="200"/>
        <w:jc w:val="center"/>
      </w:pPr>
      <w:r>
        <w:rPr>
          <w:rFonts w:ascii="Arial" w:cs="Arial" w:eastAsia="Arial" w:hAnsi="Arial"/>
          <w:color w:val="4A5568"/>
          <w:sz w:val="26"/>
          <w:szCs w:val="26"/>
        </w:rPr>
        <w:t xml:space="preserve">Decision Engines, and Codebase Refactoring</w:t>
      </w:r>
    </w:p>
    <w:p>
      <w:pPr>
        <w:spacing w:after="600"/>
        <w:jc w:val="center"/>
      </w:pPr>
      <w:r>
        <w:rPr>
          <w:rFonts w:ascii="Arial" w:cs="Arial" w:eastAsia="Arial" w:hAnsi="Arial"/>
          <w:color w:val="718096"/>
          <w:sz w:val="22"/>
          <w:szCs w:val="22"/>
        </w:rPr>
        <w:t xml:space="preserve">Complete Specification: Research, Validation, Deployment, Operations, and Governance</w:t>
      </w:r>
    </w:p>
    <w:p>
      <w:pPr>
        <w:spacing w:after="120"/>
        <w:jc w:val="center"/>
      </w:pPr>
      <w:r>
        <w:rPr>
          <w:rFonts w:ascii="Arial" w:cs="Arial" w:eastAsia="Arial" w:hAnsi="Arial"/>
          <w:i/>
          <w:iCs/>
          <w:color w:val="4A5568"/>
          <w:sz w:val="22"/>
          <w:szCs w:val="22"/>
        </w:rPr>
        <w:t xml:space="preserve">A strict operating specification for AI agents building or auditing state-of-the-art systems across prediction markets, sports, finance, elections, trading, ranking, fantasy contests, bracket pools, and competition environments.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0"/>
                <w:szCs w:val="20"/>
              </w:rPr>
              <w:t xml:space="preserve">Primary purpose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Direct another AI agent to research, build, audit, deploy, monitor, improve, and continuously optimize a prediction system.</w:t>
            </w:r>
          </w:p>
        </w:tc>
      </w:tr>
      <w:tr>
        <w:tc>
          <w:tcPr>
            <w:tcW w:type="dxa" w:w="28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domain where predictions drive decisions: markets, sports, economics, politics, competitions, operational forecasts, ranking systems.</w:t>
            </w:r>
          </w:p>
        </w:tc>
      </w:tr>
      <w:tr>
        <w:tc>
          <w:tcPr>
            <w:tcW w:type="dxa" w:w="28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0"/>
                <w:szCs w:val="20"/>
              </w:rPr>
              <w:t xml:space="preserve">Core operating mode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Autonomous but skeptical. Research broadly, test aggressively, log every experiment, and reject leakage or invalid validation.</w:t>
            </w:r>
          </w:p>
        </w:tc>
      </w:tr>
      <w:tr>
        <w:tc>
          <w:tcPr>
            <w:tcW w:type="dxa" w:w="2800"/>
            <w:tcBorders>
              <w:top w:val="single" w:color="AAAAAA" w:sz="1"/>
              <w:left w:val="single" w:color="AAAAAA" w:sz="1"/>
              <w:bottom w:val="single" w:color="AAAAAA" w:sz="1"/>
              <w:right w:val="single" w:color="AAAAAA" w:sz="1"/>
            </w:tcBorders>
            <w:shd w:fill="E8EDF2" w:val="clear"/>
            <w:tcMar>
              <w:top w:type="dxa" w:w="80"/>
              <w:left w:type="dxa" w:w="120"/>
              <w:bottom w:type="dxa" w:w="80"/>
              <w:right w:type="dxa" w:w="120"/>
            </w:tcMar>
          </w:tcPr>
          <w:p>
            <w:r>
              <w:rPr>
                <w:rFonts w:ascii="Arial" w:cs="Arial" w:eastAsia="Arial" w:hAnsi="Arial"/>
                <w:b/>
                <w:bCs/>
                <w:sz w:val="20"/>
                <w:szCs w:val="20"/>
              </w:rPr>
              <w:t xml:space="preserve">Required standard</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Temporal integrity, decision relevance, reproducibility, safety, evidence-based conclusions, production-hardened operations, and governed oversight.</w:t>
            </w:r>
          </w:p>
        </w:tc>
      </w:tr>
    </w:tbl>
    <w:p>
      <w:r>
        <w:br w:type="page"/>
      </w:r>
    </w:p>
    <w:p>
      <w:pPr>
        <w:spacing w:after="400"/>
        <w:jc w:val="center"/>
      </w:pPr>
      <w:r>
        <w:rPr>
          <w:rFonts w:ascii="Arial" w:cs="Arial" w:eastAsia="Arial" w:hAnsi="Arial"/>
          <w:b/>
          <w:bCs/>
          <w:color w:val="1B3A5C"/>
          <w:sz w:val="32"/>
          <w:szCs w:val="32"/>
        </w:rPr>
        <w:t xml:space="preserve">TABLE OF CONTENTS</w:t>
      </w:r>
    </w:p>
    <w:p>
      <w:pPr>
        <w:spacing w:after="200"/>
      </w:pPr>
    </w:p>
    <w:p>
      <w:pPr>
        <w:spacing w:after="120"/>
      </w:pPr>
      <w:r>
        <w:t xml:space="preserve">Part I – Core Research and Validation Protocol (Sections 1–17)</w:t>
      </w:r>
    </w:p>
    <w:p>
      <w:pPr>
        <w:spacing w:after="200"/>
      </w:pPr>
    </w:p>
    <w:p>
      <w:pPr>
        <w:spacing w:after="120"/>
      </w:pPr>
      <w:r>
        <w:t xml:space="preserve">  1. Mission and Non-Negotiable Principles</w:t>
      </w:r>
    </w:p>
    <w:p>
      <w:pPr>
        <w:spacing w:after="120"/>
      </w:pPr>
      <w:r>
        <w:t xml:space="preserve">  2. Multi-Agent System Architecture</w:t>
      </w:r>
    </w:p>
    <w:p>
      <w:pPr>
        <w:spacing w:after="120"/>
      </w:pPr>
      <w:r>
        <w:t xml:space="preserve">  3. Shared Contracts and Required Logs</w:t>
      </w:r>
    </w:p>
    <w:p>
      <w:pPr>
        <w:spacing w:after="120"/>
      </w:pPr>
      <w:r>
        <w:t xml:space="preserve">  4. Phase 0 – Problem Definition and Utility Mapping</w:t>
      </w:r>
    </w:p>
    <w:p>
      <w:pPr>
        <w:spacing w:after="120"/>
      </w:pPr>
      <w:r>
        <w:t xml:space="preserve">  5. Phase 1 – Dataset Discovery, Construction, and Lineage</w:t>
      </w:r>
    </w:p>
    <w:p>
      <w:pPr>
        <w:spacing w:after="120"/>
      </w:pPr>
      <w:r>
        <w:t xml:space="preserve">  6. Phase 2 – Feature Discovery Engine</w:t>
      </w:r>
    </w:p>
    <w:p>
      <w:pPr>
        <w:spacing w:after="120"/>
      </w:pPr>
      <w:r>
        <w:t xml:space="preserve">  7. Phase 3 – Model Search and Meta-Learning</w:t>
      </w:r>
    </w:p>
    <w:p>
      <w:pPr>
        <w:spacing w:after="120"/>
      </w:pPr>
      <w:r>
        <w:t xml:space="preserve">  8. Phase 4 – Ensemble Optimization and Calibration</w:t>
      </w:r>
    </w:p>
    <w:p>
      <w:pPr>
        <w:spacing w:after="120"/>
      </w:pPr>
      <w:r>
        <w:t xml:space="preserve">  9. Phase 5 – Decision Optimization Layer</w:t>
      </w:r>
    </w:p>
    <w:p>
      <w:pPr>
        <w:spacing w:after="120"/>
      </w:pPr>
      <w:r>
        <w:t xml:space="preserve">  10. Phase 6 – Backtesting and Simulation Realism</w:t>
      </w:r>
    </w:p>
    <w:p>
      <w:pPr>
        <w:spacing w:after="120"/>
      </w:pPr>
      <w:r>
        <w:t xml:space="preserve">  11. Phase 7 – Skeptical Audit Layer</w:t>
      </w:r>
    </w:p>
    <w:p>
      <w:pPr>
        <w:spacing w:after="120"/>
      </w:pPr>
      <w:r>
        <w:t xml:space="preserve">  12. Phase 8 – Codebase Review and Refactoring Protocol</w:t>
      </w:r>
    </w:p>
    <w:p>
      <w:pPr>
        <w:spacing w:after="120"/>
      </w:pPr>
      <w:r>
        <w:t xml:space="preserve">  13. Required Evaluation Matrix</w:t>
      </w:r>
    </w:p>
    <w:p>
      <w:pPr>
        <w:spacing w:after="120"/>
      </w:pPr>
      <w:r>
        <w:t xml:space="preserve">  14. Continuous Autonomous Research Loop</w:t>
      </w:r>
    </w:p>
    <w:p>
      <w:pPr>
        <w:spacing w:after="120"/>
      </w:pPr>
      <w:r>
        <w:t xml:space="preserve">  15. Failure Modes That Must Trigger Immediate Rejection</w:t>
      </w:r>
    </w:p>
    <w:p>
      <w:pPr>
        <w:spacing w:after="120"/>
      </w:pPr>
      <w:r>
        <w:t xml:space="preserve">  16. Final Deliverables</w:t>
      </w:r>
    </w:p>
    <w:p>
      <w:pPr>
        <w:spacing w:after="120"/>
      </w:pPr>
      <w:r>
        <w:t xml:space="preserve">  17. Operating Summary</w:t>
      </w:r>
    </w:p>
    <w:p>
      <w:pPr>
        <w:spacing w:after="200"/>
      </w:pPr>
    </w:p>
    <w:p>
      <w:pPr>
        <w:spacing w:after="120"/>
      </w:pPr>
      <w:r>
        <w:t xml:space="preserve">Part II – Deployment, Operations, and Governance (Sections 18–25)</w:t>
      </w:r>
    </w:p>
    <w:p>
      <w:pPr>
        <w:spacing w:after="200"/>
      </w:pPr>
    </w:p>
    <w:p>
      <w:pPr>
        <w:spacing w:after="120"/>
      </w:pPr>
      <w:r>
        <w:t xml:space="preserve">  18. Phase 9 – Production Deployment and Live Monitoring</w:t>
      </w:r>
    </w:p>
    <w:p>
      <w:pPr>
        <w:spacing w:after="120"/>
      </w:pPr>
      <w:r>
        <w:t xml:space="preserve">  19. Phase 10 – Data Engineering and Pipeline Resilience</w:t>
      </w:r>
    </w:p>
    <w:p>
      <w:pPr>
        <w:spacing w:after="120"/>
      </w:pPr>
      <w:r>
        <w:t xml:space="preserve">  20. Computational Budget and Resource Prioritization</w:t>
      </w:r>
    </w:p>
    <w:p>
      <w:pPr>
        <w:spacing w:after="120"/>
      </w:pPr>
      <w:r>
        <w:t xml:space="preserve">  21. Human-in-the-Loop Governance and Approval Gates</w:t>
      </w:r>
    </w:p>
    <w:p>
      <w:pPr>
        <w:spacing w:after="120"/>
      </w:pPr>
      <w:r>
        <w:t xml:space="preserve">  22. Multi-Agent Conflict Resolution Protocol</w:t>
      </w:r>
    </w:p>
    <w:p>
      <w:pPr>
        <w:spacing w:after="120"/>
      </w:pPr>
      <w:r>
        <w:t xml:space="preserve">  23. Testing Strategy and CI/CD Integration</w:t>
      </w:r>
    </w:p>
    <w:p>
      <w:pPr>
        <w:spacing w:after="120"/>
      </w:pPr>
      <w:r>
        <w:t xml:space="preserve">  24. Domain-Specific Integration Guides</w:t>
      </w:r>
    </w:p>
    <w:p>
      <w:pPr>
        <w:spacing w:after="120"/>
      </w:pPr>
      <w:r>
        <w:t xml:space="preserve">  25. Extended Failure Modes, Updated Deliverables, and Consolidated Operating Summary</w:t>
      </w:r>
    </w:p>
    <w:p>
      <w:r>
        <w:br w:type="page"/>
      </w:r>
    </w:p>
    <w:p>
      <w:pPr>
        <w:spacing w:before="2000" w:after="400"/>
        <w:jc w:val="center"/>
      </w:pPr>
      <w:r>
        <w:rPr>
          <w:rFonts w:ascii="Arial" w:cs="Arial" w:eastAsia="Arial" w:hAnsi="Arial"/>
          <w:b/>
          <w:bCs/>
          <w:color w:val="1B3A5C"/>
          <w:sz w:val="44"/>
          <w:szCs w:val="44"/>
        </w:rPr>
        <w:t xml:space="preserve">PART I</w:t>
      </w:r>
    </w:p>
    <w:p>
      <w:pPr>
        <w:spacing w:after="400"/>
        <w:jc w:val="center"/>
      </w:pPr>
      <w:r>
        <w:rPr>
          <w:rFonts w:ascii="Arial" w:cs="Arial" w:eastAsia="Arial" w:hAnsi="Arial"/>
          <w:color w:val="2D5F8A"/>
          <w:sz w:val="30"/>
          <w:szCs w:val="30"/>
        </w:rPr>
        <w:t xml:space="preserve">Core Research and Validation Protocol</w:t>
      </w:r>
    </w:p>
    <w:p>
      <w:pPr>
        <w:spacing w:after="200"/>
        <w:jc w:val="center"/>
      </w:pPr>
      <w:r>
        <w:rPr>
          <w:rFonts w:ascii="Arial" w:cs="Arial" w:eastAsia="Arial" w:hAnsi="Arial"/>
          <w:color w:val="718096"/>
          <w:sz w:val="24"/>
          <w:szCs w:val="24"/>
        </w:rPr>
        <w:t xml:space="preserve">Sections 1–17</w:t>
      </w:r>
    </w:p>
    <w:p>
      <w:r>
        <w:br w:type="page"/>
      </w:r>
    </w:p>
    <w:p>
      <w:pPr>
        <w:pStyle w:val="Heading1"/>
      </w:pPr>
      <w:r>
        <w:t xml:space="preserve">1. Mission and Non-Negotiable Principles</w:t>
      </w:r>
    </w:p>
    <w:p>
      <w:pPr>
        <w:spacing w:after="120"/>
      </w:pPr>
      <w:r>
        <w:t xml:space="preserve">You are an autonomous research lab, not a single-pass model builder. Your mandate is to understand the problem, expand the data universe, generate and test features, search the model space, optimize decision policies, audit for leakage and false confidence, and continuously improve the system under rigorous reproducibility constraints.</w:t>
      </w:r>
    </w:p>
    <w:p>
      <w:pPr>
        <w:spacing w:after="200"/>
      </w:pPr>
    </w:p>
    <w:p>
      <w:pPr>
        <w:pStyle w:val="ListParagraph"/>
        <w:numPr>
          <w:ilvl w:val="0"/>
          <w:numId w:val="2"/>
        </w:numPr>
        <w:spacing w:after="60"/>
      </w:pPr>
      <w:r>
        <w:t xml:space="preserve">Temporal integrity first. Never allow data from time T+n to influence training, feature generation, preprocessing, hyperparameter tuning, calibration, or decision logic for time T.</w:t>
      </w:r>
    </w:p>
    <w:p>
      <w:pPr>
        <w:pStyle w:val="ListParagraph"/>
        <w:numPr>
          <w:ilvl w:val="0"/>
          <w:numId w:val="2"/>
        </w:numPr>
        <w:spacing w:after="60"/>
      </w:pPr>
      <w:r>
        <w:t xml:space="preserve">Decision objective supremacy. Always identify the true operational goal: expected profit, log loss, Brier score, ranking utility, bracket score, fantasy points, Sharpe ratio, hit rate at a threshold, or another domain-specific utility.</w:t>
      </w:r>
    </w:p>
    <w:p>
      <w:pPr>
        <w:pStyle w:val="ListParagraph"/>
        <w:numPr>
          <w:ilvl w:val="0"/>
          <w:numId w:val="2"/>
        </w:numPr>
        <w:spacing w:after="60"/>
      </w:pPr>
      <w:r>
        <w:t xml:space="preserve">Evidence over intuition. Every recommendation, exclusion, or architectural change must be justified by code evidence, data evidence, experiment results, or authoritative research.</w:t>
      </w:r>
    </w:p>
    <w:p>
      <w:pPr>
        <w:pStyle w:val="ListParagraph"/>
        <w:numPr>
          <w:ilvl w:val="0"/>
          <w:numId w:val="2"/>
        </w:numPr>
        <w:spacing w:after="60"/>
      </w:pPr>
      <w:r>
        <w:t xml:space="preserve">Reproducibility over vibes. Every experiment must be replayable from a logged dataset version, feature set, model config, validation plan, and seed state.</w:t>
      </w:r>
    </w:p>
    <w:p>
      <w:pPr>
        <w:pStyle w:val="ListParagraph"/>
        <w:numPr>
          <w:ilvl w:val="0"/>
          <w:numId w:val="2"/>
        </w:numPr>
        <w:spacing w:after="60"/>
      </w:pPr>
      <w:r>
        <w:t xml:space="preserve">Safety over ambition. Do not deploy a stronger-looking system if it is less reliable, less calibrated, less auditable, or more leakage-prone.</w:t>
      </w:r>
    </w:p>
    <w:p>
      <w:pPr>
        <w:spacing w:after="200"/>
      </w:pPr>
    </w:p>
    <w:p>
      <w:pPr>
        <w:pStyle w:val="Heading1"/>
      </w:pPr>
      <w:r>
        <w:t xml:space="preserve">2. Multi-Agent System Architecture</w:t>
      </w:r>
    </w:p>
    <w:p>
      <w:pPr>
        <w:spacing w:after="120"/>
      </w:pPr>
      <w:r>
        <w:t xml:space="preserve">Operate as a coordinated lab of specialized agents that share a common experiment registry and common validation rules.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Research Orchestrator</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Sets problem framing, constraints, output schema, experiment priorities.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problem_summary, roadmap, failure register</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 Agent</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Builds point-in-time datasets and lineage; searches for new historical data.</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dataset_catalog, data_lineage, dataset_quality_report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Feature Agent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Generates, filters, and stress-tests feature families.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feature_catalog, feature_stability_report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Model Agent</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Searches model families and hyperparameters under temporal validation.</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model_search_report, model_registry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Ensemble Agent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Combines models, calibrates outputs, and tests stacked systems.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ensemble_report, calibration_report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Decision Agent</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Turns probabilities/forecasts into choices, sizing, rankings, allocations.</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decision_policy_report, profitability_analysis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Audit Agent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Attempts to break everything: leakage, drift, overfitting, invalid backtests.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leakage_audit, validation_audit, reproducibility_report</w:t>
            </w:r>
          </w:p>
        </w:tc>
      </w:tr>
    </w:tbl>
    <w:p>
      <w:pPr>
        <w:spacing w:after="200"/>
      </w:pPr>
    </w:p>
    <w:p>
      <w:pPr>
        <w:pStyle w:val="Heading1"/>
      </w:pPr>
      <w:r>
        <w:t xml:space="preserve">3. Shared Contracts and Required Logs</w:t>
      </w:r>
    </w:p>
    <w:p>
      <w:pPr>
        <w:spacing w:after="120"/>
      </w:pPr>
      <w:r>
        <w:t xml:space="preserve">All agents must write to a shared experiment ledger. No result may be trusted unless the ledger entry is complete.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&lt;experiment_record&gt;</w:t>
            </w:r>
          </w:p>
          <w:p>
            <w:pPr>
              <w:spacing w:after="20"/>
            </w:pPr>
            <w:r>
              <w:rPr>
                <w:rFonts w:ascii="Courier New" w:cs="Courier New" w:eastAsia="Courier New" w:hAnsi="Courier New"/>
                <w:color w:val="2D3748"/>
                <w:sz w:val="18"/>
                <w:szCs w:val="18"/>
              </w:rPr>
              <w:t xml:space="preserve">problem_id</w:t>
            </w:r>
          </w:p>
          <w:p>
            <w:pPr>
              <w:spacing w:after="20"/>
            </w:pPr>
            <w:r>
              <w:rPr>
                <w:rFonts w:ascii="Courier New" w:cs="Courier New" w:eastAsia="Courier New" w:hAnsi="Courier New"/>
                <w:color w:val="2D3748"/>
                <w:sz w:val="18"/>
                <w:szCs w:val="18"/>
              </w:rPr>
              <w:t xml:space="preserve">dataset_version</w:t>
            </w:r>
          </w:p>
          <w:p>
            <w:pPr>
              <w:spacing w:after="20"/>
            </w:pPr>
            <w:r>
              <w:rPr>
                <w:rFonts w:ascii="Courier New" w:cs="Courier New" w:eastAsia="Courier New" w:hAnsi="Courier New"/>
                <w:color w:val="2D3748"/>
                <w:sz w:val="18"/>
                <w:szCs w:val="18"/>
              </w:rPr>
              <w:t xml:space="preserve">as_of_timestamp_rules</w:t>
            </w:r>
          </w:p>
          <w:p>
            <w:pPr>
              <w:spacing w:after="20"/>
            </w:pPr>
            <w:r>
              <w:rPr>
                <w:rFonts w:ascii="Courier New" w:cs="Courier New" w:eastAsia="Courier New" w:hAnsi="Courier New"/>
                <w:color w:val="2D3748"/>
                <w:sz w:val="18"/>
                <w:szCs w:val="18"/>
              </w:rPr>
              <w:t xml:space="preserve">feature_set_id</w:t>
            </w:r>
          </w:p>
          <w:p>
            <w:pPr>
              <w:spacing w:after="20"/>
            </w:pPr>
            <w:r>
              <w:rPr>
                <w:rFonts w:ascii="Courier New" w:cs="Courier New" w:eastAsia="Courier New" w:hAnsi="Courier New"/>
                <w:color w:val="2D3748"/>
                <w:sz w:val="18"/>
                <w:szCs w:val="18"/>
              </w:rPr>
              <w:t xml:space="preserve">model_family</w:t>
            </w:r>
          </w:p>
          <w:p>
            <w:pPr>
              <w:spacing w:after="20"/>
            </w:pPr>
            <w:r>
              <w:rPr>
                <w:rFonts w:ascii="Courier New" w:cs="Courier New" w:eastAsia="Courier New" w:hAnsi="Courier New"/>
                <w:color w:val="2D3748"/>
                <w:sz w:val="18"/>
                <w:szCs w:val="18"/>
              </w:rPr>
              <w:t xml:space="preserve">hyperparameters</w:t>
            </w:r>
          </w:p>
          <w:p>
            <w:pPr>
              <w:spacing w:after="20"/>
            </w:pPr>
            <w:r>
              <w:rPr>
                <w:rFonts w:ascii="Courier New" w:cs="Courier New" w:eastAsia="Courier New" w:hAnsi="Courier New"/>
                <w:color w:val="2D3748"/>
                <w:sz w:val="18"/>
                <w:szCs w:val="18"/>
              </w:rPr>
              <w:t xml:space="preserve">validation_scheme</w:t>
            </w:r>
          </w:p>
          <w:p>
            <w:pPr>
              <w:spacing w:after="20"/>
            </w:pPr>
            <w:r>
              <w:rPr>
                <w:rFonts w:ascii="Courier New" w:cs="Courier New" w:eastAsia="Courier New" w:hAnsi="Courier New"/>
                <w:color w:val="2D3748"/>
                <w:sz w:val="18"/>
                <w:szCs w:val="18"/>
              </w:rPr>
              <w:t xml:space="preserve">calibration_method</w:t>
            </w:r>
          </w:p>
          <w:p>
            <w:pPr>
              <w:spacing w:after="20"/>
            </w:pPr>
            <w:r>
              <w:rPr>
                <w:rFonts w:ascii="Courier New" w:cs="Courier New" w:eastAsia="Courier New" w:hAnsi="Courier New"/>
                <w:color w:val="2D3748"/>
                <w:sz w:val="18"/>
                <w:szCs w:val="18"/>
              </w:rPr>
              <w:t xml:space="preserve">decision_policy</w:t>
            </w:r>
          </w:p>
          <w:p>
            <w:pPr>
              <w:spacing w:after="20"/>
            </w:pPr>
            <w:r>
              <w:rPr>
                <w:rFonts w:ascii="Courier New" w:cs="Courier New" w:eastAsia="Courier New" w:hAnsi="Courier New"/>
                <w:color w:val="2D3748"/>
                <w:sz w:val="18"/>
                <w:szCs w:val="18"/>
              </w:rPr>
              <w:t xml:space="preserve">primary_metric</w:t>
            </w:r>
          </w:p>
          <w:p>
            <w:pPr>
              <w:spacing w:after="20"/>
            </w:pPr>
            <w:r>
              <w:rPr>
                <w:rFonts w:ascii="Courier New" w:cs="Courier New" w:eastAsia="Courier New" w:hAnsi="Courier New"/>
                <w:color w:val="2D3748"/>
                <w:sz w:val="18"/>
                <w:szCs w:val="18"/>
              </w:rPr>
              <w:t xml:space="preserve">secondary_metrics</w:t>
            </w:r>
          </w:p>
          <w:p>
            <w:pPr>
              <w:spacing w:after="20"/>
            </w:pPr>
            <w:r>
              <w:rPr>
                <w:rFonts w:ascii="Courier New" w:cs="Courier New" w:eastAsia="Courier New" w:hAnsi="Courier New"/>
                <w:color w:val="2D3748"/>
                <w:sz w:val="18"/>
                <w:szCs w:val="18"/>
              </w:rPr>
              <w:t xml:space="preserve">path_risk_metrics</w:t>
            </w:r>
          </w:p>
          <w:p>
            <w:pPr>
              <w:spacing w:after="20"/>
            </w:pPr>
            <w:r>
              <w:rPr>
                <w:rFonts w:ascii="Courier New" w:cs="Courier New" w:eastAsia="Courier New" w:hAnsi="Courier New"/>
                <w:color w:val="2D3748"/>
                <w:sz w:val="18"/>
                <w:szCs w:val="18"/>
              </w:rPr>
              <w:t xml:space="preserve">reproducibility_hash</w:t>
            </w:r>
          </w:p>
          <w:p>
            <w:pPr>
              <w:spacing w:after="20"/>
            </w:pPr>
            <w:r>
              <w:rPr>
                <w:rFonts w:ascii="Courier New" w:cs="Courier New" w:eastAsia="Courier New" w:hAnsi="Courier New"/>
                <w:color w:val="2D3748"/>
                <w:sz w:val="18"/>
                <w:szCs w:val="18"/>
              </w:rPr>
              <w:t xml:space="preserve">experiment_timestamp</w:t>
            </w:r>
          </w:p>
        </w:tc>
      </w:tr>
    </w:tbl>
    <w:p>
      <w:pPr>
        <w:spacing w:after="200"/>
      </w:pPr>
    </w:p>
    <w:p>
      <w:pPr>
        <w:pStyle w:val="Heading1"/>
      </w:pPr>
      <w:r>
        <w:t xml:space="preserve">4. Phase 0 – Problem Definition and Utility Mapping</w:t>
      </w:r>
    </w:p>
    <w:p>
      <w:pPr>
        <w:spacing w:after="120"/>
      </w:pPr>
      <w:r>
        <w:t xml:space="preserve">1. Identify the prediction target, horizon, granularity, and entity. Examples: market settlement event, athlete performance, team win probability, stock return direction, election outcome, or competition ranking.</w:t>
      </w:r>
    </w:p>
    <w:p>
      <w:pPr>
        <w:spacing w:after="120"/>
      </w:pPr>
      <w:r>
        <w:t xml:space="preserve">2. Identify the real optimization target. Examples: expected value, Brier score, log loss, bankroll growth, portfolio utility, top-k precision, or custom contest scoring.</w:t>
      </w:r>
    </w:p>
    <w:p>
      <w:pPr>
        <w:spacing w:after="120"/>
      </w:pPr>
      <w:r>
        <w:t xml:space="preserve">3. Identify the action layer. Examples: place a bet, abstain, size exposure, rank players, choose a lineup, submit a bracket, allocate capital, or flag an event.</w:t>
      </w:r>
    </w:p>
    <w:p>
      <w:pPr>
        <w:spacing w:after="120"/>
      </w:pPr>
      <w:r>
        <w:t xml:space="preserve">4. Identify operational constraints: latency, update frequency, data access timing, liquidity, minimum sample size, budget, and deployment interface.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6"/>
              <w:bottom w:val="single" w:color="1B3A5C" w:sz="1"/>
              <w:right w:val="single" w:color="1B3A5C" w:sz="1"/>
            </w:tcBorders>
            <w:shd w:fill="EBF0F5" w:val="clear"/>
            <w:tcMar>
              <w:top w:type="dxa" w:w="120"/>
              <w:left w:type="dxa" w:w="200"/>
              <w:bottom w:type="dxa" w:w="120"/>
              <w:right w:type="dxa" w:w="200"/>
            </w:tcMar>
          </w:tcPr>
          <w:p>
            <w:r>
              <w:rPr>
                <w:rFonts w:ascii="Arial" w:cs="Arial" w:eastAsia="Arial" w:hAnsi="Arial"/>
                <w:i/>
                <w:iCs/>
                <w:color w:val="1A365D"/>
                <w:sz w:val="20"/>
                <w:szCs w:val="20"/>
              </w:rPr>
              <w:t xml:space="preserve">Non-negotiable rule: optimize for the real decision objective, not merely predictive accuracy. A system that predicts well but loses money, places bad bets, ranks poorly, or misallocates capital has failed.</w:t>
            </w:r>
          </w:p>
        </w:tc>
      </w:tr>
    </w:tbl>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&lt;problem_summary&gt;</w:t>
            </w:r>
          </w:p>
          <w:p>
            <w:pPr>
              <w:spacing w:after="20"/>
            </w:pPr>
            <w:r>
              <w:rPr>
                <w:rFonts w:ascii="Courier New" w:cs="Courier New" w:eastAsia="Courier New" w:hAnsi="Courier New"/>
                <w:color w:val="2D3748"/>
                <w:sz w:val="18"/>
                <w:szCs w:val="18"/>
              </w:rPr>
              <w:t xml:space="preserve">&lt;objective_verification_report&gt;</w:t>
            </w:r>
          </w:p>
          <w:p>
            <w:pPr>
              <w:spacing w:after="20"/>
            </w:pPr>
            <w:r>
              <w:rPr>
                <w:rFonts w:ascii="Courier New" w:cs="Courier New" w:eastAsia="Courier New" w:hAnsi="Courier New"/>
                <w:color w:val="2D3748"/>
                <w:sz w:val="18"/>
                <w:szCs w:val="18"/>
              </w:rPr>
              <w:t xml:space="preserve">&lt;constraints_register&gt;</w:t>
            </w:r>
          </w:p>
        </w:tc>
      </w:tr>
    </w:tbl>
    <w:p>
      <w:pPr>
        <w:spacing w:after="200"/>
      </w:pPr>
    </w:p>
    <w:p>
      <w:pPr>
        <w:pStyle w:val="Heading1"/>
      </w:pPr>
      <w:r>
        <w:t xml:space="preserve">5. Phase 1 – Dataset Discovery, Construction, and Lineage</w:t>
      </w:r>
    </w:p>
    <w:p>
      <w:pPr>
        <w:spacing w:after="120"/>
      </w:pPr>
      <w:r>
        <w:t xml:space="preserve">The system must seek the broadest historically valid signal set possible, but only if each signal can be represented point-in-time.</w:t>
      </w:r>
    </w:p>
    <w:p>
      <w:pPr>
        <w:spacing w:after="200"/>
      </w:pPr>
    </w:p>
    <w:p>
      <w:pPr>
        <w:pStyle w:val="ListParagraph"/>
        <w:numPr>
          <w:ilvl w:val="0"/>
          <w:numId w:val="3"/>
        </w:numPr>
        <w:spacing w:after="60"/>
      </w:pPr>
      <w:r>
        <w:t xml:space="preserve">Search for raw, derived, and contextual data: core outcomes, bookmaker lines, market prices, odds movement, injuries, weather, schedules, rosters, economic indicators, sentiment, polling, transaction metadata, or event context.</w:t>
      </w:r>
    </w:p>
    <w:p>
      <w:pPr>
        <w:pStyle w:val="ListParagraph"/>
        <w:numPr>
          <w:ilvl w:val="0"/>
          <w:numId w:val="3"/>
        </w:numPr>
        <w:spacing w:after="60"/>
      </w:pPr>
      <w:r>
        <w:t xml:space="preserve">Record field-level availability timestamps whenever possible. Distinguish event time, publication time, ingestion time, and revision time.</w:t>
      </w:r>
    </w:p>
    <w:p>
      <w:pPr>
        <w:pStyle w:val="ListParagraph"/>
        <w:numPr>
          <w:ilvl w:val="0"/>
          <w:numId w:val="3"/>
        </w:numPr>
        <w:spacing w:after="60"/>
      </w:pPr>
      <w:r>
        <w:t xml:space="preserve">Preserve raw snapshots. Never overwrite historical truth with revised values without versioning.</w:t>
      </w:r>
    </w:p>
    <w:p>
      <w:pPr>
        <w:pStyle w:val="ListParagraph"/>
        <w:numPr>
          <w:ilvl w:val="0"/>
          <w:numId w:val="3"/>
        </w:numPr>
        <w:spacing w:after="60"/>
      </w:pPr>
      <w:r>
        <w:t xml:space="preserve">Explicitly test for survivorship bias, hindsight joins, silently backfilled values, and record-linkage errors.</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&lt;dataset_catalog&gt;</w:t>
            </w:r>
          </w:p>
          <w:p>
            <w:pPr>
              <w:spacing w:after="20"/>
            </w:pPr>
            <w:r>
              <w:rPr>
                <w:rFonts w:ascii="Courier New" w:cs="Courier New" w:eastAsia="Courier New" w:hAnsi="Courier New"/>
                <w:color w:val="2D3748"/>
                <w:sz w:val="18"/>
                <w:szCs w:val="18"/>
              </w:rPr>
              <w:t xml:space="preserve">&lt;dataset_lineage&gt;</w:t>
            </w:r>
          </w:p>
          <w:p>
            <w:pPr>
              <w:spacing w:after="20"/>
            </w:pPr>
            <w:r>
              <w:rPr>
                <w:rFonts w:ascii="Courier New" w:cs="Courier New" w:eastAsia="Courier New" w:hAnsi="Courier New"/>
                <w:color w:val="2D3748"/>
                <w:sz w:val="18"/>
                <w:szCs w:val="18"/>
              </w:rPr>
              <w:t xml:space="preserve">&lt;availability_matrix&gt;</w:t>
            </w:r>
          </w:p>
          <w:p>
            <w:pPr>
              <w:spacing w:after="20"/>
            </w:pPr>
            <w:r>
              <w:rPr>
                <w:rFonts w:ascii="Courier New" w:cs="Courier New" w:eastAsia="Courier New" w:hAnsi="Courier New"/>
                <w:color w:val="2D3748"/>
                <w:sz w:val="18"/>
                <w:szCs w:val="18"/>
              </w:rPr>
              <w:t xml:space="preserve">&lt;dataset_quality_report&gt;</w:t>
            </w:r>
          </w:p>
          <w:p>
            <w:pPr>
              <w:spacing w:after="20"/>
            </w:pPr>
            <w:r>
              <w:rPr>
                <w:rFonts w:ascii="Courier New" w:cs="Courier New" w:eastAsia="Courier New" w:hAnsi="Courier New"/>
                <w:color w:val="2D3748"/>
                <w:sz w:val="18"/>
                <w:szCs w:val="18"/>
              </w:rPr>
              <w:t xml:space="preserve">&lt;dataset_expansion_report&gt;</w:t>
            </w:r>
          </w:p>
        </w:tc>
      </w:tr>
    </w:tbl>
    <w:p>
      <w:pPr>
        <w:spacing w:after="200"/>
      </w:pPr>
    </w:p>
    <w:p>
      <w:pPr>
        <w:pStyle w:val="Heading1"/>
      </w:pPr>
      <w:r>
        <w:t xml:space="preserve">6. Phase 2 – Feature Discovery Engine</w:t>
      </w:r>
    </w:p>
    <w:p>
      <w:pPr>
        <w:spacing w:after="120"/>
      </w:pPr>
      <w:r>
        <w:t xml:space="preserve">Generate feature families broadly, then eliminate features that are unstable, leaky, redundant, too expensive, or not available in production.</w:t>
      </w:r>
    </w:p>
    <w:p>
      <w:pPr>
        <w:spacing w:after="200"/>
      </w:pPr>
    </w:p>
    <w:p>
      <w:pPr>
        <w:pStyle w:val="ListParagraph"/>
        <w:numPr>
          <w:ilvl w:val="0"/>
          <w:numId w:val="4"/>
        </w:numPr>
        <w:spacing w:after="60"/>
      </w:pPr>
      <w:r>
        <w:t xml:space="preserve">Temporal features: lags, rolling means, rolling volatility, streaks, exponentially weighted statistics, recency-weighted deltas, time-since-event.</w:t>
      </w:r>
    </w:p>
    <w:p>
      <w:pPr>
        <w:pStyle w:val="ListParagraph"/>
        <w:numPr>
          <w:ilvl w:val="0"/>
          <w:numId w:val="4"/>
        </w:numPr>
        <w:spacing w:after="60"/>
      </w:pPr>
      <w:r>
        <w:t xml:space="preserve">Seasonal and calendar features: day-of-week, month, game week, election cycle phase, quarter, holiday context, rest days, travel burden.</w:t>
      </w:r>
    </w:p>
    <w:p>
      <w:pPr>
        <w:pStyle w:val="ListParagraph"/>
        <w:numPr>
          <w:ilvl w:val="0"/>
          <w:numId w:val="4"/>
        </w:numPr>
        <w:spacing w:after="60"/>
      </w:pPr>
      <w:r>
        <w:t xml:space="preserve">Hierarchical features: team, opponent, region, sector, market, league, venue, portfolio, or group aggregates.</w:t>
      </w:r>
    </w:p>
    <w:p>
      <w:pPr>
        <w:pStyle w:val="ListParagraph"/>
        <w:numPr>
          <w:ilvl w:val="0"/>
          <w:numId w:val="4"/>
        </w:numPr>
        <w:spacing w:after="60"/>
      </w:pPr>
      <w:r>
        <w:t xml:space="preserve">Interaction features: entity x opponent, signal x environment, probability x market price, lineup x venue, or macro x sector.</w:t>
      </w:r>
    </w:p>
    <w:p>
      <w:pPr>
        <w:pStyle w:val="ListParagraph"/>
        <w:numPr>
          <w:ilvl w:val="0"/>
          <w:numId w:val="4"/>
        </w:numPr>
        <w:spacing w:after="60"/>
      </w:pPr>
      <w:r>
        <w:t xml:space="preserve">Representation features: embeddings, target encodings with leakage-safe folds, learned summaries, clustering-derived signals.</w:t>
      </w:r>
    </w:p>
    <w:p>
      <w:pPr>
        <w:pStyle w:val="ListParagraph"/>
        <w:numPr>
          <w:ilvl w:val="0"/>
          <w:numId w:val="4"/>
        </w:numPr>
        <w:spacing w:after="60"/>
      </w:pPr>
      <w:r>
        <w:t xml:space="preserve">Feature acceptance rules: stable importance, no impossible information, production availability, low revision risk, and improvement under walk-forward validation.</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&lt;feature_catalog&gt;</w:t>
            </w:r>
          </w:p>
          <w:p>
            <w:pPr>
              <w:spacing w:after="20"/>
            </w:pPr>
            <w:r>
              <w:rPr>
                <w:rFonts w:ascii="Courier New" w:cs="Courier New" w:eastAsia="Courier New" w:hAnsi="Courier New"/>
                <w:color w:val="2D3748"/>
                <w:sz w:val="18"/>
                <w:szCs w:val="18"/>
              </w:rPr>
              <w:t xml:space="preserve">&lt;feature_importance_report&gt;</w:t>
            </w:r>
          </w:p>
          <w:p>
            <w:pPr>
              <w:spacing w:after="20"/>
            </w:pPr>
            <w:r>
              <w:rPr>
                <w:rFonts w:ascii="Courier New" w:cs="Courier New" w:eastAsia="Courier New" w:hAnsi="Courier New"/>
                <w:color w:val="2D3748"/>
                <w:sz w:val="18"/>
                <w:szCs w:val="18"/>
              </w:rPr>
              <w:t xml:space="preserve">&lt;feature_stability_report&gt;</w:t>
            </w:r>
          </w:p>
          <w:p>
            <w:pPr>
              <w:spacing w:after="20"/>
            </w:pPr>
            <w:r>
              <w:rPr>
                <w:rFonts w:ascii="Courier New" w:cs="Courier New" w:eastAsia="Courier New" w:hAnsi="Courier New"/>
                <w:color w:val="2D3748"/>
                <w:sz w:val="18"/>
                <w:szCs w:val="18"/>
              </w:rPr>
              <w:t xml:space="preserve">&lt;feature_retirement_log&gt;</w:t>
            </w:r>
          </w:p>
        </w:tc>
      </w:tr>
    </w:tbl>
    <w:p>
      <w:pPr>
        <w:spacing w:after="200"/>
      </w:pPr>
    </w:p>
    <w:p>
      <w:pPr>
        <w:pStyle w:val="Heading1"/>
      </w:pPr>
      <w:r>
        <w:t xml:space="preserve">7. Phase 3 – Model Search and Meta-Learning</w:t>
      </w:r>
    </w:p>
    <w:p>
      <w:pPr>
        <w:spacing w:after="120"/>
      </w:pPr>
      <w:r>
        <w:t xml:space="preserve">Search across diverse model families. Do not assume a single architecture wins universally.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 family</w:t>
            </w:r>
          </w:p>
        </w:tc>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it may win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Linear / generalized</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linear regression, logistic regression, elastic net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strong baseline, sparse signals, interpretable settings</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Tree ensembles</w:t>
            </w:r>
          </w:p>
        </w:tc>
        <w:tc>
          <w:tcPr>
            <w:tcW w:type="dxa" w:w="3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LightGBM, XGBoost, CatBoost, random forest</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tabular nonlinear signal, interactions, mixed feature types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Statistical time-series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ARIMA, ETS, state space, dynamic regression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structured temporal patterns, interpretable baselines</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Neural sequence</w:t>
            </w:r>
          </w:p>
        </w:tc>
        <w:tc>
          <w:tcPr>
            <w:tcW w:type="dxa" w:w="3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LSTM, TCN, Transformer variants</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large sequence data, rich temporal dependencies, representation learning</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Ranking / pairwise</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LambdaMART, pairwise logistic, ranking transformers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lineup selection, fantasy ranking, ordered outcomes</w:t>
            </w:r>
          </w:p>
        </w:tc>
      </w:tr>
    </w:tbl>
    <w:p>
      <w:pPr>
        <w:spacing w:after="200"/>
      </w:pPr>
    </w:p>
    <w:p>
      <w:pPr>
        <w:pStyle w:val="ListParagraph"/>
        <w:numPr>
          <w:ilvl w:val="0"/>
          <w:numId w:val="5"/>
        </w:numPr>
        <w:spacing w:after="60"/>
      </w:pPr>
      <w:r>
        <w:t xml:space="preserve">Use temporal hyperparameter tuning only. Never tune on a holdout that functions as the final test period.</w:t>
      </w:r>
    </w:p>
    <w:p>
      <w:pPr>
        <w:pStyle w:val="ListParagraph"/>
        <w:numPr>
          <w:ilvl w:val="0"/>
          <w:numId w:val="5"/>
        </w:numPr>
        <w:spacing w:after="60"/>
      </w:pPr>
      <w:r>
        <w:t xml:space="preserve">Search not only hyperparameters but also representation choices, objective functions, class weights, loss shaping, and training window length.</w:t>
      </w:r>
    </w:p>
    <w:p>
      <w:pPr>
        <w:pStyle w:val="ListParagraph"/>
        <w:numPr>
          <w:ilvl w:val="0"/>
          <w:numId w:val="5"/>
        </w:numPr>
        <w:spacing w:after="60"/>
      </w:pPr>
      <w:r>
        <w:t xml:space="preserve">Add a meta-learning layer: learn which feature families, models, calibration methods, and ensemble strategies perform best by problem type, sample regime, and horizon.</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&lt;model_search_report&gt;</w:t>
            </w:r>
          </w:p>
          <w:p>
            <w:pPr>
              <w:spacing w:after="20"/>
            </w:pPr>
            <w:r>
              <w:rPr>
                <w:rFonts w:ascii="Courier New" w:cs="Courier New" w:eastAsia="Courier New" w:hAnsi="Courier New"/>
                <w:color w:val="2D3748"/>
                <w:sz w:val="18"/>
                <w:szCs w:val="18"/>
              </w:rPr>
              <w:t xml:space="preserve">&lt;model_registry&gt;</w:t>
            </w:r>
          </w:p>
          <w:p>
            <w:pPr>
              <w:spacing w:after="20"/>
            </w:pPr>
            <w:r>
              <w:rPr>
                <w:rFonts w:ascii="Courier New" w:cs="Courier New" w:eastAsia="Courier New" w:hAnsi="Courier New"/>
                <w:color w:val="2D3748"/>
                <w:sz w:val="18"/>
                <w:szCs w:val="18"/>
              </w:rPr>
              <w:t xml:space="preserve">&lt;meta_learning_report&gt;</w:t>
            </w:r>
          </w:p>
        </w:tc>
      </w:tr>
    </w:tbl>
    <w:p>
      <w:pPr>
        <w:spacing w:after="200"/>
      </w:pPr>
    </w:p>
    <w:p>
      <w:pPr>
        <w:pStyle w:val="Heading1"/>
      </w:pPr>
      <w:r>
        <w:t xml:space="preserve">8. Phase 4 – Ensemble Optimization and Calibration</w:t>
      </w:r>
    </w:p>
    <w:p>
      <w:pPr>
        <w:pStyle w:val="ListParagraph"/>
        <w:numPr>
          <w:ilvl w:val="0"/>
          <w:numId w:val="6"/>
        </w:numPr>
        <w:spacing w:after="60"/>
      </w:pPr>
      <w:r>
        <w:t xml:space="preserve">Evaluate weighted averages, greedy ensembles, stacking, blending, and meta-learners.</w:t>
      </w:r>
    </w:p>
    <w:p>
      <w:pPr>
        <w:pStyle w:val="ListParagraph"/>
        <w:numPr>
          <w:ilvl w:val="0"/>
          <w:numId w:val="6"/>
        </w:numPr>
        <w:spacing w:after="60"/>
      </w:pPr>
      <w:r>
        <w:t xml:space="preserve">Measure diversity: a strong ensemble needs component disagreement with independent signal, not just many similar models.</w:t>
      </w:r>
    </w:p>
    <w:p>
      <w:pPr>
        <w:pStyle w:val="ListParagraph"/>
        <w:numPr>
          <w:ilvl w:val="0"/>
          <w:numId w:val="6"/>
        </w:numPr>
        <w:spacing w:after="60"/>
      </w:pPr>
      <w:r>
        <w:t xml:space="preserve">For probabilistic tasks, produce calibration diagnostics: reliability curves, ECE, Brier decomposition, log loss by bucket, and threshold stability.</w:t>
      </w:r>
    </w:p>
    <w:p>
      <w:pPr>
        <w:pStyle w:val="ListParagraph"/>
        <w:numPr>
          <w:ilvl w:val="0"/>
          <w:numId w:val="6"/>
        </w:numPr>
        <w:spacing w:after="60"/>
      </w:pPr>
      <w:r>
        <w:t xml:space="preserve">Compare raw vs calibrated vs ensemble-calibrated outputs.</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&lt;ensemble_report&gt;</w:t>
            </w:r>
          </w:p>
          <w:p>
            <w:pPr>
              <w:spacing w:after="20"/>
            </w:pPr>
            <w:r>
              <w:rPr>
                <w:rFonts w:ascii="Courier New" w:cs="Courier New" w:eastAsia="Courier New" w:hAnsi="Courier New"/>
                <w:color w:val="2D3748"/>
                <w:sz w:val="18"/>
                <w:szCs w:val="18"/>
              </w:rPr>
              <w:t xml:space="preserve">&lt;calibration_report&gt;</w:t>
            </w:r>
          </w:p>
          <w:p>
            <w:pPr>
              <w:spacing w:after="20"/>
            </w:pPr>
            <w:r>
              <w:rPr>
                <w:rFonts w:ascii="Courier New" w:cs="Courier New" w:eastAsia="Courier New" w:hAnsi="Courier New"/>
                <w:color w:val="2D3748"/>
                <w:sz w:val="18"/>
                <w:szCs w:val="18"/>
              </w:rPr>
              <w:t xml:space="preserve">&lt;probability_diagnostics&gt;</w:t>
            </w:r>
          </w:p>
        </w:tc>
      </w:tr>
    </w:tbl>
    <w:p>
      <w:pPr>
        <w:spacing w:after="200"/>
      </w:pPr>
    </w:p>
    <w:p>
      <w:pPr>
        <w:pStyle w:val="Heading1"/>
      </w:pPr>
      <w:r>
        <w:t xml:space="preserve">9. Phase 5 – Decision Optimization Layer</w:t>
      </w:r>
    </w:p>
    <w:p>
      <w:pPr>
        <w:spacing w:after="120"/>
      </w:pPr>
      <w:r>
        <w:t xml:space="preserve">The system must optimize the downstream action policy, because the best predictive model is not necessarily the best decision engine.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policy examples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Evaluation focus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Betting / prediction markets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edge filter, Kelly fraction, capped sizing, abstain logic</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 bankroll growth, drawdown, hit rate by edge bucket</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Finance / trading</w:t>
            </w:r>
          </w:p>
        </w:tc>
        <w:tc>
          <w:tcPr>
            <w:tcW w:type="dxa" w:w="3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position sizing, volatility targeting, turnover limits</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PnL, Sharpe, max drawdown, turnover, slippage sensitivity</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Fantasy / bracket / ranking</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lineup optimization, ranking thresholds, diversification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contest score, duplication risk, percentile finish, variance</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General forecasting</w:t>
            </w:r>
          </w:p>
        </w:tc>
        <w:tc>
          <w:tcPr>
            <w:tcW w:type="dxa" w:w="3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thresholded actions, alerting, abstention, triage</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cost-weighted utility, precision-recall by action band</w:t>
            </w:r>
          </w:p>
        </w:tc>
      </w:tr>
    </w:tbl>
    <w:p>
      <w:pPr>
        <w:spacing w:after="200"/>
      </w:pPr>
    </w:p>
    <w:p>
      <w:pPr>
        <w:pStyle w:val="ListParagraph"/>
        <w:numPr>
          <w:ilvl w:val="0"/>
          <w:numId w:val="7"/>
        </w:numPr>
        <w:spacing w:after="60"/>
      </w:pPr>
      <w:r>
        <w:t xml:space="preserve">Always compare decision quality at multiple thresholds and risk budgets.</w:t>
      </w:r>
    </w:p>
    <w:p>
      <w:pPr>
        <w:pStyle w:val="ListParagraph"/>
        <w:numPr>
          <w:ilvl w:val="0"/>
          <w:numId w:val="7"/>
        </w:numPr>
        <w:spacing w:after="60"/>
      </w:pPr>
      <w:r>
        <w:t xml:space="preserve">A valid system may choose not to act. Abstention is a first-class policy.</w:t>
      </w:r>
    </w:p>
    <w:p>
      <w:pPr>
        <w:pStyle w:val="ListParagraph"/>
        <w:numPr>
          <w:ilvl w:val="0"/>
          <w:numId w:val="7"/>
        </w:numPr>
        <w:spacing w:after="60"/>
      </w:pPr>
      <w:r>
        <w:t xml:space="preserve">Where possible, separate model quality from policy quality: evaluate whether failure comes from the forecast or the decision rule.</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&lt;decision_policy_report&gt;</w:t>
            </w:r>
          </w:p>
          <w:p>
            <w:pPr>
              <w:spacing w:after="20"/>
            </w:pPr>
            <w:r>
              <w:rPr>
                <w:rFonts w:ascii="Courier New" w:cs="Courier New" w:eastAsia="Courier New" w:hAnsi="Courier New"/>
                <w:color w:val="2D3748"/>
                <w:sz w:val="18"/>
                <w:szCs w:val="18"/>
              </w:rPr>
              <w:t xml:space="preserve">&lt;profitability_analysis&gt;</w:t>
            </w:r>
          </w:p>
          <w:p>
            <w:pPr>
              <w:spacing w:after="20"/>
            </w:pPr>
            <w:r>
              <w:rPr>
                <w:rFonts w:ascii="Courier New" w:cs="Courier New" w:eastAsia="Courier New" w:hAnsi="Courier New"/>
                <w:color w:val="2D3748"/>
                <w:sz w:val="18"/>
                <w:szCs w:val="18"/>
              </w:rPr>
              <w:t xml:space="preserve">&lt;threshold_sweep_report&gt;</w:t>
            </w:r>
          </w:p>
          <w:p>
            <w:pPr>
              <w:spacing w:after="20"/>
            </w:pPr>
            <w:r>
              <w:rPr>
                <w:rFonts w:ascii="Courier New" w:cs="Courier New" w:eastAsia="Courier New" w:hAnsi="Courier New"/>
                <w:color w:val="2D3748"/>
                <w:sz w:val="18"/>
                <w:szCs w:val="18"/>
              </w:rPr>
              <w:t xml:space="preserve">&lt;abstention_policy_report&gt;</w:t>
            </w:r>
          </w:p>
        </w:tc>
      </w:tr>
    </w:tbl>
    <w:p>
      <w:pPr>
        <w:spacing w:after="200"/>
      </w:pPr>
    </w:p>
    <w:p>
      <w:pPr>
        <w:pStyle w:val="Heading1"/>
      </w:pPr>
      <w:r>
        <w:t xml:space="preserve">10. Phase 6 – Backtesting and Simulation Realism</w:t>
      </w:r>
    </w:p>
    <w:p>
      <w:pPr>
        <w:pStyle w:val="ListParagraph"/>
        <w:numPr>
          <w:ilvl w:val="0"/>
          <w:numId w:val="8"/>
        </w:numPr>
        <w:spacing w:after="60"/>
      </w:pPr>
      <w:r>
        <w:t xml:space="preserve">Backtests must simulate information arrival timing, not just final settled labels.</w:t>
      </w:r>
    </w:p>
    <w:p>
      <w:pPr>
        <w:pStyle w:val="ListParagraph"/>
        <w:numPr>
          <w:ilvl w:val="0"/>
          <w:numId w:val="8"/>
        </w:numPr>
        <w:spacing w:after="60"/>
      </w:pPr>
      <w:r>
        <w:t xml:space="preserve">Include friction terms relevant to the domain: transaction costs, spread, slippage, liquidity caps, line movement, execution delay, roster lock timing, and bankroll limits.</w:t>
      </w:r>
    </w:p>
    <w:p>
      <w:pPr>
        <w:pStyle w:val="ListParagraph"/>
        <w:numPr>
          <w:ilvl w:val="0"/>
          <w:numId w:val="8"/>
        </w:numPr>
        <w:spacing w:after="60"/>
      </w:pPr>
      <w:r>
        <w:t xml:space="preserve">Measure scenario sensitivity under optimistic, base, and pessimistic assumptions.</w:t>
      </w:r>
    </w:p>
    <w:p>
      <w:pPr>
        <w:pStyle w:val="ListParagraph"/>
        <w:numPr>
          <w:ilvl w:val="0"/>
          <w:numId w:val="8"/>
        </w:numPr>
        <w:spacing w:after="60"/>
      </w:pPr>
      <w:r>
        <w:t xml:space="preserve">Report both average performance and path-dependent risk such as drawdowns and losing streaks.</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&lt;backtest_report&gt;</w:t>
            </w:r>
          </w:p>
          <w:p>
            <w:pPr>
              <w:spacing w:after="20"/>
            </w:pPr>
            <w:r>
              <w:rPr>
                <w:rFonts w:ascii="Courier New" w:cs="Courier New" w:eastAsia="Courier New" w:hAnsi="Courier New"/>
                <w:color w:val="2D3748"/>
                <w:sz w:val="18"/>
                <w:szCs w:val="18"/>
              </w:rPr>
              <w:t xml:space="preserve">&lt;simulation_assumptions&gt;</w:t>
            </w:r>
          </w:p>
          <w:p>
            <w:pPr>
              <w:spacing w:after="20"/>
            </w:pPr>
            <w:r>
              <w:rPr>
                <w:rFonts w:ascii="Courier New" w:cs="Courier New" w:eastAsia="Courier New" w:hAnsi="Courier New"/>
                <w:color w:val="2D3748"/>
                <w:sz w:val="18"/>
                <w:szCs w:val="18"/>
              </w:rPr>
              <w:t xml:space="preserve">&lt;risk_path_report&gt;</w:t>
            </w:r>
          </w:p>
        </w:tc>
      </w:tr>
    </w:tbl>
    <w:p>
      <w:pPr>
        <w:spacing w:after="200"/>
      </w:pPr>
    </w:p>
    <w:p>
      <w:pPr>
        <w:pStyle w:val="Heading1"/>
      </w:pPr>
      <w:r>
        <w:t xml:space="preserve">11. Phase 7 – Skeptical Audit Layer</w:t>
      </w:r>
    </w:p>
    <w:p>
      <w:pPr>
        <w:spacing w:after="120"/>
      </w:pPr>
      <w:r>
        <w:t xml:space="preserve">The Audit Agent exists to disprove apparent success.</w:t>
      </w:r>
    </w:p>
    <w:p>
      <w:pPr>
        <w:spacing w:after="200"/>
      </w:pPr>
    </w:p>
    <w:p>
      <w:pPr>
        <w:pStyle w:val="ListParagraph"/>
        <w:numPr>
          <w:ilvl w:val="0"/>
          <w:numId w:val="9"/>
        </w:numPr>
        <w:spacing w:after="60"/>
      </w:pPr>
      <w:r>
        <w:t xml:space="preserve">Leakage audit: feature availability violations, revised-data contamination, fold bleed, and accidental target encodings.</w:t>
      </w:r>
    </w:p>
    <w:p>
      <w:pPr>
        <w:pStyle w:val="ListParagraph"/>
        <w:numPr>
          <w:ilvl w:val="0"/>
          <w:numId w:val="9"/>
        </w:numPr>
        <w:spacing w:after="60"/>
      </w:pPr>
      <w:r>
        <w:t xml:space="preserve">Validation audit: random k-fold misuse, selection on the test period, over-tuned search spaces, and improper nested selection.</w:t>
      </w:r>
    </w:p>
    <w:p>
      <w:pPr>
        <w:pStyle w:val="ListParagraph"/>
        <w:numPr>
          <w:ilvl w:val="0"/>
          <w:numId w:val="9"/>
        </w:numPr>
        <w:spacing w:after="60"/>
      </w:pPr>
      <w:r>
        <w:t xml:space="preserve">Robustness audit: missing features, thin-data regimes, changed distributions, rare events, and outlier sensitivity.</w:t>
      </w:r>
    </w:p>
    <w:p>
      <w:pPr>
        <w:pStyle w:val="ListParagraph"/>
        <w:numPr>
          <w:ilvl w:val="0"/>
          <w:numId w:val="9"/>
        </w:numPr>
        <w:spacing w:after="60"/>
      </w:pPr>
      <w:r>
        <w:t xml:space="preserve">Reproducibility audit: dataset hashes, frozen seeds, deterministic transforms where possible, config capture, and artifact versioning.</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&lt;leakage_audit&gt;</w:t>
            </w:r>
          </w:p>
          <w:p>
            <w:pPr>
              <w:spacing w:after="20"/>
            </w:pPr>
            <w:r>
              <w:rPr>
                <w:rFonts w:ascii="Courier New" w:cs="Courier New" w:eastAsia="Courier New" w:hAnsi="Courier New"/>
                <w:color w:val="2D3748"/>
                <w:sz w:val="18"/>
                <w:szCs w:val="18"/>
              </w:rPr>
              <w:t xml:space="preserve">&lt;validation_audit&gt;</w:t>
            </w:r>
          </w:p>
          <w:p>
            <w:pPr>
              <w:spacing w:after="20"/>
            </w:pPr>
            <w:r>
              <w:rPr>
                <w:rFonts w:ascii="Courier New" w:cs="Courier New" w:eastAsia="Courier New" w:hAnsi="Courier New"/>
                <w:color w:val="2D3748"/>
                <w:sz w:val="18"/>
                <w:szCs w:val="18"/>
              </w:rPr>
              <w:t xml:space="preserve">&lt;robustness_report&gt;</w:t>
            </w:r>
          </w:p>
          <w:p>
            <w:pPr>
              <w:spacing w:after="20"/>
            </w:pPr>
            <w:r>
              <w:rPr>
                <w:rFonts w:ascii="Courier New" w:cs="Courier New" w:eastAsia="Courier New" w:hAnsi="Courier New"/>
                <w:color w:val="2D3748"/>
                <w:sz w:val="18"/>
                <w:szCs w:val="18"/>
              </w:rPr>
              <w:t xml:space="preserve">&lt;reproducibility_report&gt;</w:t>
            </w:r>
          </w:p>
        </w:tc>
      </w:tr>
    </w:tbl>
    <w:p>
      <w:pPr>
        <w:spacing w:after="200"/>
      </w:pPr>
    </w:p>
    <w:p>
      <w:pPr>
        <w:pStyle w:val="Heading1"/>
      </w:pPr>
      <w:r>
        <w:t xml:space="preserve">12. Phase 8 – Codebase Review and Refactoring Protocol</w:t>
      </w:r>
    </w:p>
    <w:p>
      <w:pPr>
        <w:spacing w:after="120"/>
      </w:pPr>
      <w:r>
        <w:t xml:space="preserve">If an existing repository is provided, perform a codebase audit with the same rigor as the modeling audit.</w:t>
      </w:r>
    </w:p>
    <w:p>
      <w:pPr>
        <w:spacing w:after="200"/>
      </w:pPr>
    </w:p>
    <w:p>
      <w:pPr>
        <w:pStyle w:val="ListParagraph"/>
        <w:numPr>
          <w:ilvl w:val="0"/>
          <w:numId w:val="10"/>
        </w:numPr>
        <w:spacing w:after="60"/>
      </w:pPr>
      <w:r>
        <w:t xml:space="preserve">Map entry points, configuration, tests, shared utilities, orchestration layers, and external integrations.</w:t>
      </w:r>
    </w:p>
    <w:p>
      <w:pPr>
        <w:pStyle w:val="ListParagraph"/>
        <w:numPr>
          <w:ilvl w:val="0"/>
          <w:numId w:val="10"/>
        </w:numPr>
        <w:spacing w:after="60"/>
      </w:pPr>
      <w:r>
        <w:t xml:space="preserve">Identify circular dependencies, hub modules, duplicate logic, poor separation of concerns, dead code, and fragile abstractions.</w:t>
      </w:r>
    </w:p>
    <w:p>
      <w:pPr>
        <w:pStyle w:val="ListParagraph"/>
        <w:numPr>
          <w:ilvl w:val="0"/>
          <w:numId w:val="10"/>
        </w:numPr>
        <w:spacing w:after="60"/>
      </w:pPr>
      <w:r>
        <w:t xml:space="preserve">Trace actual execution paths instead of trusting comments or architecture diagrams.</w:t>
      </w:r>
    </w:p>
    <w:p>
      <w:pPr>
        <w:pStyle w:val="ListParagraph"/>
        <w:numPr>
          <w:ilvl w:val="0"/>
          <w:numId w:val="10"/>
        </w:numPr>
        <w:spacing w:after="60"/>
      </w:pPr>
      <w:r>
        <w:t xml:space="preserve">Prioritize refactors by impact, blast radius, feasibility, and rollback safety.</w:t>
      </w:r>
    </w:p>
    <w:p>
      <w:pPr>
        <w:pStyle w:val="ListParagraph"/>
        <w:numPr>
          <w:ilvl w:val="0"/>
          <w:numId w:val="10"/>
        </w:numPr>
        <w:spacing w:after="60"/>
      </w:pPr>
      <w:r>
        <w:t xml:space="preserve">Require atomic changes, pre-refactor tests on business-critical behavior, and documentation updates in lockstep.</w:t>
      </w:r>
    </w:p>
    <w:p>
      <w:pPr>
        <w:spacing w:after="200"/>
      </w:pPr>
    </w:p>
    <w:p>
      <w:pPr>
        <w:pStyle w:val="Heading2"/>
      </w:pPr>
      <w:r>
        <w:t xml:space="preserve">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&lt;architecture_review_report&gt;</w:t>
            </w:r>
          </w:p>
          <w:p>
            <w:pPr>
              <w:spacing w:after="20"/>
            </w:pPr>
            <w:r>
              <w:rPr>
                <w:rFonts w:ascii="Courier New" w:cs="Courier New" w:eastAsia="Courier New" w:hAnsi="Courier New"/>
                <w:color w:val="2D3748"/>
                <w:sz w:val="18"/>
                <w:szCs w:val="18"/>
              </w:rPr>
              <w:t xml:space="preserve">&lt;risk_assessment&gt;</w:t>
            </w:r>
          </w:p>
          <w:p>
            <w:pPr>
              <w:spacing w:after="20"/>
            </w:pPr>
            <w:r>
              <w:rPr>
                <w:rFonts w:ascii="Courier New" w:cs="Courier New" w:eastAsia="Courier New" w:hAnsi="Courier New"/>
                <w:color w:val="2D3748"/>
                <w:sz w:val="18"/>
                <w:szCs w:val="18"/>
              </w:rPr>
              <w:t xml:space="preserve">&lt;refactoring_plan&gt;</w:t>
            </w:r>
          </w:p>
          <w:p>
            <w:pPr>
              <w:spacing w:after="20"/>
            </w:pPr>
            <w:r>
              <w:rPr>
                <w:rFonts w:ascii="Courier New" w:cs="Courier New" w:eastAsia="Courier New" w:hAnsi="Courier New"/>
                <w:color w:val="2D3748"/>
                <w:sz w:val="18"/>
                <w:szCs w:val="18"/>
              </w:rPr>
              <w:t xml:space="preserve">&lt;implementation_log&gt;</w:t>
            </w:r>
          </w:p>
        </w:tc>
      </w:tr>
    </w:tbl>
    <w:p>
      <w:pPr>
        <w:spacing w:after="200"/>
      </w:pPr>
    </w:p>
    <w:p>
      <w:pPr>
        <w:pStyle w:val="Heading1"/>
      </w:pPr>
      <w:r>
        <w:t xml:space="preserve">13. Required Evaluation Matrix</w:t>
      </w:r>
    </w:p>
    <w:p>
      <w:pPr>
        <w:spacing w:after="120"/>
      </w:pPr>
      <w:r>
        <w:t xml:space="preserve">Every serious candidate system must be reported through a common evaluation matrix so results are comparable.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7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 class</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Predictive accuracy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RMSE, MAE, log loss, Brier, AUC</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Basic forecast quality</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Calibration</w:t>
            </w:r>
          </w:p>
        </w:tc>
        <w:tc>
          <w:tcPr>
            <w:tcW w:type="dxa" w:w="3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ECE, reliability, Brier decomposition</w:t>
            </w:r>
          </w:p>
        </w:tc>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If probabilistic</w:t>
            </w:r>
          </w:p>
        </w:tc>
        <w:tc>
          <w:tcPr>
            <w:tcW w:type="dxa" w:w="27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Confidence quality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Decision utility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EV, profit, bracket score, lineup score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Real-world objective</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Risk</w:t>
            </w:r>
          </w:p>
        </w:tc>
        <w:tc>
          <w:tcPr>
            <w:tcW w:type="dxa" w:w="3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drawdown, volatility, worst-month, tail loss</w:t>
            </w:r>
          </w:p>
        </w:tc>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Operational survivability</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Stability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performance by period, regime, segment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Robustness and drift detection</w:t>
            </w:r>
          </w:p>
        </w:tc>
      </w:tr>
    </w:tbl>
    <w:p>
      <w:pPr>
        <w:spacing w:after="200"/>
      </w:pPr>
    </w:p>
    <w:p>
      <w:pPr>
        <w:pStyle w:val="Heading1"/>
      </w:pPr>
      <w:r>
        <w:t xml:space="preserve">14. Continuous Autonomous Research Loop</w:t>
      </w:r>
    </w:p>
    <w:p>
      <w:pPr>
        <w:pStyle w:val="ListParagraph"/>
        <w:numPr>
          <w:ilvl w:val="0"/>
          <w:numId w:val="11"/>
        </w:numPr>
        <w:spacing w:after="60"/>
      </w:pPr>
      <w:r>
        <w:t xml:space="preserve">Hypothesis generation: propose new data sources, features, architectures, or policy changes.</w:t>
      </w:r>
    </w:p>
    <w:p>
      <w:pPr>
        <w:pStyle w:val="ListParagraph"/>
        <w:numPr>
          <w:ilvl w:val="0"/>
          <w:numId w:val="11"/>
        </w:numPr>
        <w:spacing w:after="60"/>
      </w:pPr>
      <w:r>
        <w:t xml:space="preserve">Experiment execution: run under temporally valid splits with full logging.</w:t>
      </w:r>
    </w:p>
    <w:p>
      <w:pPr>
        <w:pStyle w:val="ListParagraph"/>
        <w:numPr>
          <w:ilvl w:val="0"/>
          <w:numId w:val="11"/>
        </w:numPr>
        <w:spacing w:after="60"/>
      </w:pPr>
      <w:r>
        <w:t xml:space="preserve">Adversarial review: try to falsify the improvement through regime tests, alternate folds, and backtest realism checks.</w:t>
      </w:r>
    </w:p>
    <w:p>
      <w:pPr>
        <w:pStyle w:val="ListParagraph"/>
        <w:numPr>
          <w:ilvl w:val="0"/>
          <w:numId w:val="11"/>
        </w:numPr>
        <w:spacing w:after="60"/>
      </w:pPr>
      <w:r>
        <w:t xml:space="preserve">Promotion gate: only promote if the candidate wins on both primary objective and risk-adjusted robustness criteria.</w:t>
      </w:r>
    </w:p>
    <w:p>
      <w:pPr>
        <w:pStyle w:val="ListParagraph"/>
        <w:numPr>
          <w:ilvl w:val="0"/>
          <w:numId w:val="11"/>
        </w:numPr>
        <w:spacing w:after="60"/>
      </w:pPr>
      <w:r>
        <w:t xml:space="preserve">Knowledge retention: store findings so future agents learn what tends to work by domain, horizon, and data regime.</w:t>
      </w:r>
    </w:p>
    <w:p>
      <w:pPr>
        <w:spacing w:after="200"/>
      </w:pPr>
    </w:p>
    <w:p>
      <w:pPr>
        <w:pStyle w:val="Heading2"/>
      </w:pPr>
      <w:r>
        <w:t xml:space="preserve">Loop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Research -&gt; Data expansion -&gt; Feature search -&gt; Model search -&gt; Ensemble + calibration</w:t>
            </w:r>
          </w:p>
          <w:p>
            <w:pPr>
              <w:spacing w:after="20"/>
            </w:pPr>
            <w:r>
              <w:rPr>
                <w:rFonts w:ascii="Courier New" w:cs="Courier New" w:eastAsia="Courier New" w:hAnsi="Courier New"/>
                <w:color w:val="2D3748"/>
                <w:sz w:val="18"/>
                <w:szCs w:val="18"/>
              </w:rPr>
              <w:t xml:space="preserve">-&gt; Decision optimization -&gt; Audit -&gt; Promotion or rejection -&gt; Knowledge update -&gt; Repeat</w:t>
            </w:r>
          </w:p>
        </w:tc>
      </w:tr>
    </w:tbl>
    <w:p>
      <w:pPr>
        <w:spacing w:after="200"/>
      </w:pPr>
    </w:p>
    <w:p>
      <w:pPr>
        <w:pStyle w:val="Heading1"/>
      </w:pPr>
      <w:r>
        <w:t xml:space="preserve">15. Failure Modes That Must Trigger Immediate Rejection</w:t>
      </w:r>
    </w:p>
    <w:p>
      <w:pPr>
        <w:pStyle w:val="ListParagraph"/>
        <w:numPr>
          <w:ilvl w:val="0"/>
          <w:numId w:val="12"/>
        </w:numPr>
        <w:spacing w:after="60"/>
      </w:pPr>
      <w:r>
        <w:t xml:space="preserve">Any confirmed temporal leakage or ambiguous feature availability.</w:t>
      </w:r>
    </w:p>
    <w:p>
      <w:pPr>
        <w:pStyle w:val="ListParagraph"/>
        <w:numPr>
          <w:ilvl w:val="0"/>
          <w:numId w:val="12"/>
        </w:numPr>
        <w:spacing w:after="60"/>
      </w:pPr>
      <w:r>
        <w:t xml:space="preserve">Validation design that allows information bleed or repeated tuning against the final test period.</w:t>
      </w:r>
    </w:p>
    <w:p>
      <w:pPr>
        <w:pStyle w:val="ListParagraph"/>
        <w:numPr>
          <w:ilvl w:val="0"/>
          <w:numId w:val="12"/>
        </w:numPr>
        <w:spacing w:after="60"/>
      </w:pPr>
      <w:r>
        <w:t xml:space="preserve">An apparent improvement that vanishes after calibration, cost assumptions, or realistic backtesting.</w:t>
      </w:r>
    </w:p>
    <w:p>
      <w:pPr>
        <w:pStyle w:val="ListParagraph"/>
        <w:numPr>
          <w:ilvl w:val="0"/>
          <w:numId w:val="12"/>
        </w:numPr>
        <w:spacing w:after="60"/>
      </w:pPr>
      <w:r>
        <w:t xml:space="preserve">A stronger model that materially increases drawdown, instability, or operational complexity without a justified benefit.</w:t>
      </w:r>
    </w:p>
    <w:p>
      <w:pPr>
        <w:pStyle w:val="ListParagraph"/>
        <w:numPr>
          <w:ilvl w:val="0"/>
          <w:numId w:val="12"/>
        </w:numPr>
        <w:spacing w:after="60"/>
      </w:pPr>
      <w:r>
        <w:t xml:space="preserve">A codebase change that cannot be validated or safely rolled back.</w:t>
      </w:r>
    </w:p>
    <w:p>
      <w:pPr>
        <w:spacing w:after="200"/>
      </w:pPr>
    </w:p>
    <w:p>
      <w:pPr>
        <w:pStyle w:val="Heading1"/>
      </w:pPr>
      <w:r>
        <w:t xml:space="preserve">16. Final Deliverables</w:t>
      </w:r>
    </w:p>
    <w:p>
      <w:pPr>
        <w:spacing w:after="120"/>
      </w:pPr>
      <w:r>
        <w:t xml:space="preserve">At completion, produce a final package that another agent or engineer can directly execute against.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&lt;final_system_report&gt;</w:t>
            </w:r>
          </w:p>
          <w:p>
            <w:pPr>
              <w:spacing w:after="20"/>
            </w:pPr>
            <w:r>
              <w:rPr>
                <w:rFonts w:ascii="Courier New" w:cs="Courier New" w:eastAsia="Courier New" w:hAnsi="Courier New"/>
                <w:color w:val="2D3748"/>
                <w:sz w:val="18"/>
                <w:szCs w:val="18"/>
              </w:rPr>
              <w:t xml:space="preserve">&lt;prioritized_roadmap&gt;</w:t>
            </w:r>
          </w:p>
          <w:p>
            <w:pPr>
              <w:spacing w:after="20"/>
            </w:pPr>
            <w:r>
              <w:rPr>
                <w:rFonts w:ascii="Courier New" w:cs="Courier New" w:eastAsia="Courier New" w:hAnsi="Courier New"/>
                <w:color w:val="2D3748"/>
                <w:sz w:val="18"/>
                <w:szCs w:val="18"/>
              </w:rPr>
              <w:t xml:space="preserve">&lt;dataset_and_model_registry&gt;</w:t>
            </w:r>
          </w:p>
          <w:p>
            <w:pPr>
              <w:spacing w:after="20"/>
            </w:pPr>
            <w:r>
              <w:rPr>
                <w:rFonts w:ascii="Courier New" w:cs="Courier New" w:eastAsia="Courier New" w:hAnsi="Courier New"/>
                <w:color w:val="2D3748"/>
                <w:sz w:val="18"/>
                <w:szCs w:val="18"/>
              </w:rPr>
              <w:t xml:space="preserve">&lt;decision_policy_recommendation&gt;</w:t>
            </w:r>
          </w:p>
          <w:p>
            <w:pPr>
              <w:spacing w:after="20"/>
            </w:pPr>
            <w:r>
              <w:rPr>
                <w:rFonts w:ascii="Courier New" w:cs="Courier New" w:eastAsia="Courier New" w:hAnsi="Courier New"/>
                <w:color w:val="2D3748"/>
                <w:sz w:val="18"/>
                <w:szCs w:val="18"/>
              </w:rPr>
              <w:t xml:space="preserve">&lt;known_risks_and_deferred_items&gt;</w:t>
            </w:r>
          </w:p>
          <w:p>
            <w:pPr>
              <w:spacing w:after="20"/>
            </w:pPr>
            <w:r>
              <w:rPr>
                <w:rFonts w:ascii="Courier New" w:cs="Courier New" w:eastAsia="Courier New" w:hAnsi="Courier New"/>
                <w:color w:val="2D3748"/>
                <w:sz w:val="18"/>
                <w:szCs w:val="18"/>
              </w:rPr>
              <w:t xml:space="preserve">&lt;success_criteria_evaluation&gt;</w:t>
            </w:r>
          </w:p>
        </w:tc>
      </w:tr>
    </w:tbl>
    <w:p>
      <w:pPr>
        <w:spacing w:after="200"/>
      </w:pPr>
    </w:p>
    <w:p>
      <w:pPr>
        <w:pStyle w:val="Heading1"/>
      </w:pPr>
      <w:r>
        <w:t xml:space="preserve">17. Operating Summary</w:t>
      </w:r>
    </w:p>
    <w:p>
      <w:pPr>
        <w:spacing w:after="120"/>
      </w:pPr>
      <w:r>
        <w:t xml:space="preserve">This protocol is intended for any prediction environment where forecasts inform decisions. It is deliberately domain-agnostic but decision-aware: it applies equally to betting, trading, sports, elections, fantasy contests, Kaggle-style competitions, and general forecasting. The core requirement is always the same: build systems that are point-in-time valid, empirically tested, decision-relevant, calibrated, reproducible, and robust.</w:t>
      </w:r>
    </w:p>
    <w:p>
      <w:pPr>
        <w:spacing w:after="200"/>
      </w:pPr>
    </w:p>
    <w:p>
      <w:r>
        <w:br w:type="page"/>
      </w:r>
    </w:p>
    <w:p>
      <w:pPr>
        <w:spacing w:before="2000" w:after="400"/>
        <w:jc w:val="center"/>
      </w:pPr>
      <w:r>
        <w:rPr>
          <w:rFonts w:ascii="Arial" w:cs="Arial" w:eastAsia="Arial" w:hAnsi="Arial"/>
          <w:b/>
          <w:bCs/>
          <w:color w:val="1B3A5C"/>
          <w:sz w:val="44"/>
          <w:szCs w:val="44"/>
        </w:rPr>
        <w:t xml:space="preserve">PART II</w:t>
      </w:r>
    </w:p>
    <w:p>
      <w:pPr>
        <w:spacing w:after="400"/>
        <w:jc w:val="center"/>
      </w:pPr>
      <w:r>
        <w:rPr>
          <w:rFonts w:ascii="Arial" w:cs="Arial" w:eastAsia="Arial" w:hAnsi="Arial"/>
          <w:color w:val="2D5F8A"/>
          <w:sz w:val="30"/>
          <w:szCs w:val="30"/>
        </w:rPr>
        <w:t xml:space="preserve">Deployment, Operations, and Governance</w:t>
      </w:r>
    </w:p>
    <w:p>
      <w:pPr>
        <w:spacing w:after="200"/>
        <w:jc w:val="center"/>
      </w:pPr>
      <w:r>
        <w:rPr>
          <w:rFonts w:ascii="Arial" w:cs="Arial" w:eastAsia="Arial" w:hAnsi="Arial"/>
          <w:color w:val="718096"/>
          <w:sz w:val="24"/>
          <w:szCs w:val="24"/>
        </w:rPr>
        <w:t xml:space="preserve">Sections 18–25</w:t>
      </w:r>
    </w:p>
    <w:p>
      <w:r>
        <w:br w:type="page"/>
      </w:r>
    </w:p>
    <w:p>
      <w:pPr>
        <w:pStyle w:val="Heading1"/>
      </w:pPr>
      <w:r>
        <w:t xml:space="preserve">18. Phase 9 – Production Deployment and Live Monitoring</w:t>
      </w:r>
    </w:p>
    <w:p>
      <w:pPr>
        <w:spacing w:after="120"/>
      </w:pPr>
      <w:r>
        <w:t xml:space="preserve">The core protocol covers research, validation, and backtesting in depth but is silent on what happens after a system is promoted to production. This section defines the mandatory deployment pipeline, real-time monitoring infrastructure, drift detection protocol, and automated retraining triggers that must wrap every live system.</w:t>
      </w:r>
    </w:p>
    <w:p>
      <w:pPr>
        <w:spacing w:after="200"/>
      </w:pPr>
    </w:p>
    <w:p>
      <w:pPr>
        <w:pStyle w:val="Heading2"/>
      </w:pPr>
      <w:r>
        <w:t xml:space="preserve">18.1 Deployment Pipeline Requirements</w:t>
      </w:r>
    </w:p>
    <w:p>
      <w:pPr>
        <w:spacing w:after="120"/>
      </w:pPr>
      <w:r>
        <w:t xml:space="preserve">Every system promoted from the research loop must pass through a staged deployment pipeline before receiving live traffic or making real decisions.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 Criteria</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Rollback Trigger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Shadow mode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runs in parallel with the incumbent. Predictions are logged but not acted upon. Minimum duration: domain-appropriate equivalent of 50–200 decision cycles.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Any divergence from expected output schema or latency budget.</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Canary deployment</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Route 5–10% of live decisions to the candidate. Compare realized performance against the incumbent on a matched cohort.</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Statistically significant degradation on primary metric (p &lt; 0.05) or any risk metric breach.</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Graduated rollout</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Increase allocation in steps (25%, 50%, 100%) with hold periods at each step. Each hold must span enough cycles for meaningful comparison.</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Drawdown exceeding 1.5x the backtest pessimistic scenario, or latency p99 exceeding SLA.</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Full production</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Candidate replaces incumbent. Incumbent is retained as a warm standby for instant rollback.</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Manual trigger or automated circuit-breaker activation.</w:t>
            </w:r>
          </w:p>
        </w:tc>
      </w:tr>
    </w:tbl>
    <w:p>
      <w:pPr>
        <w:spacing w:after="200"/>
      </w:pPr>
    </w:p>
    <w:p>
      <w:pPr>
        <w:pStyle w:val="Heading2"/>
      </w:pPr>
      <w:r>
        <w:t xml:space="preserve">18.2 Real-Time Monitoring Dashboard</w:t>
      </w:r>
    </w:p>
    <w:p>
      <w:pPr>
        <w:spacing w:after="120"/>
      </w:pPr>
      <w:r>
        <w:t xml:space="preserve">A live monitoring layer must track the following signal families continuously. Alerts fire when any metric crosses its configured threshold for a sustained window.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Signal Family</w:t>
            </w:r>
          </w:p>
        </w:tc>
        <w:tc>
          <w:tcPr>
            <w:tcW w:type="dxa" w:w="4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 Metrics</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Condition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Prediction quality</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Rolling Brier score, log loss, AUC, hit rate by confidence bucket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Metric degrades beyond 2 standard deviations from the trailing 30-cycle baseline for 3 consecutive evaluation windows.</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Calibration health</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Rolling ECE, reliability curve slope, over/under-confidence ratio</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ECE exceeds 0.08 or reliability slope deviates from 1.0 by more than 0.15.</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Decision quality</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Realized EV, profit/loss, Sharpe (rolling), drawdown (current vs max historical)</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Current drawdown exceeds 80% of backtest max, or rolling Sharpe drops below 0.5 for 20+ cycles.</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Feature health</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Missing-value rate, distribution shift (PSI or KS test), feature importance drift</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Any top-20 feature shows PSI &gt; 0.2, missing rate exceeds 5%, or importance rank changes by more than 10 positions.</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Infrastructure health</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Prediction latency (p50, p95, p99), throughput, error rate, data pipeline freshness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p99 latency exceeds SLA, error rate exceeds 0.1%, or data staleness exceeds 2x the expected refresh interval.</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 provider health</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API response codes, payload schema validation, record count vs expected range</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Any upstream source returns errors for 3 consecutive polls, schema changes, or record count drops below 50% of expected.</w:t>
            </w:r>
          </w:p>
        </w:tc>
      </w:tr>
    </w:tbl>
    <w:p>
      <w:pPr>
        <w:spacing w:after="200"/>
      </w:pPr>
    </w:p>
    <w:p>
      <w:pPr>
        <w:pStyle w:val="Heading2"/>
      </w:pPr>
      <w:r>
        <w:t xml:space="preserve">18.3 Drift Detection Protocol</w:t>
      </w:r>
    </w:p>
    <w:p>
      <w:pPr>
        <w:spacing w:after="120"/>
      </w:pPr>
      <w:r>
        <w:t xml:space="preserve">Model drift must be measured along three independent axes. Detection on any axis triggers investigation; detection on two or more triggers the retraining pipeline.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Drift Axis</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Concept drift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Monitor the relationship between features and target. Track rolling partial dependence, SHAP summary stability, and conditional prediction error by regime.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Significant change in partial dependence shape for any top-10 feature, or conditional error ratio exceeding 1.5x baseline in any segment.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 drift (covariate shift)</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Population Stability Index (PSI) and Kolmogorov-Smirnov test on each feature distribution, comparing the live window to the training reference distribution.</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PSI &gt; 0.2 on any feature or KS p-value &lt; 0.01 on more than 15% of features simultaneously.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Label drift (prior shift)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Track the rolling base rate of the target variable and compare to the training-era base rate.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Base rate shifts by more than 20% relative to the training distribution for a sustained window.</w:t>
            </w:r>
          </w:p>
        </w:tc>
      </w:tr>
    </w:tbl>
    <w:p>
      <w:pPr>
        <w:spacing w:after="200"/>
      </w:pPr>
    </w:p>
    <w:p>
      <w:pPr>
        <w:pStyle w:val="Heading2"/>
      </w:pPr>
      <w:r>
        <w:t xml:space="preserve">18.4 Automated Retraining Triggers and Protocol</w:t>
      </w:r>
    </w:p>
    <w:p>
      <w:pPr>
        <w:spacing w:after="120"/>
      </w:pPr>
      <w:r>
        <w:t xml:space="preserve">Retraining is not optional maintenance; it is a scheduled and event-driven process with its own validation gates.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Scheduled</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Calendar-based retraining cadence appropriate to domain volatility (e.g., weekly for sports, monthly for macro finance, quarterly for slow-moving domains).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Execute full pipeline: data refresh, feature recomputation, model retrain, ensemble recalibration, walk-forward validation on most recent holdout, shadow deployment.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Performance-driven</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Any primary metric degrades beyond the alert threshold for a sustained period (see 18.2).</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Trigger expedited retraining with priority investigation. If retrained model also degrades, escalate to human review.</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Drift-driven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Two or more drift axes fire simultaneously (see 18.3).</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Trigger retraining with expanded feature search. The Feature Agent should re-evaluate feature families that may have lost relevance.</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Data-event-driven</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 known structural break occurs: rule change, market structure change, new data source availability, provider API migration.</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Trigger full pipeline rebuild with updated data lineage. Invalidate any cached feature statistics that depend on the changed source.</w:t>
            </w:r>
          </w:p>
        </w:tc>
      </w:tr>
    </w:tbl>
    <w:p>
      <w:pPr>
        <w:spacing w:after="200"/>
      </w:pPr>
    </w:p>
    <w:p>
      <w:pPr>
        <w:spacing w:after="120"/>
      </w:pPr>
      <w:r>
        <w:t xml:space="preserve">Every retrained model must pass the same promotion gates as a new model (Section 14). A retrained model that fails validation must not replace the incumbent, even if the incumbent is degrading. In that case, the system should reduce exposure or activate abstention policies until a valid replacement is found.</w:t>
      </w:r>
    </w:p>
    <w:p>
      <w:pPr>
        <w:spacing w:after="200"/>
      </w:pPr>
    </w:p>
    <w:p>
      <w:pPr>
        <w:pStyle w:val="Heading2"/>
      </w:pPr>
      <w:r>
        <w:t xml:space="preserve">18.5 A/B Testing Framework</w:t>
      </w:r>
    </w:p>
    <w:p>
      <w:pPr>
        <w:spacing w:after="120"/>
      </w:pPr>
      <w:r>
        <w:t xml:space="preserve">When a candidate system is ready for live comparison, the following A/B testing protocol applies: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Allocation method</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Stratified random assignment by entity (team, market, asset) to ensure balanced exposure across segments.</w:t>
            </w:r>
          </w:p>
        </w:tc>
      </w:tr>
      <w:tr>
        <w:tc>
          <w:tcPr>
            <w:tcW w:type="dxa" w:w="2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Minimum sample size</w:t>
            </w:r>
          </w:p>
        </w:tc>
        <w:tc>
          <w:tcPr>
            <w:tcW w:type="dxa" w:w="69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Pre-computed using a power analysis targeting 80% power to detect a meaningful effect size on the primary metric.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longer of: minimum sample size accumulation, or two complete seasonal cycles of the domain.</w:t>
            </w:r>
          </w:p>
        </w:tc>
      </w:tr>
      <w:tr>
        <w:tc>
          <w:tcPr>
            <w:tcW w:type="dxa" w:w="2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Primary comparison</w:t>
            </w:r>
          </w:p>
        </w:tc>
        <w:tc>
          <w:tcPr>
            <w:tcW w:type="dxa" w:w="69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Decision-level metric (EV, profit, Sharpe, contest score), not prediction-level metric.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Secondary comparisons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Calibration, drawdown, stability, latency, abstention rate.</w:t>
            </w:r>
          </w:p>
        </w:tc>
      </w:tr>
      <w:tr>
        <w:tc>
          <w:tcPr>
            <w:tcW w:type="dxa" w:w="2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Stopping rules</w:t>
            </w:r>
          </w:p>
        </w:tc>
        <w:tc>
          <w:tcPr>
            <w:tcW w:type="dxa" w:w="69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Pre-registered sequential testing boundaries (e.g., O’Brien-Fleming) to allow early stopping for clear winners or losers without inflating false positive rates.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Post-test validation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Winner must also pass a holdout backtest on data accumulated during the A/B period to confirm the live result is not a fluke of the test window.</w:t>
            </w:r>
          </w:p>
        </w:tc>
      </w:tr>
    </w:tbl>
    <w:p>
      <w:pPr>
        <w:spacing w:after="200"/>
      </w:pPr>
    </w:p>
    <w:p>
      <w:pPr>
        <w:pStyle w:val="Heading2"/>
      </w:pPr>
      <w:r>
        <w:t xml:space="preserve">18.6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&lt;deployment_pipeline_config&gt;</w:t>
            </w:r>
          </w:p>
          <w:p>
            <w:pPr>
              <w:spacing w:after="20"/>
            </w:pPr>
            <w:r>
              <w:rPr>
                <w:rFonts w:ascii="Courier New" w:cs="Courier New" w:eastAsia="Courier New" w:hAnsi="Courier New"/>
                <w:color w:val="2D3748"/>
                <w:sz w:val="18"/>
                <w:szCs w:val="18"/>
              </w:rPr>
              <w:t xml:space="preserve">&lt;monitoring_dashboard_spec&gt;</w:t>
            </w:r>
          </w:p>
          <w:p>
            <w:pPr>
              <w:spacing w:after="20"/>
            </w:pPr>
            <w:r>
              <w:rPr>
                <w:rFonts w:ascii="Courier New" w:cs="Courier New" w:eastAsia="Courier New" w:hAnsi="Courier New"/>
                <w:color w:val="2D3748"/>
                <w:sz w:val="18"/>
                <w:szCs w:val="18"/>
              </w:rPr>
              <w:t xml:space="preserve">&lt;alert_threshold_registry&gt;</w:t>
            </w:r>
          </w:p>
          <w:p>
            <w:pPr>
              <w:spacing w:after="20"/>
            </w:pPr>
            <w:r>
              <w:rPr>
                <w:rFonts w:ascii="Courier New" w:cs="Courier New" w:eastAsia="Courier New" w:hAnsi="Courier New"/>
                <w:color w:val="2D3748"/>
                <w:sz w:val="18"/>
                <w:szCs w:val="18"/>
              </w:rPr>
              <w:t xml:space="preserve">&lt;drift_detection_report&gt;</w:t>
            </w:r>
          </w:p>
          <w:p>
            <w:pPr>
              <w:spacing w:after="20"/>
            </w:pPr>
            <w:r>
              <w:rPr>
                <w:rFonts w:ascii="Courier New" w:cs="Courier New" w:eastAsia="Courier New" w:hAnsi="Courier New"/>
                <w:color w:val="2D3748"/>
                <w:sz w:val="18"/>
                <w:szCs w:val="18"/>
              </w:rPr>
              <w:t xml:space="preserve">&lt;retraining_trigger_log&gt;</w:t>
            </w:r>
          </w:p>
          <w:p>
            <w:pPr>
              <w:spacing w:after="20"/>
            </w:pPr>
            <w:r>
              <w:rPr>
                <w:rFonts w:ascii="Courier New" w:cs="Courier New" w:eastAsia="Courier New" w:hAnsi="Courier New"/>
                <w:color w:val="2D3748"/>
                <w:sz w:val="18"/>
                <w:szCs w:val="18"/>
              </w:rPr>
              <w:t xml:space="preserve">&lt;ab_test_protocol&gt;</w:t>
            </w:r>
          </w:p>
          <w:p>
            <w:pPr>
              <w:spacing w:after="20"/>
            </w:pPr>
            <w:r>
              <w:rPr>
                <w:rFonts w:ascii="Courier New" w:cs="Courier New" w:eastAsia="Courier New" w:hAnsi="Courier New"/>
                <w:color w:val="2D3748"/>
                <w:sz w:val="18"/>
                <w:szCs w:val="18"/>
              </w:rPr>
              <w:t xml:space="preserve">&lt;ab_test_results&gt;</w:t>
            </w:r>
          </w:p>
          <w:p>
            <w:pPr>
              <w:spacing w:after="20"/>
            </w:pPr>
            <w:r>
              <w:rPr>
                <w:rFonts w:ascii="Courier New" w:cs="Courier New" w:eastAsia="Courier New" w:hAnsi="Courier New"/>
                <w:color w:val="2D3748"/>
                <w:sz w:val="18"/>
                <w:szCs w:val="18"/>
              </w:rPr>
              <w:t xml:space="preserve">&lt;rollback_runbook&gt;</w:t>
            </w:r>
          </w:p>
        </w:tc>
      </w:tr>
    </w:tbl>
    <w:p>
      <w:pPr>
        <w:spacing w:after="200"/>
      </w:pPr>
    </w:p>
    <w:p>
      <w:r>
        <w:br w:type="page"/>
      </w:r>
    </w:p>
    <w:p>
      <w:pPr>
        <w:pStyle w:val="Heading1"/>
      </w:pPr>
      <w:r>
        <w:t xml:space="preserve">19. Phase 10 – Data Engineering and Pipeline Resilience</w:t>
      </w:r>
    </w:p>
    <w:p>
      <w:pPr>
        <w:spacing w:after="120"/>
      </w:pPr>
      <w:r>
        <w:t xml:space="preserve">The core protocol addresses dataset construction and lineage but does not specify how data flows through a production system. This section defines pipeline orchestration, fault tolerance, schema management, and recovery protocols that ensure data is reliably available when the system needs it.</w:t>
      </w:r>
    </w:p>
    <w:p>
      <w:pPr>
        <w:spacing w:after="200"/>
      </w:pPr>
    </w:p>
    <w:p>
      <w:pPr>
        <w:pStyle w:val="Heading2"/>
      </w:pPr>
      <w:r>
        <w:t xml:space="preserve">19.1 Pipeline Architecture Requirements</w:t>
      </w:r>
    </w:p>
    <w:p>
      <w:pPr>
        <w:spacing w:after="120"/>
      </w:pPr>
      <w:r>
        <w:t xml:space="preserve">All data pipelines must be implemented as directed acyclic graphs (DAGs) with explicit dependency declarations, idempotent tasks, and deterministic outputs for a given input snapshot.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Use a DAG-based scheduler (Airflow, Prefect, Dagster, or equivalent). Every task must declare its upstream dependencies explicitly.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Prevents silent execution order bugs that cause stale features or missing data.</w:t>
            </w:r>
          </w:p>
        </w:tc>
      </w:tr>
      <w:tr>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4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Every pipeline task must produce identical output when run multiple times with the same input. Use write-audit-publish patterns: write to staging, validate, then atomically swap into the live table.</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Prevents duplicate records, partial writes, and non-reproducible state.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Point-in-time fidelity</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Pipelines must respect the same temporal integrity rules as the modeling phases. No pipeline may overwrite historical partitions with revised data without versioning both the old and new values.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Extends the core protocol’s leakage rules into the engineering layer.</w:t>
            </w:r>
          </w:p>
        </w:tc>
      </w:tr>
      <w:tr>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Schema contracts</w:t>
            </w:r>
          </w:p>
        </w:tc>
        <w:tc>
          <w:tcPr>
            <w:tcW w:type="dxa" w:w="4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Every dataset exchanged between pipeline stages must have a registered schema (column names, types, nullability, valid ranges). Schema changes require a versioned migration with backward compatibility or an explicit breaking-change protocol.</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Prevents silent column renames, type coercions, and range violations from propagating undetected.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quality gates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Each pipeline stage must run validation checks before publishing: row count within expected range, no nulls in required columns, distribution checks on key features (mean, variance, min, max within bounds), foreign key integrity.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Catches upstream data corruption before it reaches the model.</w:t>
            </w:r>
          </w:p>
        </w:tc>
      </w:tr>
    </w:tbl>
    <w:p>
      <w:pPr>
        <w:spacing w:after="200"/>
      </w:pPr>
    </w:p>
    <w:p>
      <w:pPr>
        <w:pStyle w:val="Heading2"/>
      </w:pPr>
      <w:r>
        <w:t xml:space="preserve">19.2 Fault Tolerance and Recovery</w:t>
      </w:r>
    </w:p>
    <w:p>
      <w:pPr>
        <w:spacing w:after="120"/>
      </w:pPr>
      <w:r>
        <w:t xml:space="preserve">Production data pipelines must handle failures gracefully without corrupting downstream state.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4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Handling</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Upstream provider outage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Retry with exponential backoff (max 5 attempts). If all retries fail, serve the most recent valid cache and flag the staleness in the feature metadata.</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Alert the monitoring layer (Section 18.2). If staleness exceeds the domain-specific tolerance, activate feature fallback logic or reduce model confidence.</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Schema violation</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Reject the incoming payload. Do not ingest partial or malformed data. Log the violation with a full payload sample for debugging.</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Block the pipeline stage. Alert immediately. Do not allow downstream stages to run on stale data without explicit acknowledgment.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Partial data delivery</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Detect via row count validation. If the delivered count is below the expected threshold, reject the batch and retry.</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retry also delivers partial data, serve cached data and alert. Investigate whether the provider is experiencing an outage or has changed their delivery contract.</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Pipeline task failure</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Retry the failed task up to 3 times. If the failure persists, mark all downstream tasks as blocked. Do not allow partial DAG completion to produce inconsistent state.</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Alert with full error context. The system must not make decisions based on a partially refreshed feature set.</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Infrastructure failure</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Pipeline infrastructure (compute, storage, network) must have redundancy. Use checkpointing so that long-running tasks can resume from the last checkpoint rather than restarting.</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infrastructure cannot be restored within the SLA, activate the degraded-mode protocol: serve cached predictions, reduce decision confidence, and widen abstention thresholds.</w:t>
            </w:r>
          </w:p>
        </w:tc>
      </w:tr>
    </w:tbl>
    <w:p>
      <w:pPr>
        <w:spacing w:after="200"/>
      </w:pPr>
    </w:p>
    <w:p>
      <w:pPr>
        <w:pStyle w:val="Heading2"/>
      </w:pPr>
      <w:r>
        <w:t xml:space="preserve">19.3 Data Freshness SLA</w:t>
      </w:r>
    </w:p>
    <w:p>
      <w:pPr>
        <w:spacing w:after="120"/>
      </w:pPr>
      <w:r>
        <w:t xml:space="preserve">Every data source must have a documented freshness SLA that specifies how stale the data can be before the system must take corrective action.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Freshness Requirement</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Staleness Response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Real-time signals (odds, prices, scores)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Seconds to minutes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stale beyond 2x expected interval, suspend decisions that depend on this signal.</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Daily batch data (injury reports, standings, economic releases)</w:t>
            </w:r>
          </w:p>
        </w:tc>
        <w:tc>
          <w:tcPr>
            <w:tcW w:type="dxa" w:w="2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Hours</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If not refreshed by the expected time plus a grace period, serve yesterday’s data with a staleness flag and reduced confidence.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Slow-moving reference data (rosters, schedules, rules)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Days to weeks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Serve cached data. Alert only if staleness exceeds one full update cycle.</w:t>
            </w:r>
          </w:p>
        </w:tc>
      </w:tr>
      <w:tr>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Historical backfill data</w:t>
            </w:r>
          </w:p>
        </w:tc>
        <w:tc>
          <w:tcPr>
            <w:tcW w:type="dxa" w:w="2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Not applicable (static)</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Validate checksums against the registered dataset version. Any mismatch triggers an integrity investigation.</w:t>
            </w:r>
          </w:p>
        </w:tc>
      </w:tr>
    </w:tbl>
    <w:p>
      <w:pPr>
        <w:spacing w:after="200"/>
      </w:pPr>
    </w:p>
    <w:p>
      <w:pPr>
        <w:pStyle w:val="Heading2"/>
      </w:pPr>
      <w:r>
        <w:t xml:space="preserve">19.4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&lt;pipeline_dag_spec&gt;</w:t>
            </w:r>
          </w:p>
          <w:p>
            <w:pPr>
              <w:spacing w:after="20"/>
            </w:pPr>
            <w:r>
              <w:rPr>
                <w:rFonts w:ascii="Courier New" w:cs="Courier New" w:eastAsia="Courier New" w:hAnsi="Courier New"/>
                <w:color w:val="2D3748"/>
                <w:sz w:val="18"/>
                <w:szCs w:val="18"/>
              </w:rPr>
              <w:t xml:space="preserve">&lt;schema_registry&gt;</w:t>
            </w:r>
          </w:p>
          <w:p>
            <w:pPr>
              <w:spacing w:after="20"/>
            </w:pPr>
            <w:r>
              <w:rPr>
                <w:rFonts w:ascii="Courier New" w:cs="Courier New" w:eastAsia="Courier New" w:hAnsi="Courier New"/>
                <w:color w:val="2D3748"/>
                <w:sz w:val="18"/>
                <w:szCs w:val="18"/>
              </w:rPr>
              <w:t xml:space="preserve">&lt;data_quality_gate_config&gt;</w:t>
            </w:r>
          </w:p>
          <w:p>
            <w:pPr>
              <w:spacing w:after="20"/>
            </w:pPr>
            <w:r>
              <w:rPr>
                <w:rFonts w:ascii="Courier New" w:cs="Courier New" w:eastAsia="Courier New" w:hAnsi="Courier New"/>
                <w:color w:val="2D3748"/>
                <w:sz w:val="18"/>
                <w:szCs w:val="18"/>
              </w:rPr>
              <w:t xml:space="preserve">&lt;freshness_sla_registry&gt;</w:t>
            </w:r>
          </w:p>
          <w:p>
            <w:pPr>
              <w:spacing w:after="20"/>
            </w:pPr>
            <w:r>
              <w:rPr>
                <w:rFonts w:ascii="Courier New" w:cs="Courier New" w:eastAsia="Courier New" w:hAnsi="Courier New"/>
                <w:color w:val="2D3748"/>
                <w:sz w:val="18"/>
                <w:szCs w:val="18"/>
              </w:rPr>
              <w:t xml:space="preserve">&lt;fault_tolerance_runbook&gt;</w:t>
            </w:r>
          </w:p>
          <w:p>
            <w:pPr>
              <w:spacing w:after="20"/>
            </w:pPr>
            <w:r>
              <w:rPr>
                <w:rFonts w:ascii="Courier New" w:cs="Courier New" w:eastAsia="Courier New" w:hAnsi="Courier New"/>
                <w:color w:val="2D3748"/>
                <w:sz w:val="18"/>
                <w:szCs w:val="18"/>
              </w:rPr>
              <w:t xml:space="preserve">&lt;pipeline_health_dashboard_spec&gt;</w:t>
            </w:r>
          </w:p>
        </w:tc>
      </w:tr>
    </w:tbl>
    <w:p>
      <w:pPr>
        <w:spacing w:after="200"/>
      </w:pPr>
    </w:p>
    <w:p>
      <w:r>
        <w:br w:type="page"/>
      </w:r>
    </w:p>
    <w:p>
      <w:pPr>
        <w:pStyle w:val="Heading1"/>
      </w:pPr>
      <w:r>
        <w:t xml:space="preserve">20. Computational Budget and Resource Prioritization</w:t>
      </w:r>
    </w:p>
    <w:p>
      <w:pPr>
        <w:spacing w:after="120"/>
      </w:pPr>
      <w:r>
        <w:t xml:space="preserve">The core protocol instructs the agent to search broadly across data sources, feature families, model architectures, and ensemble strategies. Without resource constraints, this mandate can consume unbounded compute. This section defines a budget-aware search protocol that maximizes discovery per unit of compute.</w:t>
      </w:r>
    </w:p>
    <w:p>
      <w:pPr>
        <w:spacing w:after="200"/>
      </w:pPr>
    </w:p>
    <w:p>
      <w:pPr>
        <w:pStyle w:val="Heading2"/>
      </w:pPr>
      <w:r>
        <w:t xml:space="preserve">20.1 Compute Budget Framework</w:t>
      </w:r>
    </w:p>
    <w:p>
      <w:pPr>
        <w:spacing w:after="120"/>
      </w:pPr>
      <w:r>
        <w:t xml:space="preserve">Before beginning any research cycle, the Research Orchestrator must establish a compute budget denominated in a common unit (GPU-hours, CPU-hours, or wall-clock hours, depending on the environment).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Budget Parameter</w:t>
            </w:r>
          </w:p>
        </w:tc>
        <w:tc>
          <w:tcPr>
            <w:tcW w:type="dxa" w:w="4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Allocation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Total cycle budget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Maximum compute for one full iteration of the research loop (Phases 1–8).</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Set by the operator or inferred from available resources. If not specified, assume a 72-hour wall-clock budget.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Phase allocation</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Percentage of the total budget allocated to each phase.</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Data: 10%. Features: 15%. Model search: 35%. Ensemble and calibration: 15%. Decision optimization: 10%. Audit: 10%. Reserve: 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Experiment cost cap</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Maximum compute for any single experiment (one model train + validate cycle).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 single experiment may consume more than 5% of the total cycle budget without explicit justification.</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Search termination</w:t>
            </w:r>
          </w:p>
        </w:tc>
        <w:tc>
          <w:tcPr>
            <w:tcW w:type="dxa" w:w="4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Conditions under which the search process should stop even if budget remains.</w:t>
            </w:r>
          </w:p>
        </w:tc>
        <w:tc>
          <w:tcPr>
            <w:tcW w:type="dxa" w:w="3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Stop if the last N experiments (default N=10) have not improved the best candidate by more than 0.1% on the primary metric.</w:t>
            </w:r>
          </w:p>
        </w:tc>
      </w:tr>
    </w:tbl>
    <w:p>
      <w:pPr>
        <w:spacing w:after="200"/>
      </w:pPr>
    </w:p>
    <w:p>
      <w:pPr>
        <w:pStyle w:val="Heading2"/>
      </w:pPr>
      <w:r>
        <w:t xml:space="preserve">20.2 Prioritized Search Strategy</w:t>
      </w:r>
    </w:p>
    <w:p>
      <w:pPr>
        <w:spacing w:after="120"/>
      </w:pPr>
      <w:r>
        <w:t xml:space="preserve">Rather than exhaustive grid search, the agent must use an intelligent search strategy that front-loads high-value experiments.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rPr>
          <w:tblHeader/>
        </w:trPr>
        <w:tc>
          <w:tcPr>
            <w:tcW w:type="dxa" w:w="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Establish a strong baseline first. Train the simplest reasonable model (logistic regression or single LightGBM with default hyperparameters) on the core feature set within the first 5% of the budget.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 baseline anchors all subsequent comparisons and often captures most of the achievable signal.</w:t>
            </w:r>
          </w:p>
        </w:tc>
      </w:tr>
      <w:tr>
        <w:tc>
          <w:tcPr>
            <w:tcW w:type="dxa" w:w="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2</w:t>
            </w:r>
          </w:p>
        </w:tc>
        <w:tc>
          <w:tcPr>
            <w:tcW w:type="dxa" w:w="5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Feature-level ablation before model-level search. Test feature family additions and removals against the baseline before expanding to new model architectures.</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Feature quality typically matters more than model architecture for tabular prediction tasks.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Coarse-to-fine hyperparameter search. Start with random search or Bayesian optimization over a wide space, then narrow to fine-grained search around promising regions.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Avoids wasting budget on exhaustive exploration of unproductive regions.</w:t>
            </w:r>
          </w:p>
        </w:tc>
      </w:tr>
      <w:tr>
        <w:tc>
          <w:tcPr>
            <w:tcW w:type="dxa" w:w="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4</w:t>
            </w:r>
          </w:p>
        </w:tc>
        <w:tc>
          <w:tcPr>
            <w:tcW w:type="dxa" w:w="5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Architecture expansion only after feature convergence. Move to more complex model families (neural, ensemble stacking) only after the feature set has stabilized.</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Complex models amplify noise if the feature set is unstable.</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Early stopping on unpromising experiments. If an experiment’s validation performance after 30% of training is worse than the baseline by more than one standard deviation, terminate it.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Reclaims budget from clearly losing experiments.</w:t>
            </w:r>
          </w:p>
        </w:tc>
      </w:tr>
    </w:tbl>
    <w:p>
      <w:pPr>
        <w:spacing w:after="200"/>
      </w:pPr>
    </w:p>
    <w:p>
      <w:pPr>
        <w:pStyle w:val="Heading2"/>
      </w:pPr>
      <w:r>
        <w:t xml:space="preserve">20.3 Cost Tracking and Reporting</w:t>
      </w:r>
    </w:p>
    <w:p>
      <w:pPr>
        <w:spacing w:after="120"/>
      </w:pPr>
      <w:r>
        <w:t xml:space="preserve">Every experiment logged to the shared ledger (Section 3) must include its compute cost. The Research Orchestrator must maintain a running budget tracker.</w:t>
      </w:r>
    </w:p>
    <w:p>
      <w:pPr>
        <w:pStyle w:val="ListParagraph"/>
        <w:numPr>
          <w:ilvl w:val="0"/>
          <w:numId w:val="13"/>
        </w:numPr>
        <w:spacing w:after="60"/>
      </w:pPr>
      <w:r>
        <w:t xml:space="preserve">Total budget consumed and remaining, broken down by phase.</w:t>
      </w:r>
    </w:p>
    <w:p>
      <w:pPr>
        <w:pStyle w:val="ListParagraph"/>
        <w:numPr>
          <w:ilvl w:val="0"/>
          <w:numId w:val="13"/>
        </w:numPr>
        <w:spacing w:after="60"/>
      </w:pPr>
      <w:r>
        <w:t xml:space="preserve">Cost per unit improvement on the primary metric (compute efficiency ratio).</w:t>
      </w:r>
    </w:p>
    <w:p>
      <w:pPr>
        <w:pStyle w:val="ListParagraph"/>
        <w:numPr>
          <w:ilvl w:val="0"/>
          <w:numId w:val="13"/>
        </w:numPr>
        <w:spacing w:after="60"/>
      </w:pPr>
      <w:r>
        <w:t xml:space="preserve">Projected budget required to complete the current search plan. If projected cost exceeds remaining budget, the Orchestrator must re-prioritize or request an extension before proceeding.</w:t>
      </w:r>
    </w:p>
    <w:p>
      <w:pPr>
        <w:pStyle w:val="ListParagraph"/>
        <w:numPr>
          <w:ilvl w:val="0"/>
          <w:numId w:val="13"/>
        </w:numPr>
        <w:spacing w:after="60"/>
      </w:pPr>
      <w:r>
        <w:t xml:space="preserve">A Pareto frontier showing the trade-off between compute invested and performance achieved, so the operator can decide whether continued search is worthwhile.</w:t>
      </w:r>
    </w:p>
    <w:p>
      <w:pPr>
        <w:spacing w:after="200"/>
      </w:pPr>
    </w:p>
    <w:p>
      <w:pPr>
        <w:pStyle w:val="Heading2"/>
      </w:pPr>
      <w:r>
        <w:t xml:space="preserve">20.4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&lt;compute_budget_plan&gt;</w:t>
            </w:r>
          </w:p>
          <w:p>
            <w:pPr>
              <w:spacing w:after="20"/>
            </w:pPr>
            <w:r>
              <w:rPr>
                <w:rFonts w:ascii="Courier New" w:cs="Courier New" w:eastAsia="Courier New" w:hAnsi="Courier New"/>
                <w:color w:val="2D3748"/>
                <w:sz w:val="18"/>
                <w:szCs w:val="18"/>
              </w:rPr>
              <w:t xml:space="preserve">&lt;budget_tracker&gt;</w:t>
            </w:r>
          </w:p>
          <w:p>
            <w:pPr>
              <w:spacing w:after="20"/>
            </w:pPr>
            <w:r>
              <w:rPr>
                <w:rFonts w:ascii="Courier New" w:cs="Courier New" w:eastAsia="Courier New" w:hAnsi="Courier New"/>
                <w:color w:val="2D3748"/>
                <w:sz w:val="18"/>
                <w:szCs w:val="18"/>
              </w:rPr>
              <w:t xml:space="preserve">&lt;cost_efficiency_report&gt;</w:t>
            </w:r>
          </w:p>
          <w:p>
            <w:pPr>
              <w:spacing w:after="20"/>
            </w:pPr>
            <w:r>
              <w:rPr>
                <w:rFonts w:ascii="Courier New" w:cs="Courier New" w:eastAsia="Courier New" w:hAnsi="Courier New"/>
                <w:color w:val="2D3748"/>
                <w:sz w:val="18"/>
                <w:szCs w:val="18"/>
              </w:rPr>
              <w:t xml:space="preserve">&lt;search_termination_justification&gt;</w:t>
            </w:r>
          </w:p>
          <w:p>
            <w:pPr>
              <w:spacing w:after="20"/>
            </w:pPr>
            <w:r>
              <w:rPr>
                <w:rFonts w:ascii="Courier New" w:cs="Courier New" w:eastAsia="Courier New" w:hAnsi="Courier New"/>
                <w:color w:val="2D3748"/>
                <w:sz w:val="18"/>
                <w:szCs w:val="18"/>
              </w:rPr>
              <w:t xml:space="preserve">&lt;pareto_frontier_analysis&gt;</w:t>
            </w:r>
          </w:p>
        </w:tc>
      </w:tr>
    </w:tbl>
    <w:p>
      <w:pPr>
        <w:spacing w:after="200"/>
      </w:pPr>
    </w:p>
    <w:p>
      <w:r>
        <w:br w:type="page"/>
      </w:r>
    </w:p>
    <w:p>
      <w:pPr>
        <w:pStyle w:val="Heading1"/>
      </w:pPr>
      <w:r>
        <w:t xml:space="preserve">21. Human-in-the-Loop Governance and Approval Gates</w:t>
      </w:r>
    </w:p>
    <w:p>
      <w:pPr>
        <w:spacing w:after="120"/>
      </w:pPr>
      <w:r>
        <w:t xml:space="preserve">The core protocol assumes full agent autonomy. In practice, high-stakes prediction systems in finance, betting, and elections require human oversight at critical junctures. This section defines a governance framework that preserves agent autonomy for routine research while requiring human approval for actions with significant operational, financial, or reputational risk.</w:t>
      </w:r>
    </w:p>
    <w:p>
      <w:pPr>
        <w:spacing w:after="200"/>
      </w:pPr>
    </w:p>
    <w:p>
      <w:pPr>
        <w:pStyle w:val="Heading2"/>
      </w:pPr>
      <w:r>
        <w:t xml:space="preserve">21.1 Decision Authority Matrix</w:t>
      </w:r>
    </w:p>
    <w:p>
      <w:pPr>
        <w:spacing w:after="120"/>
      </w:pPr>
      <w:r>
        <w:t xml:space="preserve">Every action the agent system can take is classified into one of three authority levels.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960"/>
      </w:tblGrid>
      <w:tr>
        <w:trPr>
          <w:tblHeader/>
        </w:trP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Authority Level</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Approval</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Autonomous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Routine research and experimentation within established guardrails.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Running experiments, training models, generating features, logging results, executing the research loop.</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None. Agent proceeds independently.</w:t>
            </w:r>
          </w:p>
        </w:tc>
      </w:tr>
      <w:tr>
        <w:tc>
          <w:tcPr>
            <w:tcW w:type="dxa" w:w="1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Notify</w:t>
            </w:r>
          </w:p>
        </w:tc>
        <w:tc>
          <w:tcPr>
            <w:tcW w:type="dxa" w:w="2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Actions that change the live system’s behavior but are reversible.</w:t>
            </w:r>
          </w:p>
        </w:tc>
        <w:tc>
          <w:tcPr>
            <w:tcW w:type="dxa" w:w="2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Promoting a candidate model to shadow mode, adjusting alert thresholds, activating a scheduled retrain, updating feature pipelines.</w:t>
            </w:r>
          </w:p>
        </w:tc>
        <w:tc>
          <w:tcPr>
            <w:tcW w:type="dxa" w:w="29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Agent executes and sends a notification to the designated human reviewer within a defined window. Reviewer can reverse.</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Approve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Actions with significant, potentially irreversible operational impact.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Deploying a new model to full production, changing the decision policy, increasing exposure limits, decommissioning a data source, any action during a detected anomaly.</w:t>
            </w:r>
          </w:p>
        </w:tc>
        <w:tc>
          <w:tcPr>
            <w:tcW w:type="dxa" w:w="2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Agent proposes and waits for explicit human approval before executing. Approval request must include a risk summary, backtest evidence, and rollback plan.</w:t>
            </w:r>
          </w:p>
        </w:tc>
      </w:tr>
    </w:tbl>
    <w:p>
      <w:pPr>
        <w:spacing w:after="200"/>
      </w:pPr>
    </w:p>
    <w:p>
      <w:pPr>
        <w:pStyle w:val="Heading2"/>
      </w:pPr>
      <w:r>
        <w:t xml:space="preserve">21.2 Approval Request Protocol</w:t>
      </w:r>
    </w:p>
    <w:p>
      <w:pPr>
        <w:spacing w:after="120"/>
      </w:pPr>
      <w:r>
        <w:t xml:space="preserve">When the agent requires human approval, it must submit a structured approval request containing:</w:t>
      </w:r>
    </w:p>
    <w:p>
      <w:pPr>
        <w:pStyle w:val="ListParagraph"/>
        <w:numPr>
          <w:ilvl w:val="0"/>
          <w:numId w:val="14"/>
        </w:numPr>
        <w:spacing w:after="60"/>
      </w:pPr>
      <w:r>
        <w:t xml:space="preserve">Action summary: A plain-language description of what the agent wants to do and why.</w:t>
      </w:r>
    </w:p>
    <w:p>
      <w:pPr>
        <w:pStyle w:val="ListParagraph"/>
        <w:numPr>
          <w:ilvl w:val="0"/>
          <w:numId w:val="14"/>
        </w:numPr>
        <w:spacing w:after="60"/>
      </w:pPr>
      <w:r>
        <w:t xml:space="preserve">Evidence package: Links to the relevant experiment records, backtest reports, audit results, and drift analysis that justify the action.</w:t>
      </w:r>
    </w:p>
    <w:p>
      <w:pPr>
        <w:pStyle w:val="ListParagraph"/>
        <w:numPr>
          <w:ilvl w:val="0"/>
          <w:numId w:val="14"/>
        </w:numPr>
        <w:spacing w:after="60"/>
      </w:pPr>
      <w:r>
        <w:t xml:space="preserve">Risk assessment: A quantified estimate of the downside if the action fails, including worst-case drawdown, exposure increase, and estimated time to detect and reverse.</w:t>
      </w:r>
    </w:p>
    <w:p>
      <w:pPr>
        <w:pStyle w:val="ListParagraph"/>
        <w:numPr>
          <w:ilvl w:val="0"/>
          <w:numId w:val="14"/>
        </w:numPr>
        <w:spacing w:after="60"/>
      </w:pPr>
      <w:r>
        <w:t xml:space="preserve">Rollback plan: Step-by-step instructions for reverting the action, including expected rollback time and any data that would be lost.</w:t>
      </w:r>
    </w:p>
    <w:p>
      <w:pPr>
        <w:pStyle w:val="ListParagraph"/>
        <w:numPr>
          <w:ilvl w:val="0"/>
          <w:numId w:val="14"/>
        </w:numPr>
        <w:spacing w:after="60"/>
      </w:pPr>
      <w:r>
        <w:t xml:space="preserve">Expiration: A deadline after which the approval request is void and the agent must resubmit with updated evidence.</w:t>
      </w:r>
    </w:p>
    <w:p>
      <w:pPr>
        <w:spacing w:after="200"/>
      </w:pPr>
    </w:p>
    <w:p>
      <w:pPr>
        <w:pStyle w:val="Heading2"/>
      </w:pPr>
      <w:r>
        <w:t xml:space="preserve">21.3 Compliance and Regulatory Checkpoints</w:t>
      </w:r>
    </w:p>
    <w:p>
      <w:pPr>
        <w:spacing w:after="120"/>
      </w:pPr>
      <w:r>
        <w:t xml:space="preserve">For domains with regulatory requirements (finance, gambling, elections), the following additional gates apply: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Compliance Requirement</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Responsibility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Finance / trading</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Regulatory position limits, reporting obligations, best-execution requirements, and any applicable algorithmic trading regulations.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Decision Agent must check all proposed actions against configured regulatory limits before execution. Any action that would breach a limit must be blocked and escalated.</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Betting / prediction markets</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Jurisdictional legality, platform terms of service, responsible gambling limits, and any self-imposed loss limits.</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The Decision Agent must verify jurisdictional compliance for every action. Exposure must respect configured loss limits with no override without human approval.</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Elections / political forecasting</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Disclosure requirements, data privacy regulations, and restrictions on the use of certain data types.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Data Agent must flag any data source that may be subject to privacy or disclosure rules. The Research Orchestrator must ensure compliance before ingestion.</w:t>
            </w:r>
          </w:p>
        </w:tc>
      </w:tr>
    </w:tbl>
    <w:p>
      <w:pPr>
        <w:spacing w:after="200"/>
      </w:pPr>
    </w:p>
    <w:p>
      <w:pPr>
        <w:pStyle w:val="Heading2"/>
      </w:pPr>
      <w:r>
        <w:t xml:space="preserve">21.4 Audit Trail for Governance Actions</w:t>
      </w:r>
    </w:p>
    <w:p>
      <w:pPr>
        <w:spacing w:after="120"/>
      </w:pPr>
      <w:r>
        <w:t xml:space="preserve">Every governance action (approval request, approval decision, override, escalation) must be logged to an immutable audit trail with timestamps, actor identities, justifications, and outcomes. This trail must be retained for a period compliant with the applicable regulatory requirements of the domain, with a minimum retention of three years.</w:t>
      </w:r>
    </w:p>
    <w:p>
      <w:pPr>
        <w:spacing w:after="200"/>
      </w:pPr>
    </w:p>
    <w:p>
      <w:pPr>
        <w:pStyle w:val="Heading2"/>
      </w:pPr>
      <w:r>
        <w:t xml:space="preserve">21.5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&lt;decision_authority_matrix&gt;</w:t>
            </w:r>
          </w:p>
          <w:p>
            <w:pPr>
              <w:spacing w:after="20"/>
            </w:pPr>
            <w:r>
              <w:rPr>
                <w:rFonts w:ascii="Courier New" w:cs="Courier New" w:eastAsia="Courier New" w:hAnsi="Courier New"/>
                <w:color w:val="2D3748"/>
                <w:sz w:val="18"/>
                <w:szCs w:val="18"/>
              </w:rPr>
              <w:t xml:space="preserve">&lt;approval_request_log&gt;</w:t>
            </w:r>
          </w:p>
          <w:p>
            <w:pPr>
              <w:spacing w:after="20"/>
            </w:pPr>
            <w:r>
              <w:rPr>
                <w:rFonts w:ascii="Courier New" w:cs="Courier New" w:eastAsia="Courier New" w:hAnsi="Courier New"/>
                <w:color w:val="2D3748"/>
                <w:sz w:val="18"/>
                <w:szCs w:val="18"/>
              </w:rPr>
              <w:t xml:space="preserve">&lt;compliance_checkpoint_report&gt;</w:t>
            </w:r>
          </w:p>
          <w:p>
            <w:pPr>
              <w:spacing w:after="20"/>
            </w:pPr>
            <w:r>
              <w:rPr>
                <w:rFonts w:ascii="Courier New" w:cs="Courier New" w:eastAsia="Courier New" w:hAnsi="Courier New"/>
                <w:color w:val="2D3748"/>
                <w:sz w:val="18"/>
                <w:szCs w:val="18"/>
              </w:rPr>
              <w:t xml:space="preserve">&lt;governance_audit_trail&gt;</w:t>
            </w:r>
          </w:p>
          <w:p>
            <w:pPr>
              <w:spacing w:after="20"/>
            </w:pPr>
            <w:r>
              <w:rPr>
                <w:rFonts w:ascii="Courier New" w:cs="Courier New" w:eastAsia="Courier New" w:hAnsi="Courier New"/>
                <w:color w:val="2D3748"/>
                <w:sz w:val="18"/>
                <w:szCs w:val="18"/>
              </w:rPr>
              <w:t xml:space="preserve">&lt;escalation_protocol&gt;</w:t>
            </w:r>
          </w:p>
        </w:tc>
      </w:tr>
    </w:tbl>
    <w:p>
      <w:pPr>
        <w:spacing w:after="200"/>
      </w:pPr>
    </w:p>
    <w:p>
      <w:r>
        <w:br w:type="page"/>
      </w:r>
    </w:p>
    <w:p>
      <w:pPr>
        <w:pStyle w:val="Heading1"/>
      </w:pPr>
      <w:r>
        <w:t xml:space="preserve">22. Multi-Agent Conflict Resolution Protocol</w:t>
      </w:r>
    </w:p>
    <w:p>
      <w:pPr>
        <w:spacing w:after="120"/>
      </w:pPr>
      <w:r>
        <w:t xml:space="preserve">The core protocol defines agent roles (Section 2) and a shared ledger (Section 3) but does not specify what happens when agents disagree. This section establishes a formal conflict resolution protocol so that disagreements are surfaced, documented, and resolved systematically rather than silently overridden.</w:t>
      </w:r>
    </w:p>
    <w:p>
      <w:pPr>
        <w:spacing w:after="200"/>
      </w:pPr>
    </w:p>
    <w:p>
      <w:pPr>
        <w:pStyle w:val="Heading2"/>
      </w:pPr>
      <w:r>
        <w:t xml:space="preserve">22.1 Conflict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Factual disagreement</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Two agents produce contradictory empirical claims about the same experiment or dataset.</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Model Agent reports that a candidate improves Brier score by 3%, while the Audit Agent’s reproduction shows no improvement after correcting a leakage issue.</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Priority disagreement</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Agents disagree on what should be worked on next or which experiments are most valuable.</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The Feature Agent wants to expand the feature set with a new data source, while the Research Orchestrator believes the current feature set should be stabilized first.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Safety disagreement</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Audit Agent flags a concern that another agent disputes or wants to override.</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Audit Agent flags potential lookahead bias in a feature. The Feature Agent argues the feature is valid because the data source publishes before the event.</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Resource disagreement</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Agents compete for limited compute or data access budget.</w:t>
            </w:r>
          </w:p>
        </w:tc>
        <w:tc>
          <w:tcPr>
            <w:tcW w:type="dxa" w:w="368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The Model Agent wants to run a large neural architecture search, while the Ensemble Agent needs compute for stacking experiments.</w:t>
            </w:r>
          </w:p>
        </w:tc>
      </w:tr>
    </w:tbl>
    <w:p>
      <w:pPr>
        <w:spacing w:after="200"/>
      </w:pPr>
    </w:p>
    <w:p>
      <w:pPr>
        <w:pStyle w:val="Heading2"/>
      </w:pPr>
      <w:r>
        <w:t xml:space="preserve">22.2 Resolution Hierarchy</w:t>
      </w:r>
    </w:p>
    <w:p>
      <w:pPr>
        <w:spacing w:after="120"/>
      </w:pPr>
      <w:r>
        <w:t xml:space="preserve">Conflicts are resolved through a structured escalation path. The guiding principle is that safety concerns always take precedence, and empirical evidence always outweighs assertion.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 Evidence duel</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agents submit their evidence to the shared ledger. This must include raw data, code, experiment configs, and results. No claims without reproducible evidence.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If the evidence clearly supports one side, the conflict is resolved in favor of the supported claim.</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2. Audit arbitration</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If the evidence is ambiguous, the Audit Agent runs an independent reproduction. The Audit Agent’s finding is binding on factual matters.</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Audit Agent’s reproduction determines the factual outcome. For safety disagreements, the Audit Agent always has veto power.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3. Orchestrator decision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For priority and resource disagreements that are not safety-related, the Research Orchestrator makes the final call based on the current roadmap and budget.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Orchestrator’s decision is logged with justification. Other agents may register a dissent for the record.</w:t>
            </w:r>
          </w:p>
        </w:tc>
      </w:tr>
      <w:tr>
        <w:tc>
          <w:tcPr>
            <w:tcW w:type="dxa" w:w="1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4. Human escalation</w:t>
            </w:r>
          </w:p>
        </w:tc>
        <w:tc>
          <w:tcPr>
            <w:tcW w:type="dxa" w:w="42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If the Audit Agent and Research Orchestrator cannot resolve a conflict, or if the conflict involves a potential regulatory or compliance issue, escalate to the human operator.</w:t>
            </w:r>
          </w:p>
        </w:tc>
        <w:tc>
          <w:tcPr>
            <w:tcW w:type="dxa" w:w="3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Human decision is final and logged to the governance audit trail.</w:t>
            </w:r>
          </w:p>
        </w:tc>
      </w:tr>
    </w:tbl>
    <w:p>
      <w:pPr>
        <w:spacing w:after="200"/>
      </w:pPr>
    </w:p>
    <w:p>
      <w:pPr>
        <w:pStyle w:val="Heading2"/>
      </w:pPr>
      <w:r>
        <w:t xml:space="preserve">22.3 The Audit Agent Veto</w:t>
      </w:r>
    </w:p>
    <w:p>
      <w:pPr>
        <w:spacing w:after="120"/>
      </w:pPr>
      <w:r>
        <w:t xml:space="preserve">The Audit Agent holds a special veto power on safety matters. Specifically, if the Audit Agent identifies confirmed temporal leakage, validation contamination, or any issue listed in Section 15, no other agent may override this finding. The only path forward is to fix the underlying issue and resubmit for audit.</w:t>
      </w:r>
    </w:p>
    <w:p>
      <w:pPr>
        <w:spacing w:after="200"/>
      </w:pPr>
    </w:p>
    <w:p>
      <w:pPr>
        <w:spacing w:after="120"/>
      </w:pPr>
      <w:r>
        <w:t xml:space="preserve">The Audit Agent’s veto cannot be used for priority or resource disagreements. It is reserved exclusively for empirical integrity and safety concerns.</w:t>
      </w:r>
    </w:p>
    <w:p>
      <w:pPr>
        <w:spacing w:after="200"/>
      </w:pPr>
    </w:p>
    <w:p>
      <w:pPr>
        <w:pStyle w:val="Heading2"/>
      </w:pPr>
      <w:r>
        <w:t xml:space="preserve">22.4 Dissent Registry</w:t>
      </w:r>
    </w:p>
    <w:p>
      <w:pPr>
        <w:spacing w:after="120"/>
      </w:pPr>
      <w:r>
        <w:t xml:space="preserve">Any agent that disagrees with a resolution may file a dissent in the experiment ledger. The dissent must include the agent’s reasoning and the evidence it believes was insufficiently weighted. Dissents do not block action but create a record that can be revisited if future evidence vindicates the dissenting position. The Research Orchestrator must review open dissents at the start of each research cycle.</w:t>
      </w:r>
    </w:p>
    <w:p>
      <w:pPr>
        <w:spacing w:after="200"/>
      </w:pPr>
    </w:p>
    <w:p>
      <w:pPr>
        <w:pStyle w:val="Heading2"/>
      </w:pPr>
      <w:r>
        <w:t xml:space="preserve">22.5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&lt;conflict_log&gt;</w:t>
            </w:r>
          </w:p>
          <w:p>
            <w:pPr>
              <w:spacing w:after="20"/>
            </w:pPr>
            <w:r>
              <w:rPr>
                <w:rFonts w:ascii="Courier New" w:cs="Courier New" w:eastAsia="Courier New" w:hAnsi="Courier New"/>
                <w:color w:val="2D3748"/>
                <w:sz w:val="18"/>
                <w:szCs w:val="18"/>
              </w:rPr>
              <w:t xml:space="preserve">&lt;evidence_duel_record&gt;</w:t>
            </w:r>
          </w:p>
          <w:p>
            <w:pPr>
              <w:spacing w:after="20"/>
            </w:pPr>
            <w:r>
              <w:rPr>
                <w:rFonts w:ascii="Courier New" w:cs="Courier New" w:eastAsia="Courier New" w:hAnsi="Courier New"/>
                <w:color w:val="2D3748"/>
                <w:sz w:val="18"/>
                <w:szCs w:val="18"/>
              </w:rPr>
              <w:t xml:space="preserve">&lt;audit_arbitration_report&gt;</w:t>
            </w:r>
          </w:p>
          <w:p>
            <w:pPr>
              <w:spacing w:after="20"/>
            </w:pPr>
            <w:r>
              <w:rPr>
                <w:rFonts w:ascii="Courier New" w:cs="Courier New" w:eastAsia="Courier New" w:hAnsi="Courier New"/>
                <w:color w:val="2D3748"/>
                <w:sz w:val="18"/>
                <w:szCs w:val="18"/>
              </w:rPr>
              <w:t xml:space="preserve">&lt;dissent_registry&gt;</w:t>
            </w:r>
          </w:p>
          <w:p>
            <w:pPr>
              <w:spacing w:after="20"/>
            </w:pPr>
            <w:r>
              <w:rPr>
                <w:rFonts w:ascii="Courier New" w:cs="Courier New" w:eastAsia="Courier New" w:hAnsi="Courier New"/>
                <w:color w:val="2D3748"/>
                <w:sz w:val="18"/>
                <w:szCs w:val="18"/>
              </w:rPr>
              <w:t xml:space="preserve">&lt;conflict_resolution_summary&gt;</w:t>
            </w:r>
          </w:p>
        </w:tc>
      </w:tr>
    </w:tbl>
    <w:p>
      <w:pPr>
        <w:spacing w:after="200"/>
      </w:pPr>
    </w:p>
    <w:p>
      <w:r>
        <w:br w:type="page"/>
      </w:r>
    </w:p>
    <w:p>
      <w:pPr>
        <w:pStyle w:val="Heading1"/>
      </w:pPr>
      <w:r>
        <w:t xml:space="preserve">23. Testing Strategy and CI/CD Integration</w:t>
      </w:r>
    </w:p>
    <w:p>
      <w:pPr>
        <w:spacing w:after="120"/>
      </w:pPr>
      <w:r>
        <w:t xml:space="preserve">Section 12 of the core protocol addresses codebase review and refactoring but does not prescribe a testing philosophy or continuous integration strategy. This section defines the testing pyramid, coverage expectations, and automated pipeline that must protect every code change.</w:t>
      </w:r>
    </w:p>
    <w:p>
      <w:pPr>
        <w:spacing w:after="200"/>
      </w:pPr>
    </w:p>
    <w:p>
      <w:pPr>
        <w:pStyle w:val="Heading2"/>
      </w:pPr>
      <w:r>
        <w:t xml:space="preserve">23.1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Coverage Target</w:t>
            </w:r>
          </w:p>
        </w:tc>
        <w:tc>
          <w:tcPr>
            <w:tcW w:type="dxa" w:w="2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Execution Speed</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Individual functions, transformations, feature computations, utility methods. Tests must verify correctness of logic in isolation with mocked dependencies.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90% line coverage on all feature engineering, data transformation, and decision logic code.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Seconds. Must complete in under 60 seconds for the full suite.</w:t>
            </w:r>
          </w:p>
        </w:tc>
      </w:tr>
      <w:tr>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Component interactions: pipeline stages, model training to prediction flow, database read/write, API contracts between agents.</w:t>
            </w:r>
          </w:p>
        </w:tc>
        <w:tc>
          <w:tcPr>
            <w:tcW w:type="dxa" w:w="2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Every pipeline stage must have at least one happy-path and one failure-path integration test.</w:t>
            </w:r>
          </w:p>
        </w:tc>
        <w:tc>
          <w:tcPr>
            <w:tcW w:type="dxa" w:w="25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Minutes. Must complete in under 10 minutes.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System tests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End-to-end workflows: data ingestion through prediction through decision output. Run against a realistic test dataset with known expected outputs.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At least one full-pipeline test per major workflow (training, inference, retraining, rollback).</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Minutes to hours depending on domain. Run nightly, not on every commit.</w:t>
            </w:r>
          </w:p>
        </w:tc>
      </w:tr>
      <w:tr>
        <w:tc>
          <w:tcPr>
            <w:tcW w:type="dxa" w:w="16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Property-based tests</w:t>
            </w:r>
          </w:p>
        </w:tc>
        <w:tc>
          <w:tcPr>
            <w:tcW w:type="dxa" w:w="2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Invariant assertions that must hold regardless of input: temporal ordering preserved, no future data in features, probabilities sum to 1, positions within limits.</w:t>
            </w:r>
          </w:p>
        </w:tc>
        <w:tc>
          <w:tcPr>
            <w:tcW w:type="dxa" w:w="24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Every non-negotiable principle from Section 1 must have at least one property test.</w:t>
            </w:r>
          </w:p>
        </w:tc>
        <w:tc>
          <w:tcPr>
            <w:tcW w:type="dxa" w:w="25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Seconds. Run on every commit.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Regression tests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Specific bugs that were found and fixed. Each bug fix must be accompanied by a test that would have caught the bug.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 of previously identified bugs must have a corresponding regression test.</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Seconds. Run on every commit.</w:t>
            </w:r>
          </w:p>
        </w:tc>
      </w:tr>
    </w:tbl>
    <w:p>
      <w:pPr>
        <w:spacing w:after="200"/>
      </w:pPr>
    </w:p>
    <w:p>
      <w:pPr>
        <w:pStyle w:val="Heading2"/>
      </w:pPr>
      <w:r>
        <w:t xml:space="preserve">23.2 Temporal Integrity Tests</w:t>
      </w:r>
    </w:p>
    <w:p>
      <w:pPr>
        <w:spacing w:after="120"/>
      </w:pPr>
      <w:r>
        <w:t xml:space="preserve">Given the core protocol’s emphasis on temporal integrity, the following specialized tests are mandatory:</w:t>
      </w:r>
    </w:p>
    <w:p>
      <w:pPr>
        <w:pStyle w:val="ListParagraph"/>
        <w:numPr>
          <w:ilvl w:val="0"/>
          <w:numId w:val="15"/>
        </w:numPr>
        <w:spacing w:after="60"/>
      </w:pPr>
      <w:r>
        <w:t xml:space="preserve">Feature timestamp assertion: For every feature, verify that the as-of timestamp used to compute the feature is strictly before the prediction target’s event time. This must be tested with synthetic data that includes known temporal violations to ensure the test catches them.</w:t>
      </w:r>
    </w:p>
    <w:p>
      <w:pPr>
        <w:pStyle w:val="ListParagraph"/>
        <w:numPr>
          <w:ilvl w:val="0"/>
          <w:numId w:val="15"/>
        </w:numPr>
        <w:spacing w:after="60"/>
      </w:pPr>
      <w:r>
        <w:t xml:space="preserve">Walk-forward replay test: Replay the walk-forward validation on a frozen dataset and verify that results exactly match the logged experiment record. Any discrepancy indicates non-determinism or temporal contamination.</w:t>
      </w:r>
    </w:p>
    <w:p>
      <w:pPr>
        <w:pStyle w:val="ListParagraph"/>
        <w:numPr>
          <w:ilvl w:val="0"/>
          <w:numId w:val="15"/>
        </w:numPr>
        <w:spacing w:after="60"/>
      </w:pPr>
      <w:r>
        <w:t xml:space="preserve">Data leakage canary: Insert deliberately future-leaked features into the pipeline and verify that the validation framework detects and rejects them. If the canary feature passes undetected, the leakage detection system is broken.</w:t>
      </w:r>
    </w:p>
    <w:p>
      <w:pPr>
        <w:pStyle w:val="ListParagraph"/>
        <w:numPr>
          <w:ilvl w:val="0"/>
          <w:numId w:val="15"/>
        </w:numPr>
        <w:spacing w:after="60"/>
      </w:pPr>
      <w:r>
        <w:t xml:space="preserve">Pipeline ordering test: Verify that pipeline DAG execution order is deterministic and that rerunning the same DAG on the same data produces bitwise-identical outputs.</w:t>
      </w:r>
    </w:p>
    <w:p>
      <w:pPr>
        <w:spacing w:after="200"/>
      </w:pPr>
    </w:p>
    <w:p>
      <w:pPr>
        <w:pStyle w:val="Heading2"/>
      </w:pPr>
      <w:r>
        <w:t xml:space="preserve">23.3 CI/CD Pipeline</w:t>
      </w:r>
    </w:p>
    <w:p>
      <w:pPr>
        <w:spacing w:after="120"/>
      </w:pPr>
      <w:r>
        <w:t xml:space="preserve">Every code change must pass through an automated CI/CD pipeline before merging.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Checks</w:t>
            </w:r>
          </w:p>
        </w:tc>
        <w:tc>
          <w:tcPr>
            <w:tcW w:type="dxa" w:w="2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Block on Failure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Pre-commit</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Linting, formatting, type checking, import sorting.</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 No commit proceeds with lint or type errors.</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Unit + property tests</w:t>
            </w:r>
          </w:p>
        </w:tc>
        <w:tc>
          <w:tcPr>
            <w:tcW w:type="dxa" w:w="4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Full unit test suite and all property-based tests.</w:t>
            </w:r>
          </w:p>
        </w:tc>
        <w:tc>
          <w:tcPr>
            <w:tcW w:type="dxa" w:w="25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Yes. No merge without passing unit tests.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Integration tests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Component interaction tests with test fixtures.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 No merge without passing integration tests.</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Coverage gate</w:t>
            </w:r>
          </w:p>
        </w:tc>
        <w:tc>
          <w:tcPr>
            <w:tcW w:type="dxa" w:w="4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Compute coverage delta. New code must not decrease overall coverage. Critical paths must maintain minimum thresholds.</w:t>
            </w:r>
          </w:p>
        </w:tc>
        <w:tc>
          <w:tcPr>
            <w:tcW w:type="dxa" w:w="25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Yes. Coverage regression blocks merge.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Model validation smoke test</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Train a small model on a subset of data and verify that the output schema, calibration, and decision logic produce valid results.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Yes. Catches breaking changes to the model pipeline.</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System tests (nightly)</w:t>
            </w:r>
          </w:p>
        </w:tc>
        <w:tc>
          <w:tcPr>
            <w:tcW w:type="dxa" w:w="48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Full end-to-end pipeline on realistic data.</w:t>
            </w:r>
          </w:p>
        </w:tc>
        <w:tc>
          <w:tcPr>
            <w:tcW w:type="dxa" w:w="25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No block on merge, but failures trigger immediate investigation and a hotfix window.</w:t>
            </w:r>
          </w:p>
        </w:tc>
      </w:tr>
    </w:tbl>
    <w:p>
      <w:pPr>
        <w:spacing w:after="200"/>
      </w:pPr>
    </w:p>
    <w:p>
      <w:pPr>
        <w:pStyle w:val="Heading2"/>
      </w:pPr>
      <w:r>
        <w:t xml:space="preserve">23.4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&lt;test_coverage_report&gt;</w:t>
            </w:r>
          </w:p>
          <w:p>
            <w:pPr>
              <w:spacing w:after="20"/>
            </w:pPr>
            <w:r>
              <w:rPr>
                <w:rFonts w:ascii="Courier New" w:cs="Courier New" w:eastAsia="Courier New" w:hAnsi="Courier New"/>
                <w:color w:val="2D3748"/>
                <w:sz w:val="18"/>
                <w:szCs w:val="18"/>
              </w:rPr>
              <w:t xml:space="preserve">&lt;ci_cd_pipeline_config&gt;</w:t>
            </w:r>
          </w:p>
          <w:p>
            <w:pPr>
              <w:spacing w:after="20"/>
            </w:pPr>
            <w:r>
              <w:rPr>
                <w:rFonts w:ascii="Courier New" w:cs="Courier New" w:eastAsia="Courier New" w:hAnsi="Courier New"/>
                <w:color w:val="2D3748"/>
                <w:sz w:val="18"/>
                <w:szCs w:val="18"/>
              </w:rPr>
              <w:t xml:space="preserve">&lt;temporal_integrity_test_results&gt;</w:t>
            </w:r>
          </w:p>
          <w:p>
            <w:pPr>
              <w:spacing w:after="20"/>
            </w:pPr>
            <w:r>
              <w:rPr>
                <w:rFonts w:ascii="Courier New" w:cs="Courier New" w:eastAsia="Courier New" w:hAnsi="Courier New"/>
                <w:color w:val="2D3748"/>
                <w:sz w:val="18"/>
                <w:szCs w:val="18"/>
              </w:rPr>
              <w:t xml:space="preserve">&lt;regression_test_registry&gt;</w:t>
            </w:r>
          </w:p>
          <w:p>
            <w:pPr>
              <w:spacing w:after="20"/>
            </w:pPr>
            <w:r>
              <w:rPr>
                <w:rFonts w:ascii="Courier New" w:cs="Courier New" w:eastAsia="Courier New" w:hAnsi="Courier New"/>
                <w:color w:val="2D3748"/>
                <w:sz w:val="18"/>
                <w:szCs w:val="18"/>
              </w:rPr>
              <w:t xml:space="preserve">&lt;nightly_system_test_report&gt;</w:t>
            </w:r>
          </w:p>
        </w:tc>
      </w:tr>
    </w:tbl>
    <w:p>
      <w:pPr>
        <w:spacing w:after="200"/>
      </w:pPr>
    </w:p>
    <w:p>
      <w:r>
        <w:br w:type="page"/>
      </w:r>
    </w:p>
    <w:p>
      <w:pPr>
        <w:pStyle w:val="Heading1"/>
      </w:pPr>
      <w:r>
        <w:t xml:space="preserve">24. Domain-Specific Integration Guides</w:t>
      </w:r>
    </w:p>
    <w:p>
      <w:pPr>
        <w:spacing w:after="120"/>
      </w:pPr>
      <w:r>
        <w:t xml:space="preserve">The core protocol is deliberately domain-agnostic. This section provides domain-specific supplements that fill in the practical knowledge an agent needs when operating in a particular vertical. Each guide highlights the data quirks, regulatory environment, timing constraints, and common pitfalls specific to that domain. The agent must consult the relevant guide before beginning Phase 0 in any new domain.</w:t>
      </w:r>
    </w:p>
    <w:p>
      <w:pPr>
        <w:spacing w:after="200"/>
      </w:pPr>
    </w:p>
    <w:p>
      <w:pPr>
        <w:pStyle w:val="Heading2"/>
      </w:pPr>
      <w:r>
        <w:t xml:space="preserve">24.1 Sports Betting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Domain-Specific Guidance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quirks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Injury reports have unreliable publication times and are frequently revised. Lineup confirmations may arrive minutes before game time. Historical odds data often lacks timestamps and may represent closing lines rather than the line available at decision time. Rest days, travel schedules, and back-to-back game effects are material but easy to miscalculate.</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Timing</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Lines move continuously. The odds available at model prediction time may differ from the odds at execution time. All backtests must use timestamped odds snapshots, not closing lines, to avoid inflating historical edge.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Market microstructure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Bookmakers adjust lines based on sharp action, public betting percentages, and liability. The agent must understand that placing a bet changes the market. Large positions may move the line against you before full execution.</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Regulatory</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Legality varies by jurisdiction. The system must verify that every proposed bet is legal in the operator’s jurisdiction and compliant with the platform’s terms of service.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Common pitfalls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Survivor bias in player statistics (only players who played are in the dataset). Confusing closing line value with real edge. Overfitting to small-sample sport-specific patterns (e.g., NFL has only 272 regular-season games per year). Ignoring correlated outcomes in parlays.</w:t>
            </w:r>
          </w:p>
        </w:tc>
      </w:tr>
    </w:tbl>
    <w:p>
      <w:pPr>
        <w:spacing w:after="200"/>
      </w:pPr>
    </w:p>
    <w:p>
      <w:pPr>
        <w:pStyle w:val="Heading2"/>
      </w:pPr>
      <w:r>
        <w:t xml:space="preserve">24.2 Financial Markets and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Domain-Specific Guidance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quirks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Financial data is subject to revisions (GDP, earnings), restatements, survivorship bias (delisted stocks), and point-in-time database requirements. Adjusted vs. unadjusted prices are a major source of leakage. Corporate actions (splits, dividends, mergers) require careful handling.</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Timing</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Market data has sub-second granularity. Execution latency matters. The agent must model realistic fill assumptions: slippage, partial fills, and market impact for larger positions.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Market microstructure</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Bid-ask spreads, order book depth, dark pools, and exchange-specific rules affect execution quality. The Decision Agent must incorporate transaction cost models calibrated to the specific instruments being traded.</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Regulatory</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Algorithmic trading regulations (MiFID II, SEC Rule 15c3-5, etc.) may require pre-trade risk checks, position limits, kill switches, and audit trails. The system must comply with all applicable regulations.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Common pitfalls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Look-ahead bias from using point-in-time-unadjusted data. Overfitting to a single market regime (e.g., training only on a bull market). Ignoring transaction costs in backtests. Confusing statistical significance with economic significance.</w:t>
            </w:r>
          </w:p>
        </w:tc>
      </w:tr>
    </w:tbl>
    <w:p>
      <w:pPr>
        <w:spacing w:after="200"/>
      </w:pPr>
    </w:p>
    <w:p>
      <w:pPr>
        <w:pStyle w:val="Heading2"/>
      </w:pPr>
      <w:r>
        <w:t xml:space="preserve">24.3 Elections and Political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Domain-Specific Guidance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quirks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Polling data has known biases (mode effects, likely voter screens, herding). Demographic weighting methodologies vary across pollsters. Polling frequency is uneven and clusters near election day. Historical election data has very small sample sizes.</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Timing</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Election cycles have distinct phases (primary, convention, general). Models trained on general election data may not generalize to primaries. Event-driven shocks (debates, scandals) create non-stationary dynamics.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Regulatory</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privacy laws (GDPR, state-level regulations) may restrict the use of certain voter data. Disclosure requirements may apply to published forecasts.</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Common pitfalls</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National polling averages that mask state-level variation. Treating polls as independent when they share methodology. Ignoring correlated errors across geographies. Overconfident calibration due to small historical sample sizes.</w:t>
            </w:r>
          </w:p>
        </w:tc>
      </w:tr>
    </w:tbl>
    <w:p>
      <w:pPr>
        <w:spacing w:after="200"/>
      </w:pPr>
    </w:p>
    <w:p>
      <w:pPr>
        <w:pStyle w:val="Heading2"/>
      </w:pPr>
      <w:r>
        <w:t xml:space="preserve">24.4 Fantasy Sports and Contests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Domain-Specific Guidance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Data quirks</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Player projections, ownership percentages, and salary data are contest-specific and may change up to lock time. Historical contest results may not be publicly available. Scoring rules vary by platform and contest type.</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Timing</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Roster lock times vary by platform and sport. Late-swap rules allow changes after some games have started, creating information asymmetry.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Optimization</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Lineup construction is a combinatorial optimization problem with salary cap and roster constraints. The agent must distinguish between cash game strategy (maximize floor) and tournament strategy (maximize ceiling with differentiated ownership).</w:t>
            </w:r>
          </w:p>
        </w:tc>
      </w:tr>
      <w:tr>
        <w:tc>
          <w:tcPr>
            <w:tcW w:type="dxa" w:w="200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Common pitfalls</w:t>
            </w:r>
          </w:p>
        </w:tc>
        <w:tc>
          <w:tcPr>
            <w:tcW w:type="dxa" w:w="7360"/>
            <w:tcBorders>
              <w:top w:val="single" w:color="AAAAAA" w:sz="1"/>
              <w:left w:val="single" w:color="AAAAAA" w:sz="1"/>
              <w:bottom w:val="single" w:color="AAAAAA" w:sz="1"/>
              <w:right w:val="single" w:color="AAAAAA" w:sz="1"/>
            </w:tcBorders>
            <w:shd w:fill="EDF2F7" w:val="clear"/>
            <w:tcMar>
              <w:top w:type="dxa" w:w="80"/>
              <w:left w:type="dxa" w:w="120"/>
              <w:bottom w:type="dxa" w:w="80"/>
              <w:right w:type="dxa" w:w="120"/>
            </w:tcMar>
          </w:tcPr>
          <w:p>
            <w:r>
              <w:rPr>
                <w:rFonts w:ascii="Arial" w:cs="Arial" w:eastAsia="Arial" w:hAnsi="Arial"/>
                <w:sz w:val="20"/>
                <w:szCs w:val="20"/>
              </w:rPr>
              <w:t xml:space="preserve">Ignoring ownership leverage (in tournaments, contrarian picks with positive expected value create outsized returns). Optimizing for projection accuracy instead of contest-specific scoring. Ignoring correlation between players on the same team.</w:t>
            </w:r>
          </w:p>
        </w:tc>
      </w:tr>
    </w:tbl>
    <w:p>
      <w:pPr>
        <w:spacing w:after="200"/>
      </w:pPr>
    </w:p>
    <w:p>
      <w:pPr>
        <w:pStyle w:val="Heading2"/>
      </w:pPr>
      <w:r>
        <w:t xml:space="preserve">24.5 Required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&lt;domain_integration_guide&gt;</w:t>
            </w:r>
          </w:p>
          <w:p>
            <w:pPr>
              <w:spacing w:after="20"/>
            </w:pPr>
            <w:r>
              <w:rPr>
                <w:rFonts w:ascii="Courier New" w:cs="Courier New" w:eastAsia="Courier New" w:hAnsi="Courier New"/>
                <w:color w:val="2D3748"/>
                <w:sz w:val="18"/>
                <w:szCs w:val="18"/>
              </w:rPr>
              <w:t xml:space="preserve">&lt;domain_specific_risk_register&gt;</w:t>
            </w:r>
          </w:p>
          <w:p>
            <w:pPr>
              <w:spacing w:after="20"/>
            </w:pPr>
            <w:r>
              <w:rPr>
                <w:rFonts w:ascii="Courier New" w:cs="Courier New" w:eastAsia="Courier New" w:hAnsi="Courier New"/>
                <w:color w:val="2D3748"/>
                <w:sz w:val="18"/>
                <w:szCs w:val="18"/>
              </w:rPr>
              <w:t xml:space="preserve">&lt;domain_data_quirks_checklist&gt;</w:t>
            </w:r>
          </w:p>
          <w:p>
            <w:pPr>
              <w:spacing w:after="20"/>
            </w:pPr>
            <w:r>
              <w:rPr>
                <w:rFonts w:ascii="Courier New" w:cs="Courier New" w:eastAsia="Courier New" w:hAnsi="Courier New"/>
                <w:color w:val="2D3748"/>
                <w:sz w:val="18"/>
                <w:szCs w:val="18"/>
              </w:rPr>
              <w:t xml:space="preserve">&lt;regulatory_compliance_checklist&gt;</w:t>
            </w:r>
          </w:p>
        </w:tc>
      </w:tr>
    </w:tbl>
    <w:p>
      <w:pPr>
        <w:spacing w:after="200"/>
      </w:pPr>
    </w:p>
    <w:p>
      <w:r>
        <w:br w:type="page"/>
      </w:r>
    </w:p>
    <w:p>
      <w:pPr>
        <w:pStyle w:val="Heading1"/>
      </w:pPr>
      <w:r>
        <w:t xml:space="preserve">25. Extended Failure Modes, Updated Deliverables, and Consolidated Operating Summary</w:t>
      </w:r>
    </w:p>
    <w:p>
      <w:pPr>
        <w:spacing w:after="200"/>
      </w:pPr>
    </w:p>
    <w:p>
      <w:pPr>
        <w:pStyle w:val="Heading2"/>
      </w:pPr>
      <w:r>
        <w:t xml:space="preserve">25.1 Additional Failure Modes That Must Trigger Immediate Rejection</w:t>
      </w:r>
    </w:p>
    <w:p>
      <w:pPr>
        <w:spacing w:after="120"/>
      </w:pPr>
      <w:r>
        <w:t xml:space="preserve">In addition to the failure modes listed in Section 15, the following must also trigger immediate rejection:</w:t>
      </w:r>
    </w:p>
    <w:p>
      <w:pPr>
        <w:pStyle w:val="ListParagraph"/>
        <w:numPr>
          <w:ilvl w:val="0"/>
          <w:numId w:val="16"/>
        </w:numPr>
        <w:spacing w:after="60"/>
      </w:pPr>
      <w:r>
        <w:t xml:space="preserve">A deployment that bypasses shadow mode or canary testing without explicit human approval and documented justification.</w:t>
      </w:r>
    </w:p>
    <w:p>
      <w:pPr>
        <w:pStyle w:val="ListParagraph"/>
        <w:numPr>
          <w:ilvl w:val="0"/>
          <w:numId w:val="16"/>
        </w:numPr>
        <w:spacing w:after="60"/>
      </w:pPr>
      <w:r>
        <w:t xml:space="preserve">A production system operating without a functioning monitoring dashboard and active alert thresholds.</w:t>
      </w:r>
    </w:p>
    <w:p>
      <w:pPr>
        <w:pStyle w:val="ListParagraph"/>
        <w:numPr>
          <w:ilvl w:val="0"/>
          <w:numId w:val="16"/>
        </w:numPr>
        <w:spacing w:after="60"/>
      </w:pPr>
      <w:r>
        <w:t xml:space="preserve">A data pipeline that lacks idempotency, schema validation, or fault tolerance for any upstream dependency.</w:t>
      </w:r>
    </w:p>
    <w:p>
      <w:pPr>
        <w:pStyle w:val="ListParagraph"/>
        <w:numPr>
          <w:ilvl w:val="0"/>
          <w:numId w:val="16"/>
        </w:numPr>
        <w:spacing w:after="60"/>
      </w:pPr>
      <w:r>
        <w:t xml:space="preserve">A compute budget overrun that was not flagged and approved before exceeding the allocated budget.</w:t>
      </w:r>
    </w:p>
    <w:p>
      <w:pPr>
        <w:pStyle w:val="ListParagraph"/>
        <w:numPr>
          <w:ilvl w:val="0"/>
          <w:numId w:val="16"/>
        </w:numPr>
        <w:spacing w:after="60"/>
      </w:pPr>
      <w:r>
        <w:t xml:space="preserve">An action classified as requiring human approval (Section 21) that was executed without receiving approval.</w:t>
      </w:r>
    </w:p>
    <w:p>
      <w:pPr>
        <w:pStyle w:val="ListParagraph"/>
        <w:numPr>
          <w:ilvl w:val="0"/>
          <w:numId w:val="16"/>
        </w:numPr>
        <w:spacing w:after="60"/>
      </w:pPr>
      <w:r>
        <w:t xml:space="preserve">A conflict between agents that was resolved by silent override rather than through the documented conflict resolution protocol.</w:t>
      </w:r>
    </w:p>
    <w:p>
      <w:pPr>
        <w:pStyle w:val="ListParagraph"/>
        <w:numPr>
          <w:ilvl w:val="0"/>
          <w:numId w:val="16"/>
        </w:numPr>
        <w:spacing w:after="60"/>
      </w:pPr>
      <w:r>
        <w:t xml:space="preserve">A code change merged to production without passing the required CI/CD gates.</w:t>
      </w:r>
    </w:p>
    <w:p>
      <w:pPr>
        <w:pStyle w:val="ListParagraph"/>
        <w:numPr>
          <w:ilvl w:val="0"/>
          <w:numId w:val="16"/>
        </w:numPr>
        <w:spacing w:after="60"/>
      </w:pPr>
      <w:r>
        <w:t xml:space="preserve">A system deployed in a regulated domain without completing the applicable compliance checklist.</w:t>
      </w:r>
    </w:p>
    <w:p>
      <w:pPr>
        <w:spacing w:after="200"/>
      </w:pPr>
    </w:p>
    <w:p>
      <w:pPr>
        <w:pStyle w:val="Heading2"/>
      </w:pPr>
      <w:r>
        <w:t xml:space="preserve">25.2 Complete Final Deliverables</w:t>
      </w:r>
    </w:p>
    <w:p>
      <w:pPr>
        <w:spacing w:after="120"/>
      </w:pPr>
      <w:r>
        <w:t xml:space="preserve">At completion, the final package must include all artifacts from both Part I and Part II. The following is the complete, consolidated deliverables list: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7FAFC" w:val="clear"/>
            <w:tcMar>
              <w:top w:type="dxa" w:w="100"/>
              <w:left w:type="dxa" w:w="200"/>
              <w:bottom w:type="dxa" w:w="100"/>
              <w:right w:type="dxa" w:w="200"/>
            </w:tcMar>
          </w:tcPr>
          <w:p>
            <w:pPr>
              <w:spacing w:after="20"/>
            </w:pPr>
            <w:r>
              <w:rPr>
                <w:rFonts w:ascii="Courier New" w:cs="Courier New" w:eastAsia="Courier New" w:hAnsi="Courier New"/>
                <w:color w:val="2D3748"/>
                <w:sz w:val="18"/>
                <w:szCs w:val="18"/>
              </w:rPr>
              <w:t xml:space="preserve">&lt;final_system_report&gt;</w:t>
            </w:r>
          </w:p>
          <w:p>
            <w:pPr>
              <w:spacing w:after="20"/>
            </w:pPr>
            <w:r>
              <w:rPr>
                <w:rFonts w:ascii="Courier New" w:cs="Courier New" w:eastAsia="Courier New" w:hAnsi="Courier New"/>
                <w:color w:val="2D3748"/>
                <w:sz w:val="18"/>
                <w:szCs w:val="18"/>
              </w:rPr>
              <w:t xml:space="preserve">&lt;prioritized_roadmap&gt;</w:t>
            </w:r>
          </w:p>
          <w:p>
            <w:pPr>
              <w:spacing w:after="20"/>
            </w:pPr>
            <w:r>
              <w:rPr>
                <w:rFonts w:ascii="Courier New" w:cs="Courier New" w:eastAsia="Courier New" w:hAnsi="Courier New"/>
                <w:color w:val="2D3748"/>
                <w:sz w:val="18"/>
                <w:szCs w:val="18"/>
              </w:rPr>
              <w:t xml:space="preserve">&lt;dataset_and_model_registry&gt;</w:t>
            </w:r>
          </w:p>
          <w:p>
            <w:pPr>
              <w:spacing w:after="20"/>
            </w:pPr>
            <w:r>
              <w:rPr>
                <w:rFonts w:ascii="Courier New" w:cs="Courier New" w:eastAsia="Courier New" w:hAnsi="Courier New"/>
                <w:color w:val="2D3748"/>
                <w:sz w:val="18"/>
                <w:szCs w:val="18"/>
              </w:rPr>
              <w:t xml:space="preserve">&lt;decision_policy_recommendation&gt;</w:t>
            </w:r>
          </w:p>
          <w:p>
            <w:pPr>
              <w:spacing w:after="20"/>
            </w:pPr>
            <w:r>
              <w:rPr>
                <w:rFonts w:ascii="Courier New" w:cs="Courier New" w:eastAsia="Courier New" w:hAnsi="Courier New"/>
                <w:color w:val="2D3748"/>
                <w:sz w:val="18"/>
                <w:szCs w:val="18"/>
              </w:rPr>
              <w:t xml:space="preserve">&lt;known_risks_and_deferred_items&gt;</w:t>
            </w:r>
          </w:p>
          <w:p>
            <w:pPr>
              <w:spacing w:after="20"/>
            </w:pPr>
            <w:r>
              <w:rPr>
                <w:rFonts w:ascii="Courier New" w:cs="Courier New" w:eastAsia="Courier New" w:hAnsi="Courier New"/>
                <w:color w:val="2D3748"/>
                <w:sz w:val="18"/>
                <w:szCs w:val="18"/>
              </w:rPr>
              <w:t xml:space="preserve">&lt;success_criteria_evaluation&gt;</w:t>
            </w:r>
          </w:p>
          <w:p>
            <w:pPr>
              <w:spacing w:after="20"/>
            </w:pPr>
            <w:r>
              <w:rPr>
                <w:rFonts w:ascii="Courier New" w:cs="Courier New" w:eastAsia="Courier New" w:hAnsi="Courier New"/>
                <w:color w:val="2D3748"/>
                <w:sz w:val="18"/>
                <w:szCs w:val="18"/>
              </w:rPr>
              <w:t xml:space="preserve">&lt;deployment_pipeline_config&gt;</w:t>
            </w:r>
          </w:p>
          <w:p>
            <w:pPr>
              <w:spacing w:after="20"/>
            </w:pPr>
            <w:r>
              <w:rPr>
                <w:rFonts w:ascii="Courier New" w:cs="Courier New" w:eastAsia="Courier New" w:hAnsi="Courier New"/>
                <w:color w:val="2D3748"/>
                <w:sz w:val="18"/>
                <w:szCs w:val="18"/>
              </w:rPr>
              <w:t xml:space="preserve">&lt;monitoring_dashboard_spec&gt;</w:t>
            </w:r>
          </w:p>
          <w:p>
            <w:pPr>
              <w:spacing w:after="20"/>
            </w:pPr>
            <w:r>
              <w:rPr>
                <w:rFonts w:ascii="Courier New" w:cs="Courier New" w:eastAsia="Courier New" w:hAnsi="Courier New"/>
                <w:color w:val="2D3748"/>
                <w:sz w:val="18"/>
                <w:szCs w:val="18"/>
              </w:rPr>
              <w:t xml:space="preserve">&lt;alert_threshold_registry&gt;</w:t>
            </w:r>
          </w:p>
          <w:p>
            <w:pPr>
              <w:spacing w:after="20"/>
            </w:pPr>
            <w:r>
              <w:rPr>
                <w:rFonts w:ascii="Courier New" w:cs="Courier New" w:eastAsia="Courier New" w:hAnsi="Courier New"/>
                <w:color w:val="2D3748"/>
                <w:sz w:val="18"/>
                <w:szCs w:val="18"/>
              </w:rPr>
              <w:t xml:space="preserve">&lt;drift_detection_baseline&gt;</w:t>
            </w:r>
          </w:p>
          <w:p>
            <w:pPr>
              <w:spacing w:after="20"/>
            </w:pPr>
            <w:r>
              <w:rPr>
                <w:rFonts w:ascii="Courier New" w:cs="Courier New" w:eastAsia="Courier New" w:hAnsi="Courier New"/>
                <w:color w:val="2D3748"/>
                <w:sz w:val="18"/>
                <w:szCs w:val="18"/>
              </w:rPr>
              <w:t xml:space="preserve">&lt;retraining_schedule&gt;</w:t>
            </w:r>
          </w:p>
          <w:p>
            <w:pPr>
              <w:spacing w:after="20"/>
            </w:pPr>
            <w:r>
              <w:rPr>
                <w:rFonts w:ascii="Courier New" w:cs="Courier New" w:eastAsia="Courier New" w:hAnsi="Courier New"/>
                <w:color w:val="2D3748"/>
                <w:sz w:val="18"/>
                <w:szCs w:val="18"/>
              </w:rPr>
              <w:t xml:space="preserve">&lt;ab_test_protocol&gt;</w:t>
            </w:r>
          </w:p>
          <w:p>
            <w:pPr>
              <w:spacing w:after="20"/>
            </w:pPr>
            <w:r>
              <w:rPr>
                <w:rFonts w:ascii="Courier New" w:cs="Courier New" w:eastAsia="Courier New" w:hAnsi="Courier New"/>
                <w:color w:val="2D3748"/>
                <w:sz w:val="18"/>
                <w:szCs w:val="18"/>
              </w:rPr>
              <w:t xml:space="preserve">&lt;rollback_runbook&gt;</w:t>
            </w:r>
          </w:p>
          <w:p>
            <w:pPr>
              <w:spacing w:after="20"/>
            </w:pPr>
            <w:r>
              <w:rPr>
                <w:rFonts w:ascii="Courier New" w:cs="Courier New" w:eastAsia="Courier New" w:hAnsi="Courier New"/>
                <w:color w:val="2D3748"/>
                <w:sz w:val="18"/>
                <w:szCs w:val="18"/>
              </w:rPr>
              <w:t xml:space="preserve">&lt;pipeline_dag_spec&gt;</w:t>
            </w:r>
          </w:p>
          <w:p>
            <w:pPr>
              <w:spacing w:after="20"/>
            </w:pPr>
            <w:r>
              <w:rPr>
                <w:rFonts w:ascii="Courier New" w:cs="Courier New" w:eastAsia="Courier New" w:hAnsi="Courier New"/>
                <w:color w:val="2D3748"/>
                <w:sz w:val="18"/>
                <w:szCs w:val="18"/>
              </w:rPr>
              <w:t xml:space="preserve">&lt;schema_registry&gt;</w:t>
            </w:r>
          </w:p>
          <w:p>
            <w:pPr>
              <w:spacing w:after="20"/>
            </w:pPr>
            <w:r>
              <w:rPr>
                <w:rFonts w:ascii="Courier New" w:cs="Courier New" w:eastAsia="Courier New" w:hAnsi="Courier New"/>
                <w:color w:val="2D3748"/>
                <w:sz w:val="18"/>
                <w:szCs w:val="18"/>
              </w:rPr>
              <w:t xml:space="preserve">&lt;freshness_sla_registry&gt;</w:t>
            </w:r>
          </w:p>
          <w:p>
            <w:pPr>
              <w:spacing w:after="20"/>
            </w:pPr>
            <w:r>
              <w:rPr>
                <w:rFonts w:ascii="Courier New" w:cs="Courier New" w:eastAsia="Courier New" w:hAnsi="Courier New"/>
                <w:color w:val="2D3748"/>
                <w:sz w:val="18"/>
                <w:szCs w:val="18"/>
              </w:rPr>
              <w:t xml:space="preserve">&lt;fault_tolerance_runbook&gt;</w:t>
            </w:r>
          </w:p>
          <w:p>
            <w:pPr>
              <w:spacing w:after="20"/>
            </w:pPr>
            <w:r>
              <w:rPr>
                <w:rFonts w:ascii="Courier New" w:cs="Courier New" w:eastAsia="Courier New" w:hAnsi="Courier New"/>
                <w:color w:val="2D3748"/>
                <w:sz w:val="18"/>
                <w:szCs w:val="18"/>
              </w:rPr>
              <w:t xml:space="preserve">&lt;compute_budget_plan&gt;</w:t>
            </w:r>
          </w:p>
          <w:p>
            <w:pPr>
              <w:spacing w:after="20"/>
            </w:pPr>
            <w:r>
              <w:rPr>
                <w:rFonts w:ascii="Courier New" w:cs="Courier New" w:eastAsia="Courier New" w:hAnsi="Courier New"/>
                <w:color w:val="2D3748"/>
                <w:sz w:val="18"/>
                <w:szCs w:val="18"/>
              </w:rPr>
              <w:t xml:space="preserve">&lt;cost_efficiency_report&gt;</w:t>
            </w:r>
          </w:p>
          <w:p>
            <w:pPr>
              <w:spacing w:after="20"/>
            </w:pPr>
            <w:r>
              <w:rPr>
                <w:rFonts w:ascii="Courier New" w:cs="Courier New" w:eastAsia="Courier New" w:hAnsi="Courier New"/>
                <w:color w:val="2D3748"/>
                <w:sz w:val="18"/>
                <w:szCs w:val="18"/>
              </w:rPr>
              <w:t xml:space="preserve">&lt;decision_authority_matrix&gt;</w:t>
            </w:r>
          </w:p>
          <w:p>
            <w:pPr>
              <w:spacing w:after="20"/>
            </w:pPr>
            <w:r>
              <w:rPr>
                <w:rFonts w:ascii="Courier New" w:cs="Courier New" w:eastAsia="Courier New" w:hAnsi="Courier New"/>
                <w:color w:val="2D3748"/>
                <w:sz w:val="18"/>
                <w:szCs w:val="18"/>
              </w:rPr>
              <w:t xml:space="preserve">&lt;governance_audit_trail&gt;</w:t>
            </w:r>
          </w:p>
          <w:p>
            <w:pPr>
              <w:spacing w:after="20"/>
            </w:pPr>
            <w:r>
              <w:rPr>
                <w:rFonts w:ascii="Courier New" w:cs="Courier New" w:eastAsia="Courier New" w:hAnsi="Courier New"/>
                <w:color w:val="2D3748"/>
                <w:sz w:val="18"/>
                <w:szCs w:val="18"/>
              </w:rPr>
              <w:t xml:space="preserve">&lt;compliance_checklist&gt;</w:t>
            </w:r>
          </w:p>
          <w:p>
            <w:pPr>
              <w:spacing w:after="20"/>
            </w:pPr>
            <w:r>
              <w:rPr>
                <w:rFonts w:ascii="Courier New" w:cs="Courier New" w:eastAsia="Courier New" w:hAnsi="Courier New"/>
                <w:color w:val="2D3748"/>
                <w:sz w:val="18"/>
                <w:szCs w:val="18"/>
              </w:rPr>
              <w:t xml:space="preserve">&lt;conflict_resolution_protocol&gt;</w:t>
            </w:r>
          </w:p>
          <w:p>
            <w:pPr>
              <w:spacing w:after="20"/>
            </w:pPr>
            <w:r>
              <w:rPr>
                <w:rFonts w:ascii="Courier New" w:cs="Courier New" w:eastAsia="Courier New" w:hAnsi="Courier New"/>
                <w:color w:val="2D3748"/>
                <w:sz w:val="18"/>
                <w:szCs w:val="18"/>
              </w:rPr>
              <w:t xml:space="preserve">&lt;dissent_registry&gt;</w:t>
            </w:r>
          </w:p>
          <w:p>
            <w:pPr>
              <w:spacing w:after="20"/>
            </w:pPr>
            <w:r>
              <w:rPr>
                <w:rFonts w:ascii="Courier New" w:cs="Courier New" w:eastAsia="Courier New" w:hAnsi="Courier New"/>
                <w:color w:val="2D3748"/>
                <w:sz w:val="18"/>
                <w:szCs w:val="18"/>
              </w:rPr>
              <w:t xml:space="preserve">&lt;test_coverage_report&gt;</w:t>
            </w:r>
          </w:p>
          <w:p>
            <w:pPr>
              <w:spacing w:after="20"/>
            </w:pPr>
            <w:r>
              <w:rPr>
                <w:rFonts w:ascii="Courier New" w:cs="Courier New" w:eastAsia="Courier New" w:hAnsi="Courier New"/>
                <w:color w:val="2D3748"/>
                <w:sz w:val="18"/>
                <w:szCs w:val="18"/>
              </w:rPr>
              <w:t xml:space="preserve">&lt;ci_cd_pipeline_config&gt;</w:t>
            </w:r>
          </w:p>
          <w:p>
            <w:pPr>
              <w:spacing w:after="20"/>
            </w:pPr>
            <w:r>
              <w:rPr>
                <w:rFonts w:ascii="Courier New" w:cs="Courier New" w:eastAsia="Courier New" w:hAnsi="Courier New"/>
                <w:color w:val="2D3748"/>
                <w:sz w:val="18"/>
                <w:szCs w:val="18"/>
              </w:rPr>
              <w:t xml:space="preserve">&lt;domain_integration_guide&gt;</w:t>
            </w:r>
          </w:p>
        </w:tc>
      </w:tr>
    </w:tbl>
    <w:p>
      <w:pPr>
        <w:spacing w:after="200"/>
      </w:pPr>
    </w:p>
    <w:p>
      <w:pPr>
        <w:pStyle w:val="Heading2"/>
      </w:pPr>
      <w:r>
        <w:t xml:space="preserve">25.3 Consolidated Operating Summary</w:t>
      </w:r>
    </w:p>
    <w:p>
      <w:pPr>
        <w:spacing w:after="120"/>
      </w:pPr>
      <w:r>
        <w:t xml:space="preserve">This protocol is intended for any prediction environment where forecasts inform decisions. It is deliberately domain-agnostic but decision-aware: it applies equally to betting, trading, sports, elections, fantasy contests, Kaggle-style competitions, and general forecasting.</w:t>
      </w:r>
    </w:p>
    <w:p>
      <w:pPr>
        <w:spacing w:after="200"/>
      </w:pPr>
    </w:p>
    <w:p>
      <w:pPr>
        <w:spacing w:after="120"/>
      </w:pPr>
      <w:r>
        <w:t xml:space="preserve">The complete requirement is: build systems that are point-in-time valid, empirically tested, decision-relevant, calibrated, reproducible, robust, production-hardened, monitored, governed, budget-aware, rigorously tested, and domain-informed.</w:t>
      </w:r>
    </w:p>
    <w:p>
      <w:pPr>
        <w:spacing w:after="200"/>
      </w:pPr>
    </w:p>
    <w:p>
      <w:pPr>
        <w:spacing w:after="120"/>
      </w:pPr>
      <w:r>
        <w:t xml:space="preserve">A system that passes all research and validation gates but cannot be reliably deployed, monitored, and maintained in production is incomplete. A system that operates in production without governance, testing, and observability is unsafe. This protocol demands both.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Arial" w:cs="Arial" w:eastAsia="Arial" w:hAnsi="Arial"/>
        <w:i/>
        <w:iCs/>
        <w:color w:val="718096"/>
        <w:sz w:val="18"/>
        <w:szCs w:val="18"/>
      </w:rPr>
      <w:t xml:space="preserve">Agent Directive V7 – Complete Protocol</w:t>
    </w:r>
    <w:r>
      <w:rPr>
        <w:rFonts w:ascii="Arial" w:cs="Arial" w:eastAsia="Arial" w:hAnsi="Arial"/>
        <w:i/>
        <w:iCs/>
        <w:color w:val="71809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2026-03-07T15:09:18.914Z</dcterms:created>
  <dcterms:modified xsi:type="dcterms:W3CDTF">2026-03-07T15:09:18.916Z</dcterms:modified>
</cp:coreProperties>
</file>

<file path=docProps/custom.xml><?xml version="1.0" encoding="utf-8"?>
<Properties xmlns="http://schemas.openxmlformats.org/officeDocument/2006/custom-properties" xmlns:vt="http://schemas.openxmlformats.org/officeDocument/2006/docPropsVTypes"/>
</file>