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
          <w:szCs w:val="12"/>
        </w:rPr>
        <w:t xml:space="preserve"/>
      </w:r>
    </w:p>
    <w:p>
      <w:pPr>
        <w:spacing w:after="80" w:before="200"/>
        <w:jc w:val="center"/>
      </w:pPr>
      <w:r>
        <w:rPr>
          <w:rFonts w:ascii="Arial" w:cs="Arial" w:eastAsia="Arial" w:hAnsi="Arial"/>
          <w:b/>
          <w:bCs/>
          <w:color w:val="1F3864"/>
          <w:sz w:val="56"/>
          <w:szCs w:val="56"/>
        </w:rPr>
        <w:t xml:space="preserve">Machinery Management — System Proposal</w:t>
      </w:r>
    </w:p>
    <w:p>
      <w:pPr>
        <w:spacing w:after="40" w:before="40"/>
        <w:jc w:val="center"/>
      </w:pPr>
      <w:r>
        <w:rPr>
          <w:rFonts w:ascii="Arial" w:cs="Arial" w:eastAsia="Arial" w:hAnsi="Arial"/>
          <w:color w:val="595959"/>
          <w:sz w:val="28"/>
          <w:szCs w:val="28"/>
        </w:rPr>
        <w:t xml:space="preserve">Real Estate ERP/CRM | High-Level Design</w:t>
      </w:r>
    </w:p>
    <w:p>
      <w:pPr>
        <w:spacing w:after="0" w:before="0"/>
      </w:pPr>
      <w:r>
        <w:rPr>
          <w:sz w:val="4"/>
          <w:szCs w:val="4"/>
        </w:rPr>
        <w:t xml:space="preserve"/>
      </w:r>
    </w:p>
    <w:p>
      <w:pPr>
        <w:spacing w:after="20" w:before="20"/>
        <w:jc w:val="center"/>
      </w:pPr>
      <w:r>
        <w:rPr>
          <w:rFonts w:ascii="Arial" w:cs="Arial" w:eastAsia="Arial" w:hAnsi="Arial"/>
          <w:b/>
          <w:bCs/>
          <w:color w:val="595959"/>
          <w:sz w:val="22"/>
          <w:szCs w:val="22"/>
        </w:rPr>
        <w:t xml:space="preserve">Prepared by: </w:t>
      </w:r>
      <w:r>
        <w:rPr>
          <w:rFonts w:ascii="Arial" w:cs="Arial" w:eastAsia="Arial" w:hAnsi="Arial"/>
          <w:color w:val="595959"/>
          <w:sz w:val="22"/>
          <w:szCs w:val="22"/>
        </w:rPr>
        <w:t xml:space="preserve">Technology Team</w:t>
      </w:r>
    </w:p>
    <w:p>
      <w:pPr>
        <w:spacing w:after="20" w:before="20"/>
        <w:jc w:val="center"/>
      </w:pPr>
      <w:r>
        <w:rPr>
          <w:rFonts w:ascii="Arial" w:cs="Arial" w:eastAsia="Arial" w:hAnsi="Arial"/>
          <w:b/>
          <w:bCs/>
          <w:color w:val="595959"/>
          <w:sz w:val="22"/>
          <w:szCs w:val="22"/>
        </w:rPr>
        <w:t xml:space="preserve">Date: </w:t>
      </w:r>
      <w:r>
        <w:rPr>
          <w:rFonts w:ascii="Arial" w:cs="Arial" w:eastAsia="Arial" w:hAnsi="Arial"/>
          <w:color w:val="595959"/>
          <w:sz w:val="22"/>
          <w:szCs w:val="22"/>
        </w:rPr>
        <w:t xml:space="preserve">May 2026</w:t>
      </w:r>
    </w:p>
    <w:p>
      <w:pPr>
        <w:spacing w:after="0" w:before="0"/>
      </w:pPr>
      <w:r>
        <w:rPr>
          <w:sz w:val="8"/>
          <w:szCs w:val="8"/>
        </w:rPr>
        <w:t xml:space="preserve"/>
      </w:r>
    </w:p>
    <w:p>
      <w:pPr>
        <w:pBdr>
          <w:bottom w:val="single" w:color="CCCCCC" w:sz="4" w:space="1"/>
        </w:pBdr>
        <w:spacing w:after="80" w:before="80"/>
      </w:pPr>
      <w:r>
        <w:rPr>
          <w:sz w:val="2"/>
          <w:szCs w:val="2"/>
        </w:rP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1.  Overview</w:t>
      </w:r>
    </w:p>
    <w:p>
      <w:pPr>
        <w:spacing w:after="60" w:before="60"/>
        <w:jc w:val="both"/>
      </w:pPr>
      <w:r>
        <w:rPr>
          <w:rFonts w:ascii="Arial" w:cs="Arial" w:eastAsia="Arial" w:hAnsi="Arial"/>
          <w:sz w:val="22"/>
          <w:szCs w:val="22"/>
        </w:rPr>
        <w:t xml:space="preserve">Construction projects involve two types of equipment:</w:t>
      </w:r>
    </w:p>
    <w:p>
      <w:pPr>
        <w:spacing w:after="0" w:before="0"/>
      </w:pPr>
      <w:r>
        <w:rPr>
          <w:sz w:val="2"/>
          <w:szCs w:val="2"/>
        </w:rPr>
        <w:t xml:space="preserve"/>
      </w:r>
    </w:p>
    <w:p>
      <w:pPr>
        <w:spacing w:after="60" w:before="60"/>
        <w:jc w:val="both"/>
      </w:pPr>
      <w:r>
        <w:rPr>
          <w:rFonts w:ascii="Arial" w:cs="Arial" w:eastAsia="Arial" w:hAnsi="Arial"/>
          <w:b/>
          <w:bCs/>
          <w:sz w:val="22"/>
          <w:szCs w:val="22"/>
        </w:rPr>
        <w:t xml:space="preserve">Owned Equipment</w:t>
      </w:r>
      <w:r>
        <w:rPr>
          <w:rFonts w:ascii="Arial" w:cs="Arial" w:eastAsia="Arial" w:hAnsi="Arial"/>
          <w:sz w:val="22"/>
          <w:szCs w:val="22"/>
        </w:rPr>
        <w:t xml:space="preserve"> — Assets purchased by the company (generators, tile cutters, tullu pumps, compactors). Used repeatedly across projects. Company bears purchase cost, maintenance, and depreciation.</w:t>
      </w:r>
    </w:p>
    <w:p>
      <w:pPr>
        <w:spacing w:after="0" w:before="0"/>
      </w:pPr>
      <w:r>
        <w:rPr>
          <w:sz w:val="2"/>
          <w:szCs w:val="2"/>
        </w:rPr>
        <w:t xml:space="preserve"/>
      </w:r>
    </w:p>
    <w:p>
      <w:pPr>
        <w:spacing w:after="60" w:before="60"/>
        <w:jc w:val="both"/>
      </w:pPr>
      <w:r>
        <w:rPr>
          <w:rFonts w:ascii="Arial" w:cs="Arial" w:eastAsia="Arial" w:hAnsi="Arial"/>
          <w:b/>
          <w:bCs/>
          <w:sz w:val="22"/>
          <w:szCs w:val="22"/>
        </w:rPr>
        <w:t xml:space="preserve">Rented / Hired Equipment</w:t>
      </w:r>
      <w:r>
        <w:rPr>
          <w:rFonts w:ascii="Arial" w:cs="Arial" w:eastAsia="Arial" w:hAnsi="Arial"/>
          <w:sz w:val="22"/>
          <w:szCs w:val="22"/>
        </w:rPr>
        <w:t xml:space="preserve"> — Machinery rented for specific work (bulldozers, cement mixers, transit mixers, cranes). Hired for a period and returned. Company pays rental charges — by hour, day, trip count, or meter reading.</w:t>
      </w:r>
    </w:p>
    <w:p>
      <w:pPr>
        <w:spacing w:after="0" w:before="0"/>
      </w:pPr>
      <w:r>
        <w:rPr>
          <w:sz w:val="2"/>
          <w:szCs w:val="2"/>
        </w:rPr>
        <w:t xml:space="preserve"/>
      </w:r>
    </w:p>
    <w:p>
      <w:pPr>
        <w:spacing w:after="60" w:before="60"/>
        <w:jc w:val="both"/>
      </w:pPr>
      <w:r>
        <w:rPr>
          <w:rFonts w:ascii="Arial" w:cs="Arial" w:eastAsia="Arial" w:hAnsi="Arial"/>
          <w:sz w:val="22"/>
          <w:szCs w:val="22"/>
        </w:rPr>
        <w:t xml:space="preserve">In both cases, costs must be tracked and allocated to the right project and cost centre (e.g. Tower-A, Roads, Common Areas).</w:t>
      </w:r>
    </w:p>
    <w:p>
      <w:pPr>
        <w:pStyle w:val="Heading1"/>
        <w:pBdr>
          <w:bottom w:val="single" w:color="1F3864" w:sz="6" w:space="4"/>
        </w:pBdr>
        <w:spacing w:after="120" w:before="360"/>
      </w:pPr>
      <w:r>
        <w:rPr>
          <w:rFonts w:ascii="Arial" w:cs="Arial" w:eastAsia="Arial" w:hAnsi="Arial"/>
          <w:b/>
          <w:bCs/>
          <w:color w:val="1F3864"/>
          <w:sz w:val="32"/>
          <w:szCs w:val="32"/>
        </w:rPr>
        <w:t xml:space="preserve">2.  The Problem Today</w:t>
      </w:r>
    </w:p>
    <w:p>
      <w:pPr>
        <w:spacing w:after="60" w:before="60"/>
        <w:jc w:val="both"/>
      </w:pPr>
      <w:r>
        <w:rPr>
          <w:rFonts w:ascii="Arial" w:cs="Arial" w:eastAsia="Arial" w:hAnsi="Arial"/>
          <w:sz w:val="22"/>
          <w:szCs w:val="22"/>
        </w:rPr>
        <w:t xml:space="preserve">Currently the system has only a basic “Machinery on Rent” log — it allows recording a rental entry with a vendor, dates, and amount. Nothing more.</w:t>
      </w:r>
    </w:p>
    <w:p>
      <w:pPr>
        <w:spacing w:after="0" w:before="0"/>
      </w:pPr>
      <w:r>
        <w:rPr>
          <w:sz w:val="2"/>
          <w:szCs w:val="2"/>
        </w:rPr>
        <w:t xml:space="preserve"/>
      </w:r>
    </w:p>
    <w:p>
      <w:pPr>
        <w:spacing w:after="60" w:before="60"/>
        <w:jc w:val="both"/>
      </w:pPr>
      <w:r>
        <w:rPr>
          <w:rFonts w:ascii="Arial" w:cs="Arial" w:eastAsia="Arial" w:hAnsi="Arial"/>
          <w:sz w:val="22"/>
          <w:szCs w:val="22"/>
        </w:rPr>
        <w:t xml:space="preserve">The following are not tracked anywhere today:</w:t>
      </w:r>
    </w:p>
    <w:p>
      <w:pPr>
        <w:pStyle w:val="ListParagraph"/>
        <w:numPr>
          <w:ilvl w:val="0"/>
          <w:numId w:val="2"/>
        </w:numPr>
        <w:spacing w:after="40" w:before="40"/>
      </w:pPr>
      <w:r>
        <w:rPr>
          <w:rFonts w:ascii="Arial" w:cs="Arial" w:eastAsia="Arial" w:hAnsi="Arial"/>
          <w:sz w:val="22"/>
          <w:szCs w:val="22"/>
        </w:rPr>
        <w:t xml:space="preserve">Company-owned machinery as assets</w:t>
      </w:r>
    </w:p>
    <w:p>
      <w:pPr>
        <w:pStyle w:val="ListParagraph"/>
        <w:numPr>
          <w:ilvl w:val="0"/>
          <w:numId w:val="2"/>
        </w:numPr>
        <w:spacing w:after="40" w:before="40"/>
      </w:pPr>
      <w:r>
        <w:rPr>
          <w:rFonts w:ascii="Arial" w:cs="Arial" w:eastAsia="Arial" w:hAnsi="Arial"/>
          <w:sz w:val="22"/>
          <w:szCs w:val="22"/>
        </w:rPr>
        <w:t xml:space="preserve">Where a machine is currently deployed</w:t>
      </w:r>
    </w:p>
    <w:p>
      <w:pPr>
        <w:pStyle w:val="ListParagraph"/>
        <w:numPr>
          <w:ilvl w:val="0"/>
          <w:numId w:val="2"/>
        </w:numPr>
        <w:spacing w:after="40" w:before="40"/>
      </w:pPr>
      <w:r>
        <w:rPr>
          <w:rFonts w:ascii="Arial" w:cs="Arial" w:eastAsia="Arial" w:hAnsi="Arial"/>
          <w:sz w:val="22"/>
          <w:szCs w:val="22"/>
        </w:rPr>
        <w:t xml:space="preserve">Fuel and consumable costs against a specific machine</w:t>
      </w:r>
    </w:p>
    <w:p>
      <w:pPr>
        <w:pStyle w:val="ListParagraph"/>
        <w:numPr>
          <w:ilvl w:val="0"/>
          <w:numId w:val="2"/>
        </w:numPr>
        <w:spacing w:after="40" w:before="40"/>
      </w:pPr>
      <w:r>
        <w:rPr>
          <w:rFonts w:ascii="Arial" w:cs="Arial" w:eastAsia="Arial" w:hAnsi="Arial"/>
          <w:sz w:val="22"/>
          <w:szCs w:val="22"/>
        </w:rPr>
        <w:t xml:space="preserve">Maintenance and repair costs</w:t>
      </w:r>
    </w:p>
    <w:p>
      <w:pPr>
        <w:pStyle w:val="ListParagraph"/>
        <w:numPr>
          <w:ilvl w:val="0"/>
          <w:numId w:val="2"/>
        </w:numPr>
        <w:spacing w:after="40" w:before="40"/>
      </w:pPr>
      <w:r>
        <w:rPr>
          <w:rFonts w:ascii="Arial" w:cs="Arial" w:eastAsia="Arial" w:hAnsi="Arial"/>
          <w:sz w:val="22"/>
          <w:szCs w:val="22"/>
        </w:rPr>
        <w:t xml:space="preserve">Which project or cost centre bears which costs</w:t>
      </w:r>
    </w:p>
    <w:p>
      <w:pPr>
        <w:pStyle w:val="ListParagraph"/>
        <w:numPr>
          <w:ilvl w:val="0"/>
          <w:numId w:val="2"/>
        </w:numPr>
        <w:spacing w:after="40" w:before="40"/>
      </w:pPr>
      <w:r>
        <w:rPr>
          <w:rFonts w:ascii="Arial" w:cs="Arial" w:eastAsia="Arial" w:hAnsi="Arial"/>
          <w:sz w:val="22"/>
          <w:szCs w:val="22"/>
        </w:rPr>
        <w:t xml:space="preserve">Rental contracts (separate from individual billing entries)</w:t>
      </w:r>
    </w:p>
    <w:p>
      <w:pPr>
        <w:pStyle w:val="ListParagraph"/>
        <w:numPr>
          <w:ilvl w:val="0"/>
          <w:numId w:val="2"/>
        </w:numPr>
        <w:spacing w:after="40" w:before="40"/>
      </w:pPr>
      <w:r>
        <w:rPr>
          <w:rFonts w:ascii="Arial" w:cs="Arial" w:eastAsia="Arial" w:hAnsi="Arial"/>
          <w:sz w:val="22"/>
          <w:szCs w:val="22"/>
        </w:rPr>
        <w:t xml:space="preserve">Compliance documents (insurance, fitness certificates)</w:t>
      </w:r>
    </w:p>
    <w:p>
      <w:pPr>
        <w:spacing w:after="0" w:before="0"/>
      </w:pPr>
      <w:r>
        <w:rPr>
          <w:sz w:val="2"/>
          <w:szCs w:val="2"/>
        </w:rPr>
        <w:t xml:space="preserve"/>
      </w:r>
    </w:p>
    <w:p>
      <w:pPr>
        <w:spacing w:after="60" w:before="60"/>
        <w:jc w:val="both"/>
      </w:pPr>
      <w:r>
        <w:rPr>
          <w:rFonts w:ascii="Arial" w:cs="Arial" w:eastAsia="Arial" w:hAnsi="Arial"/>
          <w:sz w:val="22"/>
          <w:szCs w:val="22"/>
        </w:rPr>
        <w:t xml:space="preserve">This means project-level machinery costs are invisible. There is no answer to: “How much did machinery cost for Tower-A this quarter?”</w:t>
      </w:r>
    </w:p>
    <w:p>
      <w:pPr>
        <w:pStyle w:val="Heading1"/>
        <w:pBdr>
          <w:bottom w:val="single" w:color="1F3864" w:sz="6" w:space="4"/>
        </w:pBdr>
        <w:spacing w:after="120" w:before="360"/>
      </w:pPr>
      <w:r>
        <w:rPr>
          <w:rFonts w:ascii="Arial" w:cs="Arial" w:eastAsia="Arial" w:hAnsi="Arial"/>
          <w:b/>
          <w:bCs/>
          <w:color w:val="1F3864"/>
          <w:sz w:val="32"/>
          <w:szCs w:val="32"/>
        </w:rPr>
        <w:t xml:space="preserve">3.  What We Propose to Build</w:t>
      </w:r>
    </w:p>
    <w:p>
      <w:pPr>
        <w:spacing w:after="60" w:before="60"/>
        <w:jc w:val="both"/>
      </w:pPr>
      <w:r>
        <w:rPr>
          <w:rFonts w:ascii="Arial" w:cs="Arial" w:eastAsia="Arial" w:hAnsi="Arial"/>
          <w:sz w:val="22"/>
          <w:szCs w:val="22"/>
        </w:rPr>
        <w:t xml:space="preserve">Six capability areas are described below.</w:t>
      </w:r>
    </w:p>
    <w:p>
      <w:pPr>
        <w:pStyle w:val="Heading2"/>
        <w:spacing w:after="80" w:before="240"/>
      </w:pPr>
      <w:r>
        <w:rPr>
          <w:rFonts w:ascii="Arial" w:cs="Arial" w:eastAsia="Arial" w:hAnsi="Arial"/>
          <w:b/>
          <w:bCs/>
          <w:color w:val="2E75B6"/>
          <w:sz w:val="26"/>
          <w:szCs w:val="26"/>
        </w:rPr>
        <w:t xml:space="preserve">3.1  Asset Register (Global)</w:t>
      </w:r>
    </w:p>
    <w:p>
      <w:pPr>
        <w:spacing w:after="60" w:before="60"/>
        <w:jc w:val="both"/>
      </w:pPr>
      <w:r>
        <w:rPr>
          <w:rFonts w:ascii="Arial" w:cs="Arial" w:eastAsia="Arial" w:hAnsi="Arial"/>
          <w:sz w:val="22"/>
          <w:szCs w:val="22"/>
        </w:rPr>
        <w:t xml:space="preserve">A central register of all company-owned equipment:</w:t>
      </w:r>
    </w:p>
    <w:p>
      <w:pPr>
        <w:pStyle w:val="ListParagraph"/>
        <w:numPr>
          <w:ilvl w:val="0"/>
          <w:numId w:val="2"/>
        </w:numPr>
        <w:spacing w:after="40" w:before="40"/>
      </w:pPr>
      <w:r>
        <w:rPr>
          <w:rFonts w:ascii="Arial" w:cs="Arial" w:eastAsia="Arial" w:hAnsi="Arial"/>
          <w:sz w:val="22"/>
          <w:szCs w:val="22"/>
        </w:rPr>
        <w:t xml:space="preserve">Asset name, category, make/model</w:t>
      </w:r>
    </w:p>
    <w:p>
      <w:pPr>
        <w:pStyle w:val="ListParagraph"/>
        <w:numPr>
          <w:ilvl w:val="0"/>
          <w:numId w:val="2"/>
        </w:numPr>
        <w:spacing w:after="40" w:before="40"/>
      </w:pPr>
      <w:r>
        <w:rPr>
          <w:rFonts w:ascii="Arial" w:cs="Arial" w:eastAsia="Arial" w:hAnsi="Arial"/>
          <w:sz w:val="22"/>
          <w:szCs w:val="22"/>
        </w:rPr>
        <w:t xml:space="preserve">Purchase date and cost</w:t>
      </w:r>
    </w:p>
    <w:p>
      <w:pPr>
        <w:pStyle w:val="ListParagraph"/>
        <w:numPr>
          <w:ilvl w:val="0"/>
          <w:numId w:val="2"/>
        </w:numPr>
        <w:spacing w:after="40" w:before="40"/>
      </w:pPr>
      <w:r>
        <w:rPr>
          <w:rFonts w:ascii="Arial" w:cs="Arial" w:eastAsia="Arial" w:hAnsi="Arial"/>
          <w:sz w:val="22"/>
          <w:szCs w:val="22"/>
        </w:rPr>
        <w:t xml:space="preserve">Depreciation rate and current book value</w:t>
      </w:r>
    </w:p>
    <w:p>
      <w:pPr>
        <w:pStyle w:val="ListParagraph"/>
        <w:numPr>
          <w:ilvl w:val="0"/>
          <w:numId w:val="2"/>
        </w:numPr>
        <w:spacing w:after="40" w:before="40"/>
      </w:pPr>
      <w:r>
        <w:rPr>
          <w:rFonts w:ascii="Arial" w:cs="Arial" w:eastAsia="Arial" w:hAnsi="Arial"/>
          <w:sz w:val="22"/>
          <w:szCs w:val="22"/>
        </w:rPr>
        <w:t xml:space="preserve">Current status: Available / Deployed / Under Repair / Disposed</w:t>
      </w:r>
    </w:p>
    <w:p>
      <w:pPr>
        <w:pStyle w:val="ListParagraph"/>
        <w:numPr>
          <w:ilvl w:val="0"/>
          <w:numId w:val="2"/>
        </w:numPr>
        <w:spacing w:after="40" w:before="40"/>
      </w:pPr>
      <w:r>
        <w:rPr>
          <w:rFonts w:ascii="Arial" w:cs="Arial" w:eastAsia="Arial" w:hAnsi="Arial"/>
          <w:sz w:val="22"/>
          <w:szCs w:val="22"/>
        </w:rPr>
        <w:t xml:space="preserve">Insurance and compliance document expiry dates</w:t>
      </w:r>
    </w:p>
    <w:p>
      <w:pPr>
        <w:spacing w:after="0" w:before="0"/>
      </w:pPr>
      <w:r>
        <w:rPr>
          <w:sz w:val="2"/>
          <w:szCs w:val="2"/>
        </w:rPr>
        <w:t xml:space="preserve"/>
      </w:r>
    </w:p>
    <w:p>
      <w:pPr>
        <w:spacing w:after="60" w:before="60"/>
        <w:jc w:val="both"/>
      </w:pPr>
      <w:r>
        <w:rPr>
          <w:rFonts w:ascii="Arial" w:cs="Arial" w:eastAsia="Arial" w:hAnsi="Arial"/>
          <w:sz w:val="22"/>
          <w:szCs w:val="22"/>
        </w:rPr>
        <w:t xml:space="preserve">This is a global record — a generator belongs to the company, not to any single project.</w:t>
      </w:r>
    </w:p>
    <w:p>
      <w:pPr>
        <w:pStyle w:val="Heading2"/>
        <w:spacing w:after="80" w:before="240"/>
      </w:pPr>
      <w:r>
        <w:rPr>
          <w:rFonts w:ascii="Arial" w:cs="Arial" w:eastAsia="Arial" w:hAnsi="Arial"/>
          <w:b/>
          <w:bCs/>
          <w:color w:val="2E75B6"/>
          <w:sz w:val="26"/>
          <w:szCs w:val="26"/>
        </w:rPr>
        <w:t xml:space="preserve">3.2  Rental Contracts (Global)</w:t>
      </w:r>
    </w:p>
    <w:p>
      <w:pPr>
        <w:spacing w:after="60" w:before="60"/>
        <w:jc w:val="both"/>
      </w:pPr>
      <w:r>
        <w:rPr>
          <w:rFonts w:ascii="Arial" w:cs="Arial" w:eastAsia="Arial" w:hAnsi="Arial"/>
          <w:sz w:val="22"/>
          <w:szCs w:val="22"/>
        </w:rPr>
        <w:t xml:space="preserve">A rental contract captures the vendor agreement:</w:t>
      </w:r>
    </w:p>
    <w:p>
      <w:pPr>
        <w:pStyle w:val="ListParagraph"/>
        <w:numPr>
          <w:ilvl w:val="0"/>
          <w:numId w:val="2"/>
        </w:numPr>
        <w:spacing w:after="40" w:before="40"/>
      </w:pPr>
      <w:r>
        <w:rPr>
          <w:rFonts w:ascii="Arial" w:cs="Arial" w:eastAsia="Arial" w:hAnsi="Arial"/>
          <w:sz w:val="22"/>
          <w:szCs w:val="22"/>
        </w:rPr>
        <w:t xml:space="preserve">Machine type, vendor, contract period</w:t>
      </w:r>
    </w:p>
    <w:p>
      <w:pPr>
        <w:pStyle w:val="ListParagraph"/>
        <w:numPr>
          <w:ilvl w:val="0"/>
          <w:numId w:val="2"/>
        </w:numPr>
        <w:spacing w:after="40" w:before="40"/>
      </w:pPr>
      <w:r>
        <w:rPr>
          <w:rFonts w:ascii="Arial" w:cs="Arial" w:eastAsia="Arial" w:hAnsi="Arial"/>
          <w:sz w:val="22"/>
          <w:szCs w:val="22"/>
        </w:rPr>
        <w:t xml:space="preserve">Rate structure (hourly / daily / trip / monthly)</w:t>
      </w:r>
    </w:p>
    <w:p>
      <w:pPr>
        <w:pStyle w:val="ListParagraph"/>
        <w:numPr>
          <w:ilvl w:val="0"/>
          <w:numId w:val="2"/>
        </w:numPr>
        <w:spacing w:after="40" w:before="40"/>
      </w:pPr>
      <w:r>
        <w:rPr>
          <w:rFonts w:ascii="Arial" w:cs="Arial" w:eastAsia="Arial" w:hAnsi="Arial"/>
          <w:sz w:val="22"/>
          <w:szCs w:val="22"/>
        </w:rPr>
        <w:t xml:space="preserve">Mobilisation and demobilisation charges (one-time charges when machine arrives/departs)</w:t>
      </w:r>
    </w:p>
    <w:p>
      <w:pPr>
        <w:pStyle w:val="ListParagraph"/>
        <w:numPr>
          <w:ilvl w:val="0"/>
          <w:numId w:val="2"/>
        </w:numPr>
        <w:spacing w:after="40" w:before="40"/>
      </w:pPr>
      <w:r>
        <w:rPr>
          <w:rFonts w:ascii="Arial" w:cs="Arial" w:eastAsia="Arial" w:hAnsi="Arial"/>
          <w:sz w:val="22"/>
          <w:szCs w:val="22"/>
        </w:rPr>
        <w:t xml:space="preserve">Security deposit paid</w:t>
      </w:r>
    </w:p>
    <w:p>
      <w:pPr>
        <w:pStyle w:val="ListParagraph"/>
        <w:numPr>
          <w:ilvl w:val="0"/>
          <w:numId w:val="2"/>
        </w:numPr>
        <w:spacing w:after="40" w:before="40"/>
      </w:pPr>
      <w:r>
        <w:rPr>
          <w:rFonts w:ascii="Arial" w:cs="Arial" w:eastAsia="Arial" w:hAnsi="Arial"/>
          <w:sz w:val="22"/>
          <w:szCs w:val="22"/>
        </w:rPr>
        <w:t xml:space="preserve">Standby rate (when machine is on-site but idle)</w:t>
      </w:r>
    </w:p>
    <w:p>
      <w:pPr>
        <w:spacing w:after="0" w:before="0"/>
      </w:pPr>
      <w:r>
        <w:rPr>
          <w:sz w:val="2"/>
          <w:szCs w:val="2"/>
        </w:rPr>
        <w:t xml:space="preserve"/>
      </w:r>
    </w:p>
    <w:p>
      <w:pPr>
        <w:spacing w:after="60" w:before="60"/>
        <w:jc w:val="both"/>
      </w:pPr>
      <w:r>
        <w:rPr>
          <w:rFonts w:ascii="Arial" w:cs="Arial" w:eastAsia="Arial" w:hAnsi="Arial"/>
          <w:sz w:val="22"/>
          <w:szCs w:val="22"/>
        </w:rPr>
        <w:t xml:space="preserve">Individual billing entries are logged against this contract — not as standalone entries.</w:t>
      </w:r>
    </w:p>
    <w:p>
      <w:pPr>
        <w:pStyle w:val="Heading2"/>
        <w:spacing w:after="80" w:before="240"/>
      </w:pPr>
      <w:r>
        <w:rPr>
          <w:rFonts w:ascii="Arial" w:cs="Arial" w:eastAsia="Arial" w:hAnsi="Arial"/>
          <w:b/>
          <w:bCs/>
          <w:color w:val="2E75B6"/>
          <w:sz w:val="26"/>
          <w:szCs w:val="26"/>
        </w:rPr>
        <w:t xml:space="preserve">3.3  Deployment Register (Per Project)</w:t>
      </w:r>
    </w:p>
    <w:p>
      <w:pPr>
        <w:spacing w:after="60" w:before="60"/>
        <w:jc w:val="both"/>
      </w:pPr>
      <w:r>
        <w:rPr>
          <w:rFonts w:ascii="Arial" w:cs="Arial" w:eastAsia="Arial" w:hAnsi="Arial"/>
          <w:sz w:val="22"/>
          <w:szCs w:val="22"/>
        </w:rPr>
        <w:t xml:space="preserve">Tracks where each machine is deployed:</w:t>
      </w:r>
    </w:p>
    <w:p>
      <w:pPr>
        <w:pStyle w:val="ListParagraph"/>
        <w:numPr>
          <w:ilvl w:val="0"/>
          <w:numId w:val="2"/>
        </w:numPr>
        <w:spacing w:after="40" w:before="40"/>
      </w:pPr>
      <w:r>
        <w:rPr>
          <w:rFonts w:ascii="Arial" w:cs="Arial" w:eastAsia="Arial" w:hAnsi="Arial"/>
          <w:sz w:val="22"/>
          <w:szCs w:val="22"/>
        </w:rPr>
        <w:t xml:space="preserve">Machine → Project → Cost Centre (e.g. Tower-A, Common-Roads)</w:t>
      </w:r>
    </w:p>
    <w:p>
      <w:pPr>
        <w:pStyle w:val="ListParagraph"/>
        <w:numPr>
          <w:ilvl w:val="0"/>
          <w:numId w:val="2"/>
        </w:numPr>
        <w:spacing w:after="40" w:before="40"/>
      </w:pPr>
      <w:r>
        <w:rPr>
          <w:rFonts w:ascii="Arial" w:cs="Arial" w:eastAsia="Arial" w:hAnsi="Arial"/>
          <w:sz w:val="22"/>
          <w:szCs w:val="22"/>
        </w:rPr>
        <w:t xml:space="preserve">Deployment start and end date</w:t>
      </w:r>
    </w:p>
    <w:p>
      <w:pPr>
        <w:pStyle w:val="ListParagraph"/>
        <w:numPr>
          <w:ilvl w:val="0"/>
          <w:numId w:val="2"/>
        </w:numPr>
        <w:spacing w:after="40" w:before="40"/>
      </w:pPr>
      <w:r>
        <w:rPr>
          <w:rFonts w:ascii="Arial" w:cs="Arial" w:eastAsia="Arial" w:hAnsi="Arial"/>
          <w:sz w:val="22"/>
          <w:szCs w:val="22"/>
        </w:rPr>
        <w:t xml:space="preserve">Purpose (Power backup, Earthwork, Concrete mixing)</w:t>
      </w:r>
    </w:p>
    <w:p>
      <w:pPr>
        <w:spacing w:after="0" w:before="0"/>
      </w:pPr>
      <w:r>
        <w:rPr>
          <w:sz w:val="2"/>
          <w:szCs w:val="2"/>
        </w:rPr>
        <w:t xml:space="preserve"/>
      </w:r>
    </w:p>
    <w:p>
      <w:pPr>
        <w:spacing w:after="60" w:before="60"/>
        <w:jc w:val="both"/>
      </w:pPr>
      <w:r>
        <w:rPr>
          <w:rFonts w:ascii="Arial" w:cs="Arial" w:eastAsia="Arial" w:hAnsi="Arial"/>
          <w:sz w:val="22"/>
          <w:szCs w:val="22"/>
        </w:rPr>
        <w:t xml:space="preserve">A machine can move between cost centres within a project or move to a different project entirely. Each movement is recorded.</w:t>
      </w:r>
    </w:p>
    <w:p>
      <w:pPr>
        <w:pStyle w:val="Heading2"/>
        <w:spacing w:after="80" w:before="240"/>
      </w:pPr>
      <w:r>
        <w:rPr>
          <w:rFonts w:ascii="Arial" w:cs="Arial" w:eastAsia="Arial" w:hAnsi="Arial"/>
          <w:b/>
          <w:bCs/>
          <w:color w:val="2E75B6"/>
          <w:sz w:val="26"/>
          <w:szCs w:val="26"/>
        </w:rPr>
        <w:t xml:space="preserve">3.4  Operating Cost Logs (Per Project)</w:t>
      </w:r>
    </w:p>
    <w:p>
      <w:pPr>
        <w:spacing w:after="60" w:before="60"/>
        <w:jc w:val="both"/>
      </w:pPr>
      <w:r>
        <w:rPr>
          <w:rFonts w:ascii="Arial" w:cs="Arial" w:eastAsia="Arial" w:hAnsi="Arial"/>
          <w:b/>
          <w:bCs/>
          <w:sz w:val="22"/>
          <w:szCs w:val="22"/>
        </w:rPr>
        <w:t xml:space="preserve">Fuel &amp; Consumables: </w:t>
      </w:r>
      <w:r>
        <w:rPr>
          <w:rFonts w:ascii="Arial" w:cs="Arial" w:eastAsia="Arial" w:hAnsi="Arial"/>
          <w:sz w:val="22"/>
          <w:szCs w:val="22"/>
        </w:rPr>
        <w:t xml:space="preserve">When fuel or consumables are issued from the site store, they are linked to a specific machine — not just a location. This answers: “Generator consumed 240 litres of diesel in May at Bhavbhumi.”</w:t>
      </w:r>
    </w:p>
    <w:p>
      <w:pPr>
        <w:spacing w:after="0" w:before="0"/>
      </w:pPr>
      <w:r>
        <w:rPr>
          <w:sz w:val="2"/>
          <w:szCs w:val="2"/>
        </w:rPr>
        <w:t xml:space="preserve"/>
      </w:r>
    </w:p>
    <w:p>
      <w:pPr>
        <w:spacing w:after="60" w:before="60"/>
        <w:jc w:val="both"/>
      </w:pPr>
      <w:r>
        <w:rPr>
          <w:rFonts w:ascii="Arial" w:cs="Arial" w:eastAsia="Arial" w:hAnsi="Arial"/>
          <w:b/>
          <w:bCs/>
          <w:sz w:val="22"/>
          <w:szCs w:val="22"/>
        </w:rPr>
        <w:t xml:space="preserve">Rental Billing Entries: </w:t>
      </w:r>
      <w:r>
        <w:rPr>
          <w:rFonts w:ascii="Arial" w:cs="Arial" w:eastAsia="Arial" w:hAnsi="Arial"/>
          <w:sz w:val="22"/>
          <w:szCs w:val="22"/>
        </w:rPr>
        <w:t xml:space="preserve">Daily or periodic entries against a rental contract — hours worked, trips made, or meter readings. At month-end, these are matched against the vendor’s bill before payment.</w:t>
      </w:r>
    </w:p>
    <w:p>
      <w:pPr>
        <w:pStyle w:val="Heading2"/>
        <w:spacing w:after="80" w:before="240"/>
      </w:pPr>
      <w:r>
        <w:rPr>
          <w:rFonts w:ascii="Arial" w:cs="Arial" w:eastAsia="Arial" w:hAnsi="Arial"/>
          <w:b/>
          <w:bCs/>
          <w:color w:val="2E75B6"/>
          <w:sz w:val="26"/>
          <w:szCs w:val="26"/>
        </w:rPr>
        <w:t xml:space="preserve">3.5  Maintenance &amp; Repair (Per Project)</w:t>
      </w:r>
    </w:p>
    <w:p>
      <w:pPr>
        <w:spacing w:after="60" w:before="60"/>
        <w:jc w:val="both"/>
      </w:pPr>
      <w:r>
        <w:rPr>
          <w:rFonts w:ascii="Arial" w:cs="Arial" w:eastAsia="Arial" w:hAnsi="Arial"/>
          <w:b/>
          <w:bCs/>
          <w:sz w:val="22"/>
          <w:szCs w:val="22"/>
        </w:rPr>
        <w:t xml:space="preserve">Scheduled Servicing: </w:t>
      </w:r>
      <w:r>
        <w:rPr>
          <w:rFonts w:ascii="Arial" w:cs="Arial" w:eastAsia="Arial" w:hAnsi="Arial"/>
          <w:sz w:val="22"/>
          <w:szCs w:val="22"/>
        </w:rPr>
        <w:t xml:space="preserve">Each asset has a service interval (e.g. every 250 engine hours). The system tracks hours and raises an alert when service is due.</w:t>
      </w:r>
    </w:p>
    <w:p>
      <w:pPr>
        <w:spacing w:after="0" w:before="0"/>
      </w:pPr>
      <w:r>
        <w:rPr>
          <w:sz w:val="2"/>
          <w:szCs w:val="2"/>
        </w:rPr>
        <w:t xml:space="preserve"/>
      </w:r>
    </w:p>
    <w:p>
      <w:pPr>
        <w:spacing w:after="60" w:before="60"/>
        <w:jc w:val="both"/>
      </w:pPr>
      <w:r>
        <w:rPr>
          <w:rFonts w:ascii="Arial" w:cs="Arial" w:eastAsia="Arial" w:hAnsi="Arial"/>
          <w:b/>
          <w:bCs/>
          <w:sz w:val="22"/>
          <w:szCs w:val="22"/>
        </w:rPr>
        <w:t xml:space="preserve">Breakdown Repairs: </w:t>
      </w:r>
      <w:r>
        <w:rPr>
          <w:rFonts w:ascii="Arial" w:cs="Arial" w:eastAsia="Arial" w:hAnsi="Arial"/>
          <w:sz w:val="22"/>
          <w:szCs w:val="22"/>
        </w:rPr>
        <w:t xml:space="preserve">When a machine breaks down, a repair work order is raised. Spare parts are procured through the existing procurement flow. Repair labour cost is entered directly. Total repair cost is charged to the project where the breakdown occurred.</w:t>
      </w:r>
    </w:p>
    <w:p>
      <w:pPr>
        <w:pStyle w:val="Heading2"/>
        <w:spacing w:after="80" w:before="240"/>
      </w:pPr>
      <w:r>
        <w:rPr>
          <w:rFonts w:ascii="Arial" w:cs="Arial" w:eastAsia="Arial" w:hAnsi="Arial"/>
          <w:b/>
          <w:bCs/>
          <w:color w:val="2E75B6"/>
          <w:sz w:val="26"/>
          <w:szCs w:val="26"/>
        </w:rPr>
        <w:t xml:space="preserve">3.6  Compliance Tracking (Global)</w:t>
      </w:r>
    </w:p>
    <w:p>
      <w:pPr>
        <w:spacing w:after="60" w:before="60"/>
        <w:jc w:val="both"/>
      </w:pPr>
      <w:r>
        <w:rPr>
          <w:rFonts w:ascii="Arial" w:cs="Arial" w:eastAsia="Arial" w:hAnsi="Arial"/>
          <w:sz w:val="22"/>
          <w:szCs w:val="22"/>
        </w:rPr>
        <w:t xml:space="preserve">Track document expiry dates for all owned machinery: Insurance, Fitness Certificate, Pollution Certificate, Road Tax, Operator Licence (mandatory for cranes and JCBs). Alerts are raised before documents expire.</w:t>
      </w:r>
    </w:p>
    <w:p>
      <w:pPr>
        <w:pStyle w:val="Heading1"/>
        <w:pBdr>
          <w:bottom w:val="single" w:color="1F3864" w:sz="6" w:space="4"/>
        </w:pBdr>
        <w:spacing w:after="120" w:before="360"/>
      </w:pPr>
      <w:r>
        <w:rPr>
          <w:rFonts w:ascii="Arial" w:cs="Arial" w:eastAsia="Arial" w:hAnsi="Arial"/>
          <w:b/>
          <w:bCs/>
          <w:color w:val="1F3864"/>
          <w:sz w:val="32"/>
          <w:szCs w:val="32"/>
        </w:rPr>
        <w:t xml:space="preserve">4.  How This Connects to Existing Flows</w:t>
      </w:r>
    </w:p>
    <w:p>
      <w:pPr>
        <w:spacing w:after="60" w:before="60"/>
        <w:jc w:val="both"/>
      </w:pPr>
      <w:r>
        <w:rPr>
          <w:rFonts w:ascii="Arial" w:cs="Arial" w:eastAsia="Arial" w:hAnsi="Arial"/>
          <w:sz w:val="22"/>
          <w:szCs w:val="22"/>
        </w:rPr>
        <w:t xml:space="preserve">The table below shows how the new module integrates with existing system workflows.</w:t>
      </w:r>
    </w:p>
    <w:p>
      <w:pPr>
        <w:spacing w:after="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Flow</w:t>
            </w:r>
          </w:p>
        </w:tc>
        <w:tc>
          <w:tcPr>
            <w:tcW w:type="dxa" w:w="3226"/>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Procuring a new owned machine (e.g. generator)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Indent → Purchase Order → Inward</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Inward tagged as "Asset Procurement" — goes to global asset register instead of project store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Issuing fuel or consumables to a machine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Store Outward entry</w:t>
            </w:r>
          </w:p>
        </w:tc>
        <w:tc>
          <w:tcPr>
            <w:tcW w:type="dxa" w:w="3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One addition: outward entry gets a "Machine" field, linking cost to a specific machine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Procuring spare parts for a repair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Indent → PO → Inward → Issue</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Issue entry linked to a repair work order, which links to machine and project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Rented machine billing</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Standalone entry today</w:t>
            </w:r>
          </w:p>
        </w:tc>
        <w:tc>
          <w:tcPr>
            <w:tcW w:type="dxa" w:w="3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Now linked to a rental contract; usage log feeds billing; vendor bill matched before payment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Machine arrives on a project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tracking today</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Deployment entry created: machine, project, cost centre, start date</w:t>
            </w:r>
          </w:p>
        </w:tc>
      </w:tr>
    </w:tbl>
    <w:p>
      <w:pPr>
        <w:spacing w:after="0" w:before="0"/>
      </w:pPr>
      <w:r>
        <w:rPr>
          <w:sz w:val="4"/>
          <w:szCs w:val="4"/>
        </w:rP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5.  Cost Visibility — What Business Gets</w:t>
      </w:r>
    </w:p>
    <w:p>
      <w:pPr>
        <w:spacing w:after="60" w:before="60"/>
        <w:jc w:val="both"/>
      </w:pPr>
      <w:r>
        <w:rPr>
          <w:rFonts w:ascii="Arial" w:cs="Arial" w:eastAsia="Arial" w:hAnsi="Arial"/>
          <w:sz w:val="22"/>
          <w:szCs w:val="22"/>
        </w:rPr>
        <w:t xml:space="preserve">After implementation, the following questions become answerable:</w:t>
      </w:r>
    </w:p>
    <w:p>
      <w:pPr>
        <w:pStyle w:val="ListParagraph"/>
        <w:numPr>
          <w:ilvl w:val="0"/>
          <w:numId w:val="2"/>
        </w:numPr>
        <w:spacing w:after="40" w:before="40"/>
      </w:pPr>
      <w:r>
        <w:rPr>
          <w:rFonts w:ascii="Arial" w:cs="Arial" w:eastAsia="Arial" w:hAnsi="Arial"/>
          <w:sz w:val="22"/>
          <w:szCs w:val="22"/>
        </w:rPr>
        <w:t xml:space="preserve">What is the total machinery cost for Project X this month?</w:t>
      </w:r>
    </w:p>
    <w:p>
      <w:pPr>
        <w:pStyle w:val="ListParagraph"/>
        <w:numPr>
          <w:ilvl w:val="0"/>
          <w:numId w:val="2"/>
        </w:numPr>
        <w:spacing w:after="40" w:before="40"/>
      </w:pPr>
      <w:r>
        <w:rPr>
          <w:rFonts w:ascii="Arial" w:cs="Arial" w:eastAsia="Arial" w:hAnsi="Arial"/>
          <w:sz w:val="22"/>
          <w:szCs w:val="22"/>
        </w:rPr>
        <w:t xml:space="preserve">What portion is fuel, rental, and repair?</w:t>
      </w:r>
    </w:p>
    <w:p>
      <w:pPr>
        <w:pStyle w:val="ListParagraph"/>
        <w:numPr>
          <w:ilvl w:val="0"/>
          <w:numId w:val="2"/>
        </w:numPr>
        <w:spacing w:after="40" w:before="40"/>
      </w:pPr>
      <w:r>
        <w:rPr>
          <w:rFonts w:ascii="Arial" w:cs="Arial" w:eastAsia="Arial" w:hAnsi="Arial"/>
          <w:sz w:val="22"/>
          <w:szCs w:val="22"/>
        </w:rPr>
        <w:t xml:space="preserve">Which cost centre (Tower-A, Roads, Common) bears how much?</w:t>
      </w:r>
    </w:p>
    <w:p>
      <w:pPr>
        <w:pStyle w:val="ListParagraph"/>
        <w:numPr>
          <w:ilvl w:val="0"/>
          <w:numId w:val="2"/>
        </w:numPr>
        <w:spacing w:after="40" w:before="40"/>
      </w:pPr>
      <w:r>
        <w:rPr>
          <w:rFonts w:ascii="Arial" w:cs="Arial" w:eastAsia="Arial" w:hAnsi="Arial"/>
          <w:sz w:val="22"/>
          <w:szCs w:val="22"/>
        </w:rPr>
        <w:t xml:space="preserve">How much has the company spent maintaining the generator since purchase?</w:t>
      </w:r>
    </w:p>
    <w:p>
      <w:pPr>
        <w:pStyle w:val="ListParagraph"/>
        <w:numPr>
          <w:ilvl w:val="0"/>
          <w:numId w:val="2"/>
        </w:numPr>
        <w:spacing w:after="40" w:before="40"/>
      </w:pPr>
      <w:r>
        <w:rPr>
          <w:rFonts w:ascii="Arial" w:cs="Arial" w:eastAsia="Arial" w:hAnsi="Arial"/>
          <w:sz w:val="22"/>
          <w:szCs w:val="22"/>
        </w:rPr>
        <w:t xml:space="preserve">Which rental vendors have billing disputes?</w:t>
      </w:r>
    </w:p>
    <w:p>
      <w:pPr>
        <w:pStyle w:val="ListParagraph"/>
        <w:numPr>
          <w:ilvl w:val="0"/>
          <w:numId w:val="2"/>
        </w:numPr>
        <w:spacing w:after="40" w:before="40"/>
      </w:pPr>
      <w:r>
        <w:rPr>
          <w:rFonts w:ascii="Arial" w:cs="Arial" w:eastAsia="Arial" w:hAnsi="Arial"/>
          <w:sz w:val="22"/>
          <w:szCs w:val="22"/>
        </w:rPr>
        <w:t xml:space="preserve">Which machines are due for service this week?</w:t>
      </w:r>
    </w:p>
    <w:p>
      <w:pPr>
        <w:pStyle w:val="ListParagraph"/>
        <w:numPr>
          <w:ilvl w:val="0"/>
          <w:numId w:val="2"/>
        </w:numPr>
        <w:spacing w:after="40" w:before="40"/>
      </w:pPr>
      <w:r>
        <w:rPr>
          <w:rFonts w:ascii="Arial" w:cs="Arial" w:eastAsia="Arial" w:hAnsi="Arial"/>
          <w:sz w:val="22"/>
          <w:szCs w:val="22"/>
        </w:rPr>
        <w:t xml:space="preserve">What is the current status and location of all owned assets?</w:t>
      </w:r>
    </w:p>
    <w:p>
      <w:pPr>
        <w:pStyle w:val="Heading1"/>
        <w:pBdr>
          <w:bottom w:val="single" w:color="1F3864" w:sz="6" w:space="4"/>
        </w:pBdr>
        <w:spacing w:after="120" w:before="360"/>
      </w:pPr>
      <w:r>
        <w:rPr>
          <w:rFonts w:ascii="Arial" w:cs="Arial" w:eastAsia="Arial" w:hAnsi="Arial"/>
          <w:b/>
          <w:bCs/>
          <w:color w:val="1F3864"/>
          <w:sz w:val="32"/>
          <w:szCs w:val="32"/>
        </w:rPr>
        <w:t xml:space="preserve">6.  Phased Implementation</w:t>
      </w:r>
    </w:p>
    <w:p>
      <w:pPr>
        <w:spacing w:after="60" w:before="60"/>
        <w:jc w:val="both"/>
      </w:pPr>
      <w:r>
        <w:rPr>
          <w:rFonts w:ascii="Arial" w:cs="Arial" w:eastAsia="Arial" w:hAnsi="Arial"/>
          <w:sz w:val="22"/>
          <w:szCs w:val="22"/>
        </w:rPr>
        <w:t xml:space="preserve">The module is proposed in three phases, each delivering tangible business value on completion.</w:t>
      </w:r>
    </w:p>
    <w:p>
      <w:pPr>
        <w:spacing w:after="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26"/>
      </w:tblGrid>
      <w:tr>
        <w:tc>
          <w:tcPr>
            <w:tcW w:type="dxa" w:w="9026"/>
            <w:tcBorders>
              <w:top w:val="single" w:color="375623" w:sz="2"/>
              <w:left w:val="single" w:color="375623" w:sz="2"/>
              <w:bottom w:val="single" w:color="375623" w:sz="2"/>
              <w:right w:val="single" w:color="375623" w:sz="2"/>
            </w:tcBorders>
            <w:shd w:fill="E2EFDA" w:val="clear"/>
            <w:tcMar>
              <w:top w:type="dxa" w:w="120"/>
              <w:left w:type="dxa" w:w="200"/>
              <w:bottom w:type="dxa" w:w="120"/>
              <w:right w:type="dxa" w:w="200"/>
            </w:tcMar>
          </w:tcPr>
          <w:p>
            <w:pPr>
              <w:spacing w:after="40" w:before="60"/>
            </w:pPr>
            <w:r>
              <w:rPr>
                <w:rFonts w:ascii="Arial" w:cs="Arial" w:eastAsia="Arial" w:hAnsi="Arial"/>
                <w:b/>
                <w:bCs/>
                <w:color w:val="375623"/>
                <w:sz w:val="26"/>
                <w:szCs w:val="26"/>
              </w:rPr>
              <w:t xml:space="preserve">Phase 1 — Foundation</w:t>
            </w:r>
          </w:p>
          <w:p>
            <w:pPr>
              <w:spacing w:after="60" w:before="0"/>
            </w:pPr>
            <w:r>
              <w:rPr>
                <w:rFonts w:ascii="Arial" w:cs="Arial" w:eastAsia="Arial" w:hAnsi="Arial"/>
                <w:i/>
                <w:iCs/>
                <w:color w:val="375623"/>
                <w:sz w:val="20"/>
                <w:szCs w:val="20"/>
              </w:rPr>
              <w:t xml:space="preserve">Approx. 6–8 weeks</w:t>
            </w:r>
          </w:p>
          <w:p>
            <w:pPr>
              <w:spacing w:after="30" w:before="60"/>
            </w:pPr>
            <w:r>
              <w:rPr>
                <w:rFonts w:ascii="Arial" w:cs="Arial" w:eastAsia="Arial" w:hAnsi="Arial"/>
                <w:b/>
                <w:bCs/>
                <w:sz w:val="22"/>
                <w:szCs w:val="22"/>
              </w:rPr>
              <w:t xml:space="preserve">Goal: </w:t>
            </w:r>
            <w:r>
              <w:rPr>
                <w:rFonts w:ascii="Arial" w:cs="Arial" w:eastAsia="Arial" w:hAnsi="Arial"/>
                <w:sz w:val="22"/>
                <w:szCs w:val="22"/>
              </w:rPr>
              <w:t xml:space="preserve">Core tracking with immediate cost visibility</w:t>
            </w:r>
          </w:p>
          <w:p>
            <w:pPr>
              <w:spacing w:after="40" w:before="80"/>
            </w:pPr>
            <w:r>
              <w:rPr>
                <w:rFonts w:ascii="Arial" w:cs="Arial" w:eastAsia="Arial" w:hAnsi="Arial"/>
                <w:b/>
                <w:bCs/>
                <w:sz w:val="22"/>
                <w:szCs w:val="22"/>
              </w:rPr>
              <w:t xml:space="preserve">Deliverables:</w:t>
            </w:r>
          </w:p>
          <w:p>
            <w:pPr>
              <w:spacing w:after="30" w:before="30"/>
              <w:ind w:left="360" w:hanging="360"/>
            </w:pPr>
            <w:r>
              <w:rPr>
                <w:rFonts w:ascii="Arial" w:cs="Arial" w:eastAsia="Arial" w:hAnsi="Arial"/>
                <w:sz w:val="22"/>
                <w:szCs w:val="22"/>
              </w:rPr>
              <w:t xml:space="preserve">1.  Asset Register — owned equipment master with purchase details and status</w:t>
            </w:r>
          </w:p>
          <w:p>
            <w:pPr>
              <w:spacing w:after="30" w:before="30"/>
              <w:ind w:left="360" w:hanging="360"/>
            </w:pPr>
            <w:r>
              <w:rPr>
                <w:rFonts w:ascii="Arial" w:cs="Arial" w:eastAsia="Arial" w:hAnsi="Arial"/>
                <w:sz w:val="22"/>
                <w:szCs w:val="22"/>
              </w:rPr>
              <w:t xml:space="preserve">2.  Rental Contract Master — contract record separate from billing entries</w:t>
            </w:r>
          </w:p>
          <w:p>
            <w:pPr>
              <w:spacing w:after="30" w:before="30"/>
              <w:ind w:left="360" w:hanging="360"/>
            </w:pPr>
            <w:r>
              <w:rPr>
                <w:rFonts w:ascii="Arial" w:cs="Arial" w:eastAsia="Arial" w:hAnsi="Arial"/>
                <w:sz w:val="22"/>
                <w:szCs w:val="22"/>
              </w:rPr>
              <w:t xml:space="preserve">3.  Deployment Register — machine linked to project and cost centre</w:t>
            </w:r>
          </w:p>
          <w:p>
            <w:pPr>
              <w:spacing w:after="30" w:before="30"/>
              <w:ind w:left="360" w:hanging="360"/>
            </w:pPr>
            <w:r>
              <w:rPr>
                <w:rFonts w:ascii="Arial" w:cs="Arial" w:eastAsia="Arial" w:hAnsi="Arial"/>
                <w:sz w:val="22"/>
                <w:szCs w:val="22"/>
              </w:rPr>
              <w:t xml:space="preserve">4.  Fuel/Consumable log linked to machine (small addition to existing outward flow)</w:t>
            </w:r>
          </w:p>
          <w:p>
            <w:pPr>
              <w:spacing w:after="30" w:before="30"/>
              <w:ind w:left="360" w:hanging="360"/>
            </w:pPr>
            <w:r>
              <w:rPr>
                <w:rFonts w:ascii="Arial" w:cs="Arial" w:eastAsia="Arial" w:hAnsi="Arial"/>
                <w:sz w:val="22"/>
                <w:szCs w:val="22"/>
              </w:rPr>
              <w:t xml:space="preserve">5.  Rental billing entries linked to contract (replaces current standalone MOR entries)</w:t>
            </w:r>
          </w:p>
          <w:p>
            <w:pPr>
              <w:spacing w:after="40" w:before="80"/>
            </w:pPr>
            <w:r>
              <w:rPr>
                <w:rFonts w:ascii="Arial" w:cs="Arial" w:eastAsia="Arial" w:hAnsi="Arial"/>
                <w:b/>
                <w:bCs/>
                <w:sz w:val="22"/>
                <w:szCs w:val="22"/>
              </w:rPr>
              <w:t xml:space="preserve">Business value: </w:t>
            </w:r>
            <w:r>
              <w:rPr>
                <w:rFonts w:ascii="Arial" w:cs="Arial" w:eastAsia="Arial" w:hAnsi="Arial"/>
                <w:sz w:val="22"/>
                <w:szCs w:val="22"/>
              </w:rPr>
              <w:t xml:space="preserve">Know where every machine is. Know what every project spends on machinery, broken down by fuel and rental. Clean rental billing process with contract reference.</w:t>
            </w:r>
          </w:p>
        </w:tc>
      </w:tr>
    </w:tbl>
    <w:p>
      <w:pPr>
        <w:spacing w:after="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26"/>
      </w:tblGrid>
      <w:tr>
        <w:tc>
          <w:tcPr>
            <w:tcW w:type="dxa" w:w="9026"/>
            <w:tcBorders>
              <w:top w:val="single" w:color="7F4F24" w:sz="2"/>
              <w:left w:val="single" w:color="7F4F24" w:sz="2"/>
              <w:bottom w:val="single" w:color="7F4F24" w:sz="2"/>
              <w:right w:val="single" w:color="7F4F24" w:sz="2"/>
            </w:tcBorders>
            <w:shd w:fill="FCE4D6" w:val="clear"/>
            <w:tcMar>
              <w:top w:type="dxa" w:w="120"/>
              <w:left w:type="dxa" w:w="200"/>
              <w:bottom w:type="dxa" w:w="120"/>
              <w:right w:type="dxa" w:w="200"/>
            </w:tcMar>
          </w:tcPr>
          <w:p>
            <w:pPr>
              <w:spacing w:after="40" w:before="60"/>
            </w:pPr>
            <w:r>
              <w:rPr>
                <w:rFonts w:ascii="Arial" w:cs="Arial" w:eastAsia="Arial" w:hAnsi="Arial"/>
                <w:b/>
                <w:bCs/>
                <w:color w:val="7F4F24"/>
                <w:sz w:val="26"/>
                <w:szCs w:val="26"/>
              </w:rPr>
              <w:t xml:space="preserve">Phase 2 — Maintenance &amp; Compliance</w:t>
            </w:r>
          </w:p>
          <w:p>
            <w:pPr>
              <w:spacing w:after="60" w:before="0"/>
            </w:pPr>
            <w:r>
              <w:rPr>
                <w:rFonts w:ascii="Arial" w:cs="Arial" w:eastAsia="Arial" w:hAnsi="Arial"/>
                <w:i/>
                <w:iCs/>
                <w:color w:val="7F4F24"/>
                <w:sz w:val="20"/>
                <w:szCs w:val="20"/>
              </w:rPr>
              <w:t xml:space="preserve">Approx. 4–6 weeks</w:t>
            </w:r>
          </w:p>
          <w:p>
            <w:pPr>
              <w:spacing w:after="30" w:before="60"/>
            </w:pPr>
            <w:r>
              <w:rPr>
                <w:rFonts w:ascii="Arial" w:cs="Arial" w:eastAsia="Arial" w:hAnsi="Arial"/>
                <w:b/>
                <w:bCs/>
                <w:sz w:val="22"/>
                <w:szCs w:val="22"/>
              </w:rPr>
              <w:t xml:space="preserve">Goal: </w:t>
            </w:r>
            <w:r>
              <w:rPr>
                <w:rFonts w:ascii="Arial" w:cs="Arial" w:eastAsia="Arial" w:hAnsi="Arial"/>
                <w:sz w:val="22"/>
                <w:szCs w:val="22"/>
              </w:rPr>
              <w:t xml:space="preserve">Control repair costs and stay compliant</w:t>
            </w:r>
          </w:p>
          <w:p>
            <w:pPr>
              <w:spacing w:after="40" w:before="80"/>
            </w:pPr>
            <w:r>
              <w:rPr>
                <w:rFonts w:ascii="Arial" w:cs="Arial" w:eastAsia="Arial" w:hAnsi="Arial"/>
                <w:b/>
                <w:bCs/>
                <w:sz w:val="22"/>
                <w:szCs w:val="22"/>
              </w:rPr>
              <w:t xml:space="preserve">Deliverables:</w:t>
            </w:r>
          </w:p>
          <w:p>
            <w:pPr>
              <w:spacing w:after="30" w:before="30"/>
              <w:ind w:left="360" w:hanging="360"/>
            </w:pPr>
            <w:r>
              <w:rPr>
                <w:rFonts w:ascii="Arial" w:cs="Arial" w:eastAsia="Arial" w:hAnsi="Arial"/>
                <w:sz w:val="22"/>
                <w:szCs w:val="22"/>
              </w:rPr>
              <w:t xml:space="preserve">1.  Maintenance work orders (scheduled + breakdown)</w:t>
            </w:r>
          </w:p>
          <w:p>
            <w:pPr>
              <w:spacing w:after="30" w:before="30"/>
              <w:ind w:left="360" w:hanging="360"/>
            </w:pPr>
            <w:r>
              <w:rPr>
                <w:rFonts w:ascii="Arial" w:cs="Arial" w:eastAsia="Arial" w:hAnsi="Arial"/>
                <w:sz w:val="22"/>
                <w:szCs w:val="22"/>
              </w:rPr>
              <w:t xml:space="preserve">2.  Spare parts procurement linked to work orders (uses existing Indent → PO flow)</w:t>
            </w:r>
          </w:p>
          <w:p>
            <w:pPr>
              <w:spacing w:after="30" w:before="30"/>
              <w:ind w:left="360" w:hanging="360"/>
            </w:pPr>
            <w:r>
              <w:rPr>
                <w:rFonts w:ascii="Arial" w:cs="Arial" w:eastAsia="Arial" w:hAnsi="Arial"/>
                <w:sz w:val="22"/>
                <w:szCs w:val="22"/>
              </w:rPr>
              <w:t xml:space="preserve">3.  Repair cost allocation to projects</w:t>
            </w:r>
          </w:p>
          <w:p>
            <w:pPr>
              <w:spacing w:after="30" w:before="30"/>
              <w:ind w:left="360" w:hanging="360"/>
            </w:pPr>
            <w:r>
              <w:rPr>
                <w:rFonts w:ascii="Arial" w:cs="Arial" w:eastAsia="Arial" w:hAnsi="Arial"/>
                <w:sz w:val="22"/>
                <w:szCs w:val="22"/>
              </w:rPr>
              <w:t xml:space="preserve">4.  Compliance document tracking with expiry alerts</w:t>
            </w:r>
          </w:p>
          <w:p>
            <w:pPr>
              <w:spacing w:after="30" w:before="30"/>
              <w:ind w:left="360" w:hanging="360"/>
            </w:pPr>
            <w:r>
              <w:rPr>
                <w:rFonts w:ascii="Arial" w:cs="Arial" w:eastAsia="Arial" w:hAnsi="Arial"/>
                <w:sz w:val="22"/>
                <w:szCs w:val="22"/>
              </w:rPr>
              <w:t xml:space="preserve">5.  Operator licence tracking</w:t>
            </w:r>
          </w:p>
          <w:p>
            <w:pPr>
              <w:spacing w:after="40" w:before="80"/>
            </w:pPr>
            <w:r>
              <w:rPr>
                <w:rFonts w:ascii="Arial" w:cs="Arial" w:eastAsia="Arial" w:hAnsi="Arial"/>
                <w:b/>
                <w:bCs/>
                <w:sz w:val="22"/>
                <w:szCs w:val="22"/>
              </w:rPr>
              <w:t xml:space="preserve">Business value: </w:t>
            </w:r>
            <w:r>
              <w:rPr>
                <w:rFonts w:ascii="Arial" w:cs="Arial" w:eastAsia="Arial" w:hAnsi="Arial"/>
                <w:sz w:val="22"/>
                <w:szCs w:val="22"/>
              </w:rPr>
              <w:t xml:space="preserve">Full machinery cost per project (fuel + rental + repair). No machine runs with expired documents. Full service history per asset.</w:t>
            </w:r>
          </w:p>
        </w:tc>
      </w:tr>
    </w:tbl>
    <w:p>
      <w:pPr>
        <w:spacing w:after="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26"/>
      </w:tblGrid>
      <w:tr>
        <w:tc>
          <w:tcPr>
            <w:tcW w:type="dxa" w:w="9026"/>
            <w:tcBorders>
              <w:top w:val="single" w:color="3A3268" w:sz="2"/>
              <w:left w:val="single" w:color="3A3268" w:sz="2"/>
              <w:bottom w:val="single" w:color="3A3268" w:sz="2"/>
              <w:right w:val="single" w:color="3A3268" w:sz="2"/>
            </w:tcBorders>
            <w:shd w:fill="E8E4F0" w:val="clear"/>
            <w:tcMar>
              <w:top w:type="dxa" w:w="120"/>
              <w:left w:type="dxa" w:w="200"/>
              <w:bottom w:type="dxa" w:w="120"/>
              <w:right w:type="dxa" w:w="200"/>
            </w:tcMar>
          </w:tcPr>
          <w:p>
            <w:pPr>
              <w:spacing w:after="40" w:before="60"/>
            </w:pPr>
            <w:r>
              <w:rPr>
                <w:rFonts w:ascii="Arial" w:cs="Arial" w:eastAsia="Arial" w:hAnsi="Arial"/>
                <w:b/>
                <w:bCs/>
                <w:color w:val="3A3268"/>
                <w:sz w:val="26"/>
                <w:szCs w:val="26"/>
              </w:rPr>
              <w:t xml:space="preserve">Phase 3 — Analytics &amp; Controls</w:t>
            </w:r>
          </w:p>
          <w:p>
            <w:pPr>
              <w:spacing w:after="60" w:before="0"/>
            </w:pPr>
            <w:r>
              <w:rPr>
                <w:rFonts w:ascii="Arial" w:cs="Arial" w:eastAsia="Arial" w:hAnsi="Arial"/>
                <w:i/>
                <w:iCs/>
                <w:color w:val="3A3268"/>
                <w:sz w:val="20"/>
                <w:szCs w:val="20"/>
              </w:rPr>
              <w:t xml:space="preserve">Approx. 4 weeks</w:t>
            </w:r>
          </w:p>
          <w:p>
            <w:pPr>
              <w:spacing w:after="30" w:before="60"/>
            </w:pPr>
            <w:r>
              <w:rPr>
                <w:rFonts w:ascii="Arial" w:cs="Arial" w:eastAsia="Arial" w:hAnsi="Arial"/>
                <w:b/>
                <w:bCs/>
                <w:sz w:val="22"/>
                <w:szCs w:val="22"/>
              </w:rPr>
              <w:t xml:space="preserve">Goal: </w:t>
            </w:r>
            <w:r>
              <w:rPr>
                <w:rFonts w:ascii="Arial" w:cs="Arial" w:eastAsia="Arial" w:hAnsi="Arial"/>
                <w:sz w:val="22"/>
                <w:szCs w:val="22"/>
              </w:rPr>
              <w:t xml:space="preserve">Efficiency and cost optimisation</w:t>
            </w:r>
          </w:p>
          <w:p>
            <w:pPr>
              <w:spacing w:after="40" w:before="80"/>
            </w:pPr>
            <w:r>
              <w:rPr>
                <w:rFonts w:ascii="Arial" w:cs="Arial" w:eastAsia="Arial" w:hAnsi="Arial"/>
                <w:b/>
                <w:bCs/>
                <w:sz w:val="22"/>
                <w:szCs w:val="22"/>
              </w:rPr>
              <w:t xml:space="preserve">Deliverables:</w:t>
            </w:r>
          </w:p>
          <w:p>
            <w:pPr>
              <w:spacing w:after="30" w:before="30"/>
              <w:ind w:left="360" w:hanging="360"/>
            </w:pPr>
            <w:r>
              <w:rPr>
                <w:rFonts w:ascii="Arial" w:cs="Arial" w:eastAsia="Arial" w:hAnsi="Arial"/>
                <w:sz w:val="22"/>
                <w:szCs w:val="22"/>
              </w:rPr>
              <w:t xml:space="preserve">1.  Fuel consumption benchmarks vs actual (detect anomalies and potential theft)</w:t>
            </w:r>
          </w:p>
          <w:p>
            <w:pPr>
              <w:spacing w:after="30" w:before="30"/>
              <w:ind w:left="360" w:hanging="360"/>
            </w:pPr>
            <w:r>
              <w:rPr>
                <w:rFonts w:ascii="Arial" w:cs="Arial" w:eastAsia="Arial" w:hAnsi="Arial"/>
                <w:sz w:val="22"/>
                <w:szCs w:val="22"/>
              </w:rPr>
              <w:t xml:space="preserve">2.  Vendor bill vs usage log reconciliation workflow</w:t>
            </w:r>
          </w:p>
          <w:p>
            <w:pPr>
              <w:spacing w:after="30" w:before="30"/>
              <w:ind w:left="360" w:hanging="360"/>
            </w:pPr>
            <w:r>
              <w:rPr>
                <w:rFonts w:ascii="Arial" w:cs="Arial" w:eastAsia="Arial" w:hAnsi="Arial"/>
                <w:sz w:val="22"/>
                <w:szCs w:val="22"/>
              </w:rPr>
              <w:t xml:space="preserve">3.  Machine utilisation report (planned vs actual hours, idle time)</w:t>
            </w:r>
          </w:p>
          <w:p>
            <w:pPr>
              <w:spacing w:after="30" w:before="30"/>
              <w:ind w:left="360" w:hanging="360"/>
            </w:pPr>
            <w:r>
              <w:rPr>
                <w:rFonts w:ascii="Arial" w:cs="Arial" w:eastAsia="Arial" w:hAnsi="Arial"/>
                <w:sz w:val="22"/>
                <w:szCs w:val="22"/>
              </w:rPr>
              <w:t xml:space="preserve">4.  Security deposit and advance payment tracking</w:t>
            </w:r>
          </w:p>
          <w:p>
            <w:pPr>
              <w:spacing w:after="30" w:before="30"/>
              <w:ind w:left="360" w:hanging="360"/>
            </w:pPr>
            <w:r>
              <w:rPr>
                <w:rFonts w:ascii="Arial" w:cs="Arial" w:eastAsia="Arial" w:hAnsi="Arial"/>
                <w:sz w:val="22"/>
                <w:szCs w:val="22"/>
              </w:rPr>
              <w:t xml:space="preserve">5.  Cross-project machine transfer with cost reallocation</w:t>
            </w:r>
          </w:p>
          <w:p>
            <w:pPr>
              <w:spacing w:after="30" w:before="30"/>
              <w:ind w:left="360" w:hanging="360"/>
            </w:pPr>
            <w:r>
              <w:rPr>
                <w:rFonts w:ascii="Arial" w:cs="Arial" w:eastAsia="Arial" w:hAnsi="Arial"/>
                <w:sz w:val="22"/>
                <w:szCs w:val="22"/>
              </w:rPr>
              <w:t xml:space="preserve">6.  Total cost of ownership report per asset</w:t>
            </w:r>
          </w:p>
          <w:p>
            <w:pPr>
              <w:spacing w:after="40" w:before="80"/>
            </w:pPr>
            <w:r>
              <w:rPr>
                <w:rFonts w:ascii="Arial" w:cs="Arial" w:eastAsia="Arial" w:hAnsi="Arial"/>
                <w:b/>
                <w:bCs/>
                <w:sz w:val="22"/>
                <w:szCs w:val="22"/>
              </w:rPr>
              <w:t xml:space="preserve">Business value: </w:t>
            </w:r>
            <w:r>
              <w:rPr>
                <w:rFonts w:ascii="Arial" w:cs="Arial" w:eastAsia="Arial" w:hAnsi="Arial"/>
                <w:sz w:val="22"/>
                <w:szCs w:val="22"/>
              </w:rPr>
              <w:t xml:space="preserve">Detect fuel theft or machine inefficiency. Settle vendor billing disputes with data. Understand the true cost of owning each piece of equipment.</w:t>
            </w:r>
          </w:p>
        </w:tc>
      </w:tr>
    </w:tbl>
    <w:p>
      <w:pPr>
        <w:spacing w:after="0" w:before="0"/>
      </w:pPr>
      <w:r>
        <w:rPr>
          <w:sz w:val="4"/>
          <w:szCs w:val="4"/>
        </w:rPr>
        <w:t xml:space="preserve"/>
      </w:r>
    </w:p>
    <w:p>
      <w:pPr>
        <w:pStyle w:val="Heading1"/>
        <w:pBdr>
          <w:bottom w:val="single" w:color="1F3864" w:sz="6" w:space="4"/>
        </w:pBdr>
        <w:spacing w:after="120" w:before="360"/>
      </w:pPr>
      <w:r>
        <w:rPr>
          <w:rFonts w:ascii="Arial" w:cs="Arial" w:eastAsia="Arial" w:hAnsi="Arial"/>
          <w:b/>
          <w:bCs/>
          <w:color w:val="1F3864"/>
          <w:sz w:val="32"/>
          <w:szCs w:val="32"/>
        </w:rPr>
        <w:t xml:space="preserve">7.  Summary</w:t>
      </w:r>
    </w:p>
    <w:p>
      <w:pPr>
        <w:spacing w:after="60" w:before="60"/>
        <w:jc w:val="both"/>
      </w:pPr>
      <w:r>
        <w:rPr>
          <w:rFonts w:ascii="Arial" w:cs="Arial" w:eastAsia="Arial" w:hAnsi="Arial"/>
          <w:sz w:val="22"/>
          <w:szCs w:val="22"/>
        </w:rPr>
        <w:t xml:space="preserve">The existing system already handles procurement, store operations, and project-level material tracking well. Machinery management is a natural extension of these flows — not a separate system.</w:t>
      </w:r>
    </w:p>
    <w:p>
      <w:pPr>
        <w:spacing w:after="0" w:before="0"/>
      </w:pPr>
      <w:r>
        <w:rPr>
          <w:sz w:val="2"/>
          <w:szCs w:val="2"/>
        </w:rPr>
        <w:t xml:space="preserve"/>
      </w:r>
    </w:p>
    <w:p>
      <w:pPr>
        <w:spacing w:after="60" w:before="60"/>
        <w:jc w:val="both"/>
      </w:pPr>
      <w:r>
        <w:rPr>
          <w:rFonts w:ascii="Arial" w:cs="Arial" w:eastAsia="Arial" w:hAnsi="Arial"/>
          <w:sz w:val="22"/>
          <w:szCs w:val="22"/>
        </w:rPr>
        <w:t xml:space="preserve">The goal is to ensure every rupee spent on machinery is tracked against the right machine, the right project, and the right cost centre — giving management full visibility into one of the largest cost heads in construction.</w:t>
      </w:r>
    </w:p>
    <w:p>
      <w:pPr>
        <w:spacing w:after="0" w:before="0"/>
      </w:pPr>
      <w:r>
        <w:rPr>
          <w:sz w:val="8"/>
          <w:szCs w:val="8"/>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Machinery Management — System Proposal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2026-05-19T02:05:10.696Z</dcterms:created>
  <dcterms:modified xsi:type="dcterms:W3CDTF">2026-05-19T02:05:10.701Z</dcterms:modified>
</cp:coreProperties>
</file>

<file path=docProps/custom.xml><?xml version="1.0" encoding="utf-8"?>
<Properties xmlns="http://schemas.openxmlformats.org/officeDocument/2006/custom-properties" xmlns:vt="http://schemas.openxmlformats.org/officeDocument/2006/docPropsVTypes"/>
</file>