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DF538">
      <w:pPr>
        <w:widowControl/>
        <w:spacing w:before="1400"/>
        <w:jc w:val="left"/>
        <w:rPr>
          <w:rFonts w:hint="default" w:ascii="Calibri" w:hAnsi="Calibri" w:cs="Calibri"/>
        </w:rPr>
      </w:pPr>
      <w:r>
        <w:rPr>
          <w:rFonts w:hint="default" w:ascii="Calibri" w:hAnsi="Calibri" w:cs="Calibri"/>
          <w:b/>
          <w:color w:val="0F6B78"/>
          <w:sz w:val="26"/>
        </w:rPr>
        <w:t>RAPPORT D’ANALYSE</w:t>
      </w:r>
    </w:p>
    <w:p w14:paraId="07933572">
      <w:pPr>
        <w:widowControl/>
        <w:spacing w:before="80" w:after="160"/>
        <w:rPr>
          <w:rFonts w:hint="default" w:ascii="Calibri" w:hAnsi="Calibri" w:cs="Calibri"/>
        </w:rPr>
      </w:pPr>
      <w:r>
        <w:rPr>
          <w:rFonts w:hint="default" w:ascii="Calibri" w:hAnsi="Calibri" w:cs="Calibri"/>
          <w:b/>
          <w:color w:val="17365D"/>
          <w:sz w:val="60"/>
        </w:rPr>
        <w:t>Cortex Pay &amp; Pointo</w:t>
      </w:r>
    </w:p>
    <w:p w14:paraId="2B8A6664">
      <w:pPr>
        <w:widowControl/>
        <w:spacing w:before="560"/>
        <w:rPr>
          <w:rFonts w:hint="default" w:ascii="Calibri" w:hAnsi="Calibri" w:cs="Calibri"/>
        </w:rPr>
      </w:pPr>
      <w:r>
        <w:rPr>
          <w:rFonts w:hint="default" w:ascii="Calibri" w:hAnsi="Calibri" w:cs="Calibri"/>
          <w:b/>
          <w:color w:val="6B7280"/>
          <w:sz w:val="18"/>
        </w:rPr>
        <w:t>DOCUMENT DE SYNTHÈSE POUR AIDE À LA DÉCISION</w:t>
      </w:r>
    </w:p>
    <w:tbl>
      <w:tblPr>
        <w:tblStyle w:val="35"/>
        <w:tblW w:w="0" w:type="auto"/>
        <w:tblInd w:w="0" w:type="dxa"/>
        <w:tblLayout w:type="fixed"/>
        <w:tblCellMar>
          <w:top w:w="0" w:type="dxa"/>
          <w:left w:w="108" w:type="dxa"/>
          <w:bottom w:w="0" w:type="dxa"/>
          <w:right w:w="108" w:type="dxa"/>
        </w:tblCellMar>
      </w:tblPr>
      <w:tblGrid>
        <w:gridCol w:w="2268"/>
        <w:gridCol w:w="6690"/>
      </w:tblGrid>
      <w:tr w14:paraId="0CE5A597">
        <w:tblPrEx>
          <w:tblCellMar>
            <w:top w:w="0" w:type="dxa"/>
            <w:left w:w="108" w:type="dxa"/>
            <w:bottom w:w="0" w:type="dxa"/>
            <w:right w:w="108" w:type="dxa"/>
          </w:tblCellMar>
        </w:tblPrEx>
        <w:tc>
          <w:tcPr>
            <w:tcW w:w="2268" w:type="dxa"/>
            <w:tcBorders>
              <w:bottom w:val="single" w:color="D9E1E8" w:sz="4" w:space="0"/>
            </w:tcBorders>
            <w:shd w:val="clear" w:color="auto" w:fill="F3F5F7"/>
            <w:vAlign w:val="center"/>
          </w:tcPr>
          <w:p w14:paraId="00D3FE33">
            <w:pPr>
              <w:spacing w:after="0" w:line="252" w:lineRule="auto"/>
              <w:rPr>
                <w:rFonts w:hint="default" w:ascii="Calibri" w:hAnsi="Calibri" w:cs="Calibri"/>
              </w:rPr>
            </w:pPr>
            <w:r>
              <w:rPr>
                <w:rFonts w:hint="default" w:ascii="Calibri" w:hAnsi="Calibri" w:cs="Calibri"/>
                <w:b/>
                <w:color w:val="17365D"/>
                <w:sz w:val="18"/>
              </w:rPr>
              <w:t>Périmètre</w:t>
            </w:r>
          </w:p>
        </w:tc>
        <w:tc>
          <w:tcPr>
            <w:tcW w:w="6690" w:type="dxa"/>
            <w:tcBorders>
              <w:bottom w:val="single" w:color="D9E1E8" w:sz="4" w:space="0"/>
            </w:tcBorders>
            <w:vAlign w:val="center"/>
          </w:tcPr>
          <w:p w14:paraId="37ED6A79">
            <w:pPr>
              <w:spacing w:after="0" w:line="252" w:lineRule="auto"/>
              <w:rPr>
                <w:rFonts w:hint="default" w:ascii="Calibri" w:hAnsi="Calibri" w:cs="Calibri"/>
              </w:rPr>
            </w:pPr>
            <w:r>
              <w:rPr>
                <w:rFonts w:hint="default" w:ascii="Calibri" w:hAnsi="Calibri" w:cs="Calibri"/>
                <w:color w:val="1F2937"/>
                <w:sz w:val="19"/>
              </w:rPr>
              <w:t>Analyse fonctionnelle, technique et stratégique</w:t>
            </w:r>
          </w:p>
        </w:tc>
      </w:tr>
      <w:tr w14:paraId="553436E9">
        <w:tblPrEx>
          <w:tblCellMar>
            <w:top w:w="0" w:type="dxa"/>
            <w:left w:w="108" w:type="dxa"/>
            <w:bottom w:w="0" w:type="dxa"/>
            <w:right w:w="108" w:type="dxa"/>
          </w:tblCellMar>
        </w:tblPrEx>
        <w:tc>
          <w:tcPr>
            <w:tcW w:w="2268" w:type="dxa"/>
            <w:tcBorders>
              <w:bottom w:val="single" w:color="D9E1E8" w:sz="4" w:space="0"/>
            </w:tcBorders>
            <w:shd w:val="clear" w:color="auto" w:fill="F3F5F7"/>
            <w:vAlign w:val="center"/>
          </w:tcPr>
          <w:p w14:paraId="0036EC4E">
            <w:pPr>
              <w:spacing w:after="0" w:line="252" w:lineRule="auto"/>
              <w:rPr>
                <w:rFonts w:hint="default" w:ascii="Calibri" w:hAnsi="Calibri" w:cs="Calibri"/>
              </w:rPr>
            </w:pPr>
            <w:r>
              <w:rPr>
                <w:rFonts w:hint="default" w:ascii="Calibri" w:hAnsi="Calibri" w:cs="Calibri"/>
                <w:b/>
                <w:color w:val="17365D"/>
                <w:sz w:val="18"/>
              </w:rPr>
              <w:t>Sources</w:t>
            </w:r>
          </w:p>
        </w:tc>
        <w:tc>
          <w:tcPr>
            <w:tcW w:w="6690" w:type="dxa"/>
            <w:tcBorders>
              <w:bottom w:val="single" w:color="D9E1E8" w:sz="4" w:space="0"/>
            </w:tcBorders>
            <w:vAlign w:val="center"/>
          </w:tcPr>
          <w:p w14:paraId="16F83732">
            <w:pPr>
              <w:spacing w:after="0" w:line="252" w:lineRule="auto"/>
              <w:rPr>
                <w:rFonts w:hint="default" w:ascii="Calibri" w:hAnsi="Calibri" w:cs="Calibri"/>
              </w:rPr>
            </w:pPr>
            <w:r>
              <w:rPr>
                <w:rFonts w:hint="default" w:ascii="Calibri" w:hAnsi="Calibri" w:cs="Calibri"/>
                <w:color w:val="1F2937"/>
                <w:sz w:val="19"/>
              </w:rPr>
              <w:t>Livre blanc Cortex Pay et démonstration de Pointo</w:t>
            </w:r>
          </w:p>
        </w:tc>
      </w:tr>
    </w:tbl>
    <w:p w14:paraId="4BDFDD2D">
      <w:pPr>
        <w:widowControl/>
        <w:rPr>
          <w:rFonts w:hint="default" w:ascii="Calibri" w:hAnsi="Calibri" w:cs="Calibri"/>
        </w:rPr>
      </w:pPr>
      <w:r>
        <w:rPr>
          <w:rFonts w:hint="default" w:ascii="Calibri" w:hAnsi="Calibri" w:cs="Calibri"/>
        </w:rPr>
        <w:br w:type="page"/>
      </w:r>
    </w:p>
    <w:p w14:paraId="13DC4A8E">
      <w:pPr>
        <w:pStyle w:val="2"/>
        <w:widowControl/>
        <w:rPr>
          <w:rFonts w:hint="default" w:ascii="Calibri" w:hAnsi="Calibri" w:cs="Calibri"/>
        </w:rPr>
      </w:pPr>
      <w:r>
        <w:rPr>
          <w:rFonts w:hint="default" w:ascii="Calibri" w:hAnsi="Calibri" w:cs="Calibri"/>
        </w:rPr>
        <w:t>1. Synthèse exécutive</w:t>
      </w:r>
    </w:p>
    <w:p w14:paraId="2898FD16">
      <w:pPr>
        <w:pStyle w:val="164"/>
        <w:widowControl/>
        <w:rPr>
          <w:rFonts w:hint="default" w:ascii="Calibri" w:hAnsi="Calibri" w:cs="Calibri"/>
        </w:rPr>
      </w:pPr>
      <w:r>
        <w:rPr>
          <w:rFonts w:hint="default" w:ascii="Calibri" w:hAnsi="Calibri" w:cs="Calibri"/>
          <w:b/>
        </w:rPr>
        <w:t xml:space="preserve">Les deux projets sont pertinents, mais leur niveau de maturité et de risque est différent. </w:t>
      </w:r>
      <w:r>
        <w:rPr>
          <w:rFonts w:hint="default" w:ascii="Calibri" w:hAnsi="Calibri" w:cs="Calibri"/>
        </w:rPr>
        <w:t>Pointo est le plus proche d’une commercialisation à court terme. Cortex Pay présente un potentiel stratégique plus important, mais nécessite davantage de sécurisation sur les partenariats, le modèle économique et l’architecture financière.</w:t>
      </w:r>
    </w:p>
    <w:tbl>
      <w:tblPr>
        <w:tblStyle w:val="35"/>
        <w:tblW w:w="0" w:type="auto"/>
        <w:jc w:val="center"/>
        <w:tblLayout w:type="fixed"/>
        <w:tblCellMar>
          <w:top w:w="0" w:type="dxa"/>
          <w:left w:w="108" w:type="dxa"/>
          <w:bottom w:w="0" w:type="dxa"/>
          <w:right w:w="108" w:type="dxa"/>
        </w:tblCellMar>
      </w:tblPr>
      <w:tblGrid>
        <w:gridCol w:w="2381"/>
        <w:gridCol w:w="1984"/>
        <w:gridCol w:w="1984"/>
        <w:gridCol w:w="2665"/>
      </w:tblGrid>
      <w:tr w14:paraId="52E174DD">
        <w:trPr>
          <w:tblHeader/>
          <w:jc w:val="center"/>
        </w:trPr>
        <w:tc>
          <w:tcPr>
            <w:tcW w:w="2493" w:type="dxa"/>
            <w:shd w:val="clear" w:color="auto" w:fill="17365D"/>
            <w:vAlign w:val="center"/>
          </w:tcPr>
          <w:p w14:paraId="4F478CA1">
            <w:pPr>
              <w:spacing w:after="0" w:line="252" w:lineRule="auto"/>
              <w:jc w:val="center"/>
              <w:rPr>
                <w:rFonts w:hint="default" w:ascii="Calibri" w:hAnsi="Calibri" w:cs="Calibri"/>
              </w:rPr>
            </w:pPr>
            <w:r>
              <w:rPr>
                <w:rFonts w:hint="default" w:ascii="Calibri" w:hAnsi="Calibri" w:cs="Calibri"/>
                <w:b/>
                <w:color w:val="FFFFFF"/>
                <w:sz w:val="18"/>
              </w:rPr>
              <w:t>Projet</w:t>
            </w:r>
          </w:p>
        </w:tc>
        <w:tc>
          <w:tcPr>
            <w:tcW w:w="2493" w:type="dxa"/>
            <w:shd w:val="clear" w:color="auto" w:fill="17365D"/>
            <w:vAlign w:val="center"/>
          </w:tcPr>
          <w:p w14:paraId="3F5CA850">
            <w:pPr>
              <w:spacing w:after="0" w:line="252" w:lineRule="auto"/>
              <w:jc w:val="center"/>
              <w:rPr>
                <w:rFonts w:hint="default" w:ascii="Calibri" w:hAnsi="Calibri" w:cs="Calibri"/>
              </w:rPr>
            </w:pPr>
            <w:r>
              <w:rPr>
                <w:rFonts w:hint="default" w:ascii="Calibri" w:hAnsi="Calibri" w:cs="Calibri"/>
                <w:b/>
                <w:color w:val="FFFFFF"/>
                <w:sz w:val="18"/>
              </w:rPr>
              <w:t>Potentiel</w:t>
            </w:r>
          </w:p>
        </w:tc>
        <w:tc>
          <w:tcPr>
            <w:tcW w:w="2493" w:type="dxa"/>
            <w:shd w:val="clear" w:color="auto" w:fill="17365D"/>
            <w:vAlign w:val="center"/>
          </w:tcPr>
          <w:p w14:paraId="267C765D">
            <w:pPr>
              <w:spacing w:after="0" w:line="252" w:lineRule="auto"/>
              <w:jc w:val="center"/>
              <w:rPr>
                <w:rFonts w:hint="default" w:ascii="Calibri" w:hAnsi="Calibri" w:cs="Calibri"/>
              </w:rPr>
            </w:pPr>
            <w:r>
              <w:rPr>
                <w:rFonts w:hint="default" w:ascii="Calibri" w:hAnsi="Calibri" w:cs="Calibri"/>
                <w:b/>
                <w:color w:val="FFFFFF"/>
                <w:sz w:val="18"/>
              </w:rPr>
              <w:t>Risque</w:t>
            </w:r>
          </w:p>
        </w:tc>
        <w:tc>
          <w:tcPr>
            <w:tcW w:w="2493" w:type="dxa"/>
            <w:shd w:val="clear" w:color="auto" w:fill="17365D"/>
            <w:vAlign w:val="center"/>
          </w:tcPr>
          <w:p w14:paraId="531073E1">
            <w:pPr>
              <w:spacing w:after="0" w:line="252" w:lineRule="auto"/>
              <w:jc w:val="center"/>
              <w:rPr>
                <w:rFonts w:hint="default" w:ascii="Calibri" w:hAnsi="Calibri" w:cs="Calibri"/>
              </w:rPr>
            </w:pPr>
            <w:r>
              <w:rPr>
                <w:rFonts w:hint="default" w:ascii="Calibri" w:hAnsi="Calibri" w:cs="Calibri"/>
                <w:b/>
                <w:color w:val="FFFFFF"/>
                <w:sz w:val="18"/>
              </w:rPr>
              <w:t>Orientation recommandée</w:t>
            </w:r>
          </w:p>
        </w:tc>
      </w:tr>
      <w:tr w14:paraId="0168DD5B">
        <w:tblPrEx>
          <w:tblCellMar>
            <w:top w:w="0" w:type="dxa"/>
            <w:left w:w="108" w:type="dxa"/>
            <w:bottom w:w="0" w:type="dxa"/>
            <w:right w:w="108" w:type="dxa"/>
          </w:tblCellMar>
        </w:tblPrEx>
        <w:trPr>
          <w:jc w:val="center"/>
        </w:trPr>
        <w:tc>
          <w:tcPr>
            <w:tcW w:w="2493" w:type="dxa"/>
            <w:tcBorders>
              <w:left w:val="single" w:color="D9E1E8" w:sz="2" w:space="0"/>
              <w:bottom w:val="single" w:color="D9E1E8" w:sz="4" w:space="0"/>
              <w:right w:val="single" w:color="D9E1E8" w:sz="2" w:space="0"/>
            </w:tcBorders>
            <w:shd w:val="clear" w:color="auto" w:fill="EAF0F8"/>
            <w:vAlign w:val="center"/>
          </w:tcPr>
          <w:p w14:paraId="72CD72AD">
            <w:pPr>
              <w:spacing w:after="20" w:line="252" w:lineRule="auto"/>
              <w:jc w:val="left"/>
              <w:rPr>
                <w:rFonts w:hint="default" w:ascii="Calibri" w:hAnsi="Calibri" w:cs="Calibri"/>
              </w:rPr>
            </w:pPr>
            <w:r>
              <w:rPr>
                <w:rFonts w:hint="default" w:ascii="Calibri" w:hAnsi="Calibri" w:cs="Calibri"/>
                <w:b/>
                <w:color w:val="1F2937"/>
                <w:sz w:val="18"/>
              </w:rPr>
              <w:t>Cortex Pay</w:t>
            </w:r>
          </w:p>
        </w:tc>
        <w:tc>
          <w:tcPr>
            <w:tcW w:w="2493" w:type="dxa"/>
            <w:tcBorders>
              <w:left w:val="single" w:color="D9E1E8" w:sz="2" w:space="0"/>
              <w:bottom w:val="single" w:color="D9E1E8" w:sz="4" w:space="0"/>
              <w:right w:val="single" w:color="D9E1E8" w:sz="2" w:space="0"/>
            </w:tcBorders>
            <w:shd w:val="clear" w:color="auto" w:fill="EAF0F8"/>
            <w:vAlign w:val="center"/>
          </w:tcPr>
          <w:p w14:paraId="442DC155">
            <w:pPr>
              <w:spacing w:after="20" w:line="252" w:lineRule="auto"/>
              <w:jc w:val="center"/>
              <w:rPr>
                <w:rFonts w:hint="default" w:ascii="Calibri" w:hAnsi="Calibri" w:cs="Calibri"/>
              </w:rPr>
            </w:pPr>
            <w:r>
              <w:rPr>
                <w:rFonts w:hint="default" w:ascii="Calibri" w:hAnsi="Calibri" w:cs="Calibri"/>
                <w:b w:val="0"/>
                <w:color w:val="1F2937"/>
                <w:sz w:val="18"/>
              </w:rPr>
              <w:t>Très élevé</w:t>
            </w:r>
          </w:p>
        </w:tc>
        <w:tc>
          <w:tcPr>
            <w:tcW w:w="2493" w:type="dxa"/>
            <w:tcBorders>
              <w:left w:val="single" w:color="D9E1E8" w:sz="2" w:space="0"/>
              <w:bottom w:val="single" w:color="D9E1E8" w:sz="4" w:space="0"/>
              <w:right w:val="single" w:color="D9E1E8" w:sz="2" w:space="0"/>
            </w:tcBorders>
            <w:shd w:val="clear" w:color="auto" w:fill="EAF0F8"/>
            <w:vAlign w:val="center"/>
          </w:tcPr>
          <w:p w14:paraId="28606F8E">
            <w:pPr>
              <w:spacing w:after="20" w:line="252" w:lineRule="auto"/>
              <w:jc w:val="center"/>
              <w:rPr>
                <w:rFonts w:hint="default" w:ascii="Calibri" w:hAnsi="Calibri" w:cs="Calibri"/>
              </w:rPr>
            </w:pPr>
            <w:r>
              <w:rPr>
                <w:rFonts w:hint="default" w:ascii="Calibri" w:hAnsi="Calibri" w:cs="Calibri"/>
                <w:b w:val="0"/>
                <w:color w:val="1F2937"/>
                <w:sz w:val="18"/>
              </w:rPr>
              <w:t>Élevé</w:t>
            </w:r>
          </w:p>
        </w:tc>
        <w:tc>
          <w:tcPr>
            <w:tcW w:w="2493" w:type="dxa"/>
            <w:tcBorders>
              <w:left w:val="single" w:color="D9E1E8" w:sz="2" w:space="0"/>
              <w:bottom w:val="single" w:color="D9E1E8" w:sz="4" w:space="0"/>
              <w:right w:val="single" w:color="D9E1E8" w:sz="2" w:space="0"/>
            </w:tcBorders>
            <w:shd w:val="clear" w:color="auto" w:fill="EAF0F8"/>
            <w:vAlign w:val="center"/>
          </w:tcPr>
          <w:p w14:paraId="02E7683C">
            <w:pPr>
              <w:spacing w:after="20" w:line="252" w:lineRule="auto"/>
              <w:jc w:val="left"/>
              <w:rPr>
                <w:rFonts w:hint="default" w:ascii="Calibri" w:hAnsi="Calibri" w:cs="Calibri"/>
              </w:rPr>
            </w:pPr>
            <w:r>
              <w:rPr>
                <w:rFonts w:hint="default" w:ascii="Calibri" w:hAnsi="Calibri" w:cs="Calibri"/>
                <w:b w:val="0"/>
                <w:color w:val="1F2937"/>
                <w:sz w:val="18"/>
              </w:rPr>
              <w:t>Cadrer → construire le socle → intégrer les partenaires → lancer</w:t>
            </w:r>
          </w:p>
        </w:tc>
      </w:tr>
      <w:tr w14:paraId="72EBB9BF">
        <w:tblPrEx>
          <w:tblCellMar>
            <w:top w:w="0" w:type="dxa"/>
            <w:left w:w="108" w:type="dxa"/>
            <w:bottom w:w="0" w:type="dxa"/>
            <w:right w:w="108" w:type="dxa"/>
          </w:tblCellMar>
        </w:tblPrEx>
        <w:trPr>
          <w:jc w:val="center"/>
        </w:trPr>
        <w:tc>
          <w:tcPr>
            <w:tcW w:w="2493" w:type="dxa"/>
            <w:tcBorders>
              <w:left w:val="single" w:color="D9E1E8" w:sz="2" w:space="0"/>
              <w:bottom w:val="single" w:color="D9E1E8" w:sz="4" w:space="0"/>
              <w:right w:val="single" w:color="D9E1E8" w:sz="2" w:space="0"/>
            </w:tcBorders>
            <w:vAlign w:val="center"/>
          </w:tcPr>
          <w:p w14:paraId="5471911B">
            <w:pPr>
              <w:spacing w:after="20" w:line="252" w:lineRule="auto"/>
              <w:jc w:val="left"/>
              <w:rPr>
                <w:rFonts w:hint="default" w:ascii="Calibri" w:hAnsi="Calibri" w:cs="Calibri"/>
              </w:rPr>
            </w:pPr>
            <w:r>
              <w:rPr>
                <w:rFonts w:hint="default" w:ascii="Calibri" w:hAnsi="Calibri" w:cs="Calibri"/>
                <w:b/>
                <w:color w:val="1F2937"/>
                <w:sz w:val="18"/>
              </w:rPr>
              <w:t>Pointo</w:t>
            </w:r>
          </w:p>
        </w:tc>
        <w:tc>
          <w:tcPr>
            <w:tcW w:w="2493" w:type="dxa"/>
            <w:tcBorders>
              <w:left w:val="single" w:color="D9E1E8" w:sz="2" w:space="0"/>
              <w:bottom w:val="single" w:color="D9E1E8" w:sz="4" w:space="0"/>
              <w:right w:val="single" w:color="D9E1E8" w:sz="2" w:space="0"/>
            </w:tcBorders>
            <w:vAlign w:val="center"/>
          </w:tcPr>
          <w:p w14:paraId="1C02319A">
            <w:pPr>
              <w:spacing w:after="20" w:line="252" w:lineRule="auto"/>
              <w:jc w:val="center"/>
              <w:rPr>
                <w:rFonts w:hint="default" w:ascii="Calibri" w:hAnsi="Calibri" w:cs="Calibri"/>
              </w:rPr>
            </w:pPr>
            <w:r>
              <w:rPr>
                <w:rFonts w:hint="default" w:ascii="Calibri" w:hAnsi="Calibri" w:cs="Calibri"/>
                <w:b w:val="0"/>
                <w:color w:val="1F2937"/>
                <w:sz w:val="18"/>
              </w:rPr>
              <w:t>Élevé</w:t>
            </w:r>
          </w:p>
        </w:tc>
        <w:tc>
          <w:tcPr>
            <w:tcW w:w="2493" w:type="dxa"/>
            <w:tcBorders>
              <w:left w:val="single" w:color="D9E1E8" w:sz="2" w:space="0"/>
              <w:bottom w:val="single" w:color="D9E1E8" w:sz="4" w:space="0"/>
              <w:right w:val="single" w:color="D9E1E8" w:sz="2" w:space="0"/>
            </w:tcBorders>
            <w:vAlign w:val="center"/>
          </w:tcPr>
          <w:p w14:paraId="35940543">
            <w:pPr>
              <w:spacing w:after="20" w:line="252" w:lineRule="auto"/>
              <w:jc w:val="center"/>
              <w:rPr>
                <w:rFonts w:hint="default" w:ascii="Calibri" w:hAnsi="Calibri" w:cs="Calibri"/>
              </w:rPr>
            </w:pPr>
            <w:r>
              <w:rPr>
                <w:rFonts w:hint="default" w:ascii="Calibri" w:hAnsi="Calibri" w:cs="Calibri"/>
                <w:b w:val="0"/>
                <w:color w:val="1F2937"/>
                <w:sz w:val="18"/>
              </w:rPr>
              <w:t>Moyen</w:t>
            </w:r>
          </w:p>
        </w:tc>
        <w:tc>
          <w:tcPr>
            <w:tcW w:w="2493" w:type="dxa"/>
            <w:tcBorders>
              <w:left w:val="single" w:color="D9E1E8" w:sz="2" w:space="0"/>
              <w:bottom w:val="single" w:color="D9E1E8" w:sz="4" w:space="0"/>
              <w:right w:val="single" w:color="D9E1E8" w:sz="2" w:space="0"/>
            </w:tcBorders>
            <w:vAlign w:val="center"/>
          </w:tcPr>
          <w:p w14:paraId="2B930924">
            <w:pPr>
              <w:spacing w:after="20" w:line="252" w:lineRule="auto"/>
              <w:jc w:val="left"/>
              <w:rPr>
                <w:rFonts w:hint="default" w:ascii="Calibri" w:hAnsi="Calibri" w:cs="Calibri"/>
              </w:rPr>
            </w:pPr>
            <w:r>
              <w:rPr>
                <w:rFonts w:hint="default" w:ascii="Calibri" w:hAnsi="Calibri" w:cs="Calibri"/>
                <w:b w:val="0"/>
                <w:color w:val="1F2937"/>
                <w:sz w:val="18"/>
              </w:rPr>
              <w:t>Sécuriser → piloter → commercialiser → faire évoluer</w:t>
            </w:r>
          </w:p>
        </w:tc>
      </w:tr>
    </w:tbl>
    <w:p w14:paraId="387977D7">
      <w:pPr>
        <w:pStyle w:val="2"/>
        <w:widowControl/>
        <w:rPr>
          <w:rFonts w:hint="default" w:ascii="Calibri" w:hAnsi="Calibri" w:cs="Calibri"/>
        </w:rPr>
      </w:pPr>
      <w:r>
        <w:rPr>
          <w:rFonts w:hint="default" w:ascii="Calibri" w:hAnsi="Calibri" w:cs="Calibri"/>
        </w:rPr>
        <w:t>2. Analyse de Cortex Pay</w:t>
      </w:r>
    </w:p>
    <w:p w14:paraId="1C31A5D4">
      <w:pPr>
        <w:pStyle w:val="164"/>
        <w:widowControl/>
        <w:rPr>
          <w:rFonts w:hint="default" w:ascii="Calibri" w:hAnsi="Calibri" w:cs="Calibri"/>
        </w:rPr>
      </w:pPr>
      <w:r>
        <w:rPr>
          <w:rFonts w:hint="default" w:ascii="Calibri" w:hAnsi="Calibri" w:cs="Calibri"/>
          <w:b/>
        </w:rPr>
        <w:t>Positionnement</w:t>
      </w:r>
      <w:r>
        <w:rPr>
          <w:rFonts w:hint="default" w:ascii="Calibri" w:hAnsi="Calibri" w:cs="Calibri"/>
          <w:b/>
          <w:lang w:val="fr-FR"/>
        </w:rPr>
        <w:t>:</w:t>
      </w:r>
      <w:r>
        <w:rPr>
          <w:rFonts w:hint="default" w:ascii="Calibri" w:hAnsi="Calibri" w:cs="Calibri"/>
          <w:b/>
        </w:rPr>
        <w:t xml:space="preserve"> </w:t>
      </w:r>
      <w:r>
        <w:rPr>
          <w:rFonts w:hint="default" w:ascii="Calibri" w:hAnsi="Calibri" w:cs="Calibri"/>
        </w:rPr>
        <w:t>Cortex Pay vise à centraliser plusieurs services financiers numériques dans une même plateforme. Dans le schéma retenu, LigdiCash intervient comme agrégateur des paiements Mobile Money, Flutterwave comme fournisseur de cartes virtuelles, tandis que Cortex Pay assure l’orchestration et la gestion de l’expérience utilisateur.</w:t>
      </w:r>
    </w:p>
    <w:p w14:paraId="2BF39D28">
      <w:pPr>
        <w:pStyle w:val="3"/>
        <w:widowControl/>
        <w:rPr>
          <w:rFonts w:hint="default" w:ascii="Calibri" w:hAnsi="Calibri" w:cs="Calibri"/>
        </w:rPr>
      </w:pPr>
      <w:r>
        <w:rPr>
          <w:rFonts w:hint="default" w:ascii="Calibri" w:hAnsi="Calibri" w:cs="Calibri"/>
        </w:rPr>
        <w:t>2.1 Pertinence et potentiel</w:t>
      </w:r>
    </w:p>
    <w:p w14:paraId="56D4FFCB">
      <w:pPr>
        <w:pStyle w:val="33"/>
        <w:widowControl/>
        <w:spacing w:after="40"/>
        <w:rPr>
          <w:rFonts w:hint="default" w:ascii="Calibri" w:hAnsi="Calibri" w:cs="Calibri"/>
        </w:rPr>
      </w:pPr>
      <w:r>
        <w:rPr>
          <w:rFonts w:hint="default" w:ascii="Calibri" w:hAnsi="Calibri" w:cs="Calibri"/>
        </w:rPr>
        <w:t>Le besoin adressé est réel : simplifier l’accès à plusieurs moyens de paiement et éviter aux utilisateurs ou entreprises de multiplier les solutions.</w:t>
      </w:r>
    </w:p>
    <w:p w14:paraId="1FA3BB6E">
      <w:pPr>
        <w:pStyle w:val="33"/>
        <w:widowControl/>
        <w:spacing w:after="40"/>
        <w:rPr>
          <w:rFonts w:hint="default" w:ascii="Calibri" w:hAnsi="Calibri" w:cs="Calibri"/>
        </w:rPr>
      </w:pPr>
      <w:r>
        <w:rPr>
          <w:rFonts w:hint="default" w:ascii="Calibri" w:hAnsi="Calibri" w:cs="Calibri"/>
        </w:rPr>
        <w:t>Cortex Card constitue un produit d’entrée compréhensible et monétisable, notamment pour les paiements internationaux, abonnements et services en ligne.</w:t>
      </w:r>
    </w:p>
    <w:p w14:paraId="7B38ECFC">
      <w:pPr>
        <w:pStyle w:val="33"/>
        <w:widowControl/>
        <w:spacing w:after="40"/>
        <w:rPr>
          <w:rFonts w:hint="default" w:ascii="Calibri" w:hAnsi="Calibri" w:cs="Calibri"/>
        </w:rPr>
      </w:pPr>
      <w:r>
        <w:rPr>
          <w:rFonts w:hint="default" w:ascii="Calibri" w:hAnsi="Calibri" w:cs="Calibri"/>
        </w:rPr>
        <w:t>À moyen terme, le potentiel B2B est important : API de paiement, liens de paiement, widget, tableau de bord marchand et services de reversement.</w:t>
      </w:r>
    </w:p>
    <w:p w14:paraId="54B25CF8">
      <w:pPr>
        <w:pStyle w:val="3"/>
        <w:widowControl/>
        <w:rPr>
          <w:rFonts w:hint="default" w:ascii="Calibri" w:hAnsi="Calibri" w:cs="Calibri"/>
        </w:rPr>
      </w:pPr>
      <w:r>
        <w:rPr>
          <w:rFonts w:hint="default" w:ascii="Calibri" w:hAnsi="Calibri" w:cs="Calibri"/>
        </w:rPr>
        <w:t>2.2 Principaux points forts</w:t>
      </w:r>
    </w:p>
    <w:p w14:paraId="79D5A02C">
      <w:pPr>
        <w:pStyle w:val="33"/>
        <w:widowControl/>
        <w:spacing w:after="40"/>
        <w:rPr>
          <w:rFonts w:hint="default" w:ascii="Calibri" w:hAnsi="Calibri" w:cs="Calibri"/>
        </w:rPr>
      </w:pPr>
      <w:r>
        <w:rPr>
          <w:rFonts w:hint="default" w:ascii="Calibri" w:hAnsi="Calibri" w:cs="Calibri"/>
        </w:rPr>
        <w:t>Architecture produit cohérente : Cortex Pay comme socle, Cortex Card comme premier cas d’usage.</w:t>
      </w:r>
    </w:p>
    <w:p w14:paraId="66ECC255">
      <w:pPr>
        <w:pStyle w:val="33"/>
        <w:widowControl/>
        <w:spacing w:after="40"/>
        <w:rPr>
          <w:rFonts w:hint="default" w:ascii="Calibri" w:hAnsi="Calibri" w:cs="Calibri"/>
        </w:rPr>
      </w:pPr>
      <w:r>
        <w:rPr>
          <w:rFonts w:hint="default" w:ascii="Calibri" w:hAnsi="Calibri" w:cs="Calibri"/>
        </w:rPr>
        <w:t>Recours à des partenaires spécialisés, ce qui réduit le besoin de reconstruire toute l’infrastructure financière.</w:t>
      </w:r>
    </w:p>
    <w:p w14:paraId="1727F1EB">
      <w:pPr>
        <w:pStyle w:val="33"/>
        <w:widowControl/>
        <w:spacing w:after="40"/>
        <w:rPr>
          <w:rFonts w:hint="default" w:ascii="Calibri" w:hAnsi="Calibri" w:cs="Calibri"/>
        </w:rPr>
      </w:pPr>
      <w:r>
        <w:rPr>
          <w:rFonts w:hint="default" w:ascii="Calibri" w:hAnsi="Calibri" w:cs="Calibri"/>
        </w:rPr>
        <w:t>Plusieurs sources de revenus possibles : cartes, recharges, commissions, services marchands et API.</w:t>
      </w:r>
    </w:p>
    <w:p w14:paraId="132DB521">
      <w:pPr>
        <w:pStyle w:val="33"/>
        <w:widowControl/>
        <w:spacing w:after="40"/>
        <w:rPr>
          <w:rFonts w:hint="default" w:ascii="Calibri" w:hAnsi="Calibri" w:cs="Calibri"/>
        </w:rPr>
      </w:pPr>
      <w:r>
        <w:rPr>
          <w:rFonts w:hint="default" w:ascii="Calibri" w:hAnsi="Calibri" w:cs="Calibri"/>
        </w:rPr>
        <w:t>Technologies envisagées adaptées au MVP : React, Django et PostgreSQL.</w:t>
      </w:r>
    </w:p>
    <w:p w14:paraId="6A79F31E">
      <w:pPr>
        <w:pStyle w:val="3"/>
        <w:pageBreakBefore/>
        <w:widowControl/>
        <w:rPr>
          <w:rFonts w:hint="default" w:ascii="Calibri" w:hAnsi="Calibri" w:cs="Calibri"/>
        </w:rPr>
      </w:pPr>
      <w:r>
        <w:rPr>
          <w:rFonts w:hint="default" w:ascii="Calibri" w:hAnsi="Calibri" w:cs="Calibri"/>
        </w:rPr>
        <w:t>2.3 Points de vigilance</w:t>
      </w:r>
    </w:p>
    <w:tbl>
      <w:tblPr>
        <w:tblStyle w:val="35"/>
        <w:tblW w:w="0" w:type="auto"/>
        <w:jc w:val="center"/>
        <w:tblLayout w:type="fixed"/>
        <w:tblCellMar>
          <w:top w:w="0" w:type="dxa"/>
          <w:left w:w="108" w:type="dxa"/>
          <w:bottom w:w="0" w:type="dxa"/>
          <w:right w:w="108" w:type="dxa"/>
        </w:tblCellMar>
      </w:tblPr>
      <w:tblGrid>
        <w:gridCol w:w="2835"/>
        <w:gridCol w:w="6520"/>
      </w:tblGrid>
      <w:tr w14:paraId="681EA9BB">
        <w:trPr>
          <w:jc w:val="center"/>
        </w:trPr>
        <w:tc>
          <w:tcPr>
            <w:tcW w:w="4986" w:type="dxa"/>
            <w:tcBorders>
              <w:bottom w:val="single" w:color="D9E1E8" w:sz="4" w:space="0"/>
            </w:tcBorders>
            <w:shd w:val="clear" w:color="auto" w:fill="F3F5F7"/>
            <w:vAlign w:val="center"/>
          </w:tcPr>
          <w:p w14:paraId="769AD067">
            <w:pPr>
              <w:spacing w:after="0" w:line="252" w:lineRule="auto"/>
              <w:rPr>
                <w:rFonts w:hint="default" w:ascii="Calibri" w:hAnsi="Calibri" w:cs="Calibri"/>
              </w:rPr>
            </w:pPr>
            <w:r>
              <w:rPr>
                <w:rFonts w:hint="default" w:ascii="Calibri" w:hAnsi="Calibri" w:cs="Calibri"/>
                <w:b/>
                <w:color w:val="17365D"/>
                <w:sz w:val="18"/>
              </w:rPr>
              <w:t>Dépendance partenaires</w:t>
            </w:r>
          </w:p>
        </w:tc>
        <w:tc>
          <w:tcPr>
            <w:tcW w:w="4986" w:type="dxa"/>
            <w:tcBorders>
              <w:bottom w:val="single" w:color="D9E1E8" w:sz="4" w:space="0"/>
            </w:tcBorders>
            <w:vAlign w:val="center"/>
          </w:tcPr>
          <w:p w14:paraId="3B484B7E">
            <w:pPr>
              <w:spacing w:after="0" w:line="252" w:lineRule="auto"/>
              <w:rPr>
                <w:rFonts w:hint="default" w:ascii="Calibri" w:hAnsi="Calibri" w:cs="Calibri"/>
              </w:rPr>
            </w:pPr>
            <w:r>
              <w:rPr>
                <w:rFonts w:hint="default" w:ascii="Calibri" w:hAnsi="Calibri" w:cs="Calibri"/>
                <w:color w:val="1F2937"/>
                <w:sz w:val="18"/>
              </w:rPr>
              <w:t>Le service dépend directement des conditions techniques et commerciales de LigdiCash et Flutterwave.</w:t>
            </w:r>
          </w:p>
        </w:tc>
      </w:tr>
      <w:tr w14:paraId="56F52E29">
        <w:tblPrEx>
          <w:tblCellMar>
            <w:top w:w="0" w:type="dxa"/>
            <w:left w:w="108" w:type="dxa"/>
            <w:bottom w:w="0" w:type="dxa"/>
            <w:right w:w="108" w:type="dxa"/>
          </w:tblCellMar>
        </w:tblPrEx>
        <w:trPr>
          <w:jc w:val="center"/>
        </w:trPr>
        <w:tc>
          <w:tcPr>
            <w:tcW w:w="4986" w:type="dxa"/>
            <w:tcBorders>
              <w:bottom w:val="single" w:color="D9E1E8" w:sz="4" w:space="0"/>
            </w:tcBorders>
            <w:shd w:val="clear" w:color="auto" w:fill="F3F5F7"/>
            <w:vAlign w:val="center"/>
          </w:tcPr>
          <w:p w14:paraId="5E1D4922">
            <w:pPr>
              <w:spacing w:after="0" w:line="252" w:lineRule="auto"/>
              <w:rPr>
                <w:rFonts w:hint="default" w:ascii="Calibri" w:hAnsi="Calibri" w:cs="Calibri"/>
              </w:rPr>
            </w:pPr>
            <w:r>
              <w:rPr>
                <w:rFonts w:hint="default" w:ascii="Calibri" w:hAnsi="Calibri" w:cs="Calibri"/>
                <w:b/>
                <w:color w:val="17365D"/>
                <w:sz w:val="18"/>
              </w:rPr>
              <w:t>Économie unitaire</w:t>
            </w:r>
          </w:p>
        </w:tc>
        <w:tc>
          <w:tcPr>
            <w:tcW w:w="4986" w:type="dxa"/>
            <w:tcBorders>
              <w:bottom w:val="single" w:color="D9E1E8" w:sz="4" w:space="0"/>
            </w:tcBorders>
            <w:vAlign w:val="center"/>
          </w:tcPr>
          <w:p w14:paraId="2EE56DBC">
            <w:pPr>
              <w:spacing w:after="0" w:line="252" w:lineRule="auto"/>
              <w:rPr>
                <w:rFonts w:hint="default" w:ascii="Calibri" w:hAnsi="Calibri" w:cs="Calibri"/>
              </w:rPr>
            </w:pPr>
            <w:r>
              <w:rPr>
                <w:rFonts w:hint="default" w:ascii="Calibri" w:hAnsi="Calibri" w:cs="Calibri"/>
                <w:color w:val="1F2937"/>
                <w:sz w:val="18"/>
              </w:rPr>
              <w:t>Les commissions, frais de recharge, coûts de carte et reversements doivent être consolidés avant de valider la rentabilité.</w:t>
            </w:r>
          </w:p>
        </w:tc>
      </w:tr>
      <w:tr w14:paraId="2F4ADF9C">
        <w:tblPrEx>
          <w:tblCellMar>
            <w:top w:w="0" w:type="dxa"/>
            <w:left w:w="108" w:type="dxa"/>
            <w:bottom w:w="0" w:type="dxa"/>
            <w:right w:w="108" w:type="dxa"/>
          </w:tblCellMar>
        </w:tblPrEx>
        <w:trPr>
          <w:jc w:val="center"/>
        </w:trPr>
        <w:tc>
          <w:tcPr>
            <w:tcW w:w="4986" w:type="dxa"/>
            <w:tcBorders>
              <w:bottom w:val="single" w:color="D9E1E8" w:sz="4" w:space="0"/>
            </w:tcBorders>
            <w:shd w:val="clear" w:color="auto" w:fill="F3F5F7"/>
            <w:vAlign w:val="center"/>
          </w:tcPr>
          <w:p w14:paraId="52883792">
            <w:pPr>
              <w:spacing w:after="0" w:line="252" w:lineRule="auto"/>
              <w:rPr>
                <w:rFonts w:hint="default" w:ascii="Calibri" w:hAnsi="Calibri" w:cs="Calibri"/>
              </w:rPr>
            </w:pPr>
            <w:r>
              <w:rPr>
                <w:rFonts w:hint="default" w:ascii="Calibri" w:hAnsi="Calibri" w:cs="Calibri"/>
                <w:b/>
                <w:color w:val="17365D"/>
                <w:sz w:val="18"/>
              </w:rPr>
              <w:t>Traçabilité financière</w:t>
            </w:r>
          </w:p>
        </w:tc>
        <w:tc>
          <w:tcPr>
            <w:tcW w:w="4986" w:type="dxa"/>
            <w:tcBorders>
              <w:bottom w:val="single" w:color="D9E1E8" w:sz="4" w:space="0"/>
            </w:tcBorders>
            <w:vAlign w:val="center"/>
          </w:tcPr>
          <w:p w14:paraId="3155BF68">
            <w:pPr>
              <w:spacing w:after="0" w:line="252" w:lineRule="auto"/>
              <w:rPr>
                <w:rFonts w:hint="default" w:ascii="Calibri" w:hAnsi="Calibri" w:cs="Calibri"/>
              </w:rPr>
            </w:pPr>
            <w:r>
              <w:rPr>
                <w:rFonts w:hint="default" w:ascii="Calibri" w:hAnsi="Calibri" w:cs="Calibri"/>
                <w:color w:val="1F2937"/>
                <w:sz w:val="18"/>
              </w:rPr>
              <w:t>Chaque mouvement d’argent doit être historisé, contrôlable et réconciliable avec les données des partenaires.</w:t>
            </w:r>
          </w:p>
        </w:tc>
      </w:tr>
      <w:tr w14:paraId="3687BB8B">
        <w:tblPrEx>
          <w:tblCellMar>
            <w:top w:w="0" w:type="dxa"/>
            <w:left w:w="108" w:type="dxa"/>
            <w:bottom w:w="0" w:type="dxa"/>
            <w:right w:w="108" w:type="dxa"/>
          </w:tblCellMar>
        </w:tblPrEx>
        <w:trPr>
          <w:jc w:val="center"/>
        </w:trPr>
        <w:tc>
          <w:tcPr>
            <w:tcW w:w="4986" w:type="dxa"/>
            <w:tcBorders>
              <w:bottom w:val="single" w:color="D9E1E8" w:sz="4" w:space="0"/>
            </w:tcBorders>
            <w:shd w:val="clear" w:color="auto" w:fill="F3F5F7"/>
            <w:vAlign w:val="center"/>
          </w:tcPr>
          <w:p w14:paraId="74301D50">
            <w:pPr>
              <w:spacing w:after="0" w:line="252" w:lineRule="auto"/>
              <w:rPr>
                <w:rFonts w:hint="default" w:ascii="Calibri" w:hAnsi="Calibri" w:cs="Calibri"/>
              </w:rPr>
            </w:pPr>
            <w:r>
              <w:rPr>
                <w:rFonts w:hint="default" w:ascii="Calibri" w:hAnsi="Calibri" w:cs="Calibri"/>
                <w:b/>
                <w:color w:val="17365D"/>
                <w:sz w:val="18"/>
              </w:rPr>
              <w:t>Cadre réglementaire</w:t>
            </w:r>
          </w:p>
        </w:tc>
        <w:tc>
          <w:tcPr>
            <w:tcW w:w="4986" w:type="dxa"/>
            <w:tcBorders>
              <w:bottom w:val="single" w:color="D9E1E8" w:sz="4" w:space="0"/>
            </w:tcBorders>
            <w:vAlign w:val="center"/>
          </w:tcPr>
          <w:p w14:paraId="19286008">
            <w:pPr>
              <w:spacing w:after="0" w:line="252" w:lineRule="auto"/>
              <w:rPr>
                <w:rFonts w:hint="default" w:ascii="Calibri" w:hAnsi="Calibri" w:cs="Calibri"/>
              </w:rPr>
            </w:pPr>
            <w:r>
              <w:rPr>
                <w:rFonts w:hint="default" w:ascii="Calibri" w:hAnsi="Calibri" w:cs="Calibri"/>
                <w:color w:val="1F2937"/>
                <w:sz w:val="18"/>
              </w:rPr>
              <w:t>Le projet doit évoluer dans le respect des exigences applicables aux services financiers et aux obligations KYC/AML.</w:t>
            </w:r>
          </w:p>
        </w:tc>
      </w:tr>
      <w:tr w14:paraId="7611E140">
        <w:tblPrEx>
          <w:tblCellMar>
            <w:top w:w="0" w:type="dxa"/>
            <w:left w:w="108" w:type="dxa"/>
            <w:bottom w:w="0" w:type="dxa"/>
            <w:right w:w="108" w:type="dxa"/>
          </w:tblCellMar>
        </w:tblPrEx>
        <w:trPr>
          <w:jc w:val="center"/>
        </w:trPr>
        <w:tc>
          <w:tcPr>
            <w:tcW w:w="4986" w:type="dxa"/>
            <w:tcBorders>
              <w:bottom w:val="single" w:color="D9E1E8" w:sz="4" w:space="0"/>
            </w:tcBorders>
            <w:shd w:val="clear" w:color="auto" w:fill="F3F5F7"/>
            <w:vAlign w:val="center"/>
          </w:tcPr>
          <w:p w14:paraId="14959CF6">
            <w:pPr>
              <w:spacing w:after="0" w:line="252" w:lineRule="auto"/>
              <w:rPr>
                <w:rFonts w:hint="default" w:ascii="Calibri" w:hAnsi="Calibri" w:cs="Calibri"/>
              </w:rPr>
            </w:pPr>
            <w:r>
              <w:rPr>
                <w:rFonts w:hint="default" w:ascii="Calibri" w:hAnsi="Calibri" w:cs="Calibri"/>
                <w:b/>
                <w:color w:val="17365D"/>
                <w:sz w:val="18"/>
              </w:rPr>
              <w:t>Sécurité</w:t>
            </w:r>
          </w:p>
        </w:tc>
        <w:tc>
          <w:tcPr>
            <w:tcW w:w="4986" w:type="dxa"/>
            <w:tcBorders>
              <w:bottom w:val="single" w:color="D9E1E8" w:sz="4" w:space="0"/>
            </w:tcBorders>
            <w:vAlign w:val="center"/>
          </w:tcPr>
          <w:p w14:paraId="70D71F05">
            <w:pPr>
              <w:spacing w:after="0" w:line="252" w:lineRule="auto"/>
              <w:rPr>
                <w:rFonts w:hint="default" w:ascii="Calibri" w:hAnsi="Calibri" w:cs="Calibri"/>
              </w:rPr>
            </w:pPr>
            <w:r>
              <w:rPr>
                <w:rFonts w:hint="default" w:ascii="Calibri" w:hAnsi="Calibri" w:cs="Calibri"/>
                <w:color w:val="1F2937"/>
                <w:sz w:val="18"/>
              </w:rPr>
              <w:t>La sécurité doit être intégrée dès la conception : authentification forte, journalisation, gestion des secrets et contrôle des opérations sensibles.</w:t>
            </w:r>
          </w:p>
        </w:tc>
      </w:tr>
    </w:tbl>
    <w:p w14:paraId="6A6C9F62">
      <w:pPr>
        <w:pStyle w:val="2"/>
        <w:widowControl/>
        <w:rPr>
          <w:rFonts w:hint="default" w:ascii="Calibri" w:hAnsi="Calibri" w:cs="Calibri"/>
        </w:rPr>
      </w:pPr>
      <w:r>
        <w:rPr>
          <w:rFonts w:hint="default" w:ascii="Calibri" w:hAnsi="Calibri" w:cs="Calibri"/>
        </w:rPr>
        <w:t>3. Analyse de Pointo</w:t>
      </w:r>
    </w:p>
    <w:p w14:paraId="3DADDCF4">
      <w:pPr>
        <w:pStyle w:val="164"/>
        <w:widowControl/>
        <w:rPr>
          <w:rFonts w:hint="default" w:ascii="Calibri" w:hAnsi="Calibri" w:cs="Calibri"/>
        </w:rPr>
      </w:pPr>
      <w:r>
        <w:rPr>
          <w:rFonts w:hint="default" w:ascii="Calibri" w:hAnsi="Calibri" w:cs="Calibri"/>
          <w:b/>
        </w:rPr>
        <w:t xml:space="preserve">Positionnement. </w:t>
      </w:r>
      <w:r>
        <w:rPr>
          <w:rFonts w:hint="default" w:ascii="Calibri" w:hAnsi="Calibri" w:cs="Calibri"/>
        </w:rPr>
        <w:t>Pointo est un SaaS de gestion des présences destiné aux entreprises. La démonstration met en évidence un parcours simple : pointage d’arrivée et de départ, photographie, contrôle réseau/IP, historique, statistiques, rapports, configuration des horaires et journal d’activité.</w:t>
      </w:r>
    </w:p>
    <w:p w14:paraId="1CB14509">
      <w:pPr>
        <w:pStyle w:val="3"/>
        <w:widowControl/>
        <w:rPr>
          <w:rFonts w:hint="default" w:ascii="Calibri" w:hAnsi="Calibri" w:cs="Calibri"/>
        </w:rPr>
      </w:pPr>
      <w:r>
        <w:rPr>
          <w:rFonts w:hint="default" w:ascii="Calibri" w:hAnsi="Calibri" w:cs="Calibri"/>
        </w:rPr>
        <w:t>3.1 Pertinence et potentiel</w:t>
      </w:r>
    </w:p>
    <w:p w14:paraId="675F4621">
      <w:pPr>
        <w:pStyle w:val="33"/>
        <w:widowControl/>
        <w:spacing w:after="40"/>
        <w:rPr>
          <w:rFonts w:hint="default" w:ascii="Calibri" w:hAnsi="Calibri" w:cs="Calibri"/>
        </w:rPr>
      </w:pPr>
      <w:r>
        <w:rPr>
          <w:rFonts w:hint="default" w:ascii="Calibri" w:hAnsi="Calibri" w:cs="Calibri"/>
        </w:rPr>
        <w:t>Le besoin est concret, notamment pour les PME utilisant encore des feuilles de présence, fichiers Excel ou contrôles manuels.</w:t>
      </w:r>
    </w:p>
    <w:p w14:paraId="303CA5C7">
      <w:pPr>
        <w:pStyle w:val="33"/>
        <w:widowControl/>
        <w:spacing w:after="40"/>
        <w:rPr>
          <w:rFonts w:hint="default" w:ascii="Calibri" w:hAnsi="Calibri" w:cs="Calibri"/>
        </w:rPr>
      </w:pPr>
      <w:r>
        <w:rPr>
          <w:rFonts w:hint="default" w:ascii="Calibri" w:hAnsi="Calibri" w:cs="Calibri"/>
        </w:rPr>
        <w:t>Le produit est simple à comprendre et peut être déployé sans infrastructure physique de pointage lourde.</w:t>
      </w:r>
    </w:p>
    <w:p w14:paraId="74A747DF">
      <w:pPr>
        <w:pStyle w:val="33"/>
        <w:widowControl/>
        <w:spacing w:after="40"/>
        <w:rPr>
          <w:rFonts w:hint="default" w:ascii="Calibri" w:hAnsi="Calibri" w:cs="Calibri"/>
        </w:rPr>
      </w:pPr>
      <w:r>
        <w:rPr>
          <w:rFonts w:hint="default" w:ascii="Calibri" w:hAnsi="Calibri" w:cs="Calibri"/>
        </w:rPr>
        <w:t>Le potentiel d’évolution est intéressant autour des retards, absences, congés, heures supplémentaires, corrections de pointage et exports vers la paie.</w:t>
      </w:r>
    </w:p>
    <w:p w14:paraId="7A7AFA15">
      <w:pPr>
        <w:pStyle w:val="3"/>
        <w:widowControl/>
        <w:rPr>
          <w:rFonts w:hint="default" w:ascii="Calibri" w:hAnsi="Calibri" w:cs="Calibri"/>
        </w:rPr>
      </w:pPr>
      <w:r>
        <w:rPr>
          <w:rFonts w:hint="default" w:ascii="Calibri" w:hAnsi="Calibri" w:cs="Calibri"/>
        </w:rPr>
        <w:t>3.2 Principaux points forts</w:t>
      </w:r>
    </w:p>
    <w:p w14:paraId="0B4E43FF">
      <w:pPr>
        <w:pStyle w:val="33"/>
        <w:widowControl/>
        <w:spacing w:after="40"/>
        <w:rPr>
          <w:rFonts w:hint="default" w:ascii="Calibri" w:hAnsi="Calibri" w:cs="Calibri"/>
        </w:rPr>
      </w:pPr>
      <w:r>
        <w:rPr>
          <w:rFonts w:hint="default" w:ascii="Calibri" w:hAnsi="Calibri" w:cs="Calibri"/>
        </w:rPr>
        <w:t>Interface claire avec espaces employé et administrateur.</w:t>
      </w:r>
    </w:p>
    <w:p w14:paraId="5B28896E">
      <w:pPr>
        <w:pStyle w:val="33"/>
        <w:widowControl/>
        <w:spacing w:after="40"/>
        <w:rPr>
          <w:rFonts w:hint="default" w:ascii="Calibri" w:hAnsi="Calibri" w:cs="Calibri"/>
        </w:rPr>
      </w:pPr>
      <w:r>
        <w:rPr>
          <w:rFonts w:hint="default" w:ascii="Calibri" w:hAnsi="Calibri" w:cs="Calibri"/>
        </w:rPr>
        <w:t>Combinaison de plusieurs preuves de présence : compte, heure système, photo, réseau/IP et journalisation.</w:t>
      </w:r>
    </w:p>
    <w:p w14:paraId="2635CB3B">
      <w:pPr>
        <w:pStyle w:val="33"/>
        <w:widowControl/>
        <w:spacing w:after="40"/>
        <w:rPr>
          <w:rFonts w:hint="default" w:ascii="Calibri" w:hAnsi="Calibri" w:cs="Calibri"/>
        </w:rPr>
      </w:pPr>
      <w:r>
        <w:rPr>
          <w:rFonts w:hint="default" w:ascii="Calibri" w:hAnsi="Calibri" w:cs="Calibri"/>
        </w:rPr>
        <w:t>Fonctions déjà utiles en entreprise : statistiques, rapports, exports, départements et horaires.</w:t>
      </w:r>
    </w:p>
    <w:p w14:paraId="5EFB33EE">
      <w:pPr>
        <w:pStyle w:val="33"/>
        <w:widowControl/>
        <w:spacing w:after="40"/>
        <w:rPr>
          <w:rFonts w:hint="default" w:ascii="Calibri" w:hAnsi="Calibri" w:cs="Calibri"/>
        </w:rPr>
      </w:pPr>
      <w:r>
        <w:rPr>
          <w:rFonts w:hint="default" w:ascii="Calibri" w:hAnsi="Calibri" w:cs="Calibri"/>
        </w:rPr>
        <w:t>Produit suffisamment avancé pour envisager rapidement des pilotes clients.</w:t>
      </w:r>
    </w:p>
    <w:p w14:paraId="22E167CC">
      <w:pPr>
        <w:pStyle w:val="3"/>
        <w:pageBreakBefore/>
        <w:widowControl/>
        <w:rPr>
          <w:rFonts w:hint="default" w:ascii="Calibri" w:hAnsi="Calibri" w:cs="Calibri"/>
        </w:rPr>
      </w:pPr>
      <w:r>
        <w:rPr>
          <w:rFonts w:hint="default" w:ascii="Calibri" w:hAnsi="Calibri" w:cs="Calibri"/>
        </w:rPr>
        <w:t>3.3 Points de vigilance</w:t>
      </w:r>
    </w:p>
    <w:tbl>
      <w:tblPr>
        <w:tblStyle w:val="35"/>
        <w:tblW w:w="0" w:type="auto"/>
        <w:jc w:val="center"/>
        <w:tblLayout w:type="fixed"/>
        <w:tblCellMar>
          <w:top w:w="0" w:type="dxa"/>
          <w:left w:w="108" w:type="dxa"/>
          <w:bottom w:w="0" w:type="dxa"/>
          <w:right w:w="108" w:type="dxa"/>
        </w:tblCellMar>
      </w:tblPr>
      <w:tblGrid>
        <w:gridCol w:w="2835"/>
        <w:gridCol w:w="6520"/>
      </w:tblGrid>
      <w:tr w14:paraId="115FBBEE">
        <w:tblPrEx>
          <w:tblCellMar>
            <w:top w:w="0" w:type="dxa"/>
            <w:left w:w="108" w:type="dxa"/>
            <w:bottom w:w="0" w:type="dxa"/>
            <w:right w:w="108" w:type="dxa"/>
          </w:tblCellMar>
        </w:tblPrEx>
        <w:trPr>
          <w:jc w:val="center"/>
        </w:trPr>
        <w:tc>
          <w:tcPr>
            <w:tcW w:w="2835" w:type="dxa"/>
            <w:tcBorders>
              <w:bottom w:val="single" w:color="D9E1E8" w:sz="4" w:space="0"/>
            </w:tcBorders>
            <w:shd w:val="clear" w:color="auto" w:fill="F3F5F7"/>
            <w:vAlign w:val="center"/>
          </w:tcPr>
          <w:p w14:paraId="4BFC0CE0">
            <w:pPr>
              <w:spacing w:after="0" w:line="252" w:lineRule="auto"/>
              <w:rPr>
                <w:rFonts w:hint="default" w:ascii="Calibri" w:hAnsi="Calibri" w:cs="Calibri"/>
              </w:rPr>
            </w:pPr>
            <w:r>
              <w:rPr>
                <w:rFonts w:hint="default" w:ascii="Calibri" w:hAnsi="Calibri" w:cs="Calibri"/>
                <w:b/>
                <w:color w:val="17365D"/>
                <w:sz w:val="18"/>
              </w:rPr>
              <w:t>Multi-entreprises</w:t>
            </w:r>
          </w:p>
        </w:tc>
        <w:tc>
          <w:tcPr>
            <w:tcW w:w="6520" w:type="dxa"/>
            <w:tcBorders>
              <w:bottom w:val="single" w:color="D9E1E8" w:sz="4" w:space="0"/>
            </w:tcBorders>
            <w:vAlign w:val="center"/>
          </w:tcPr>
          <w:p w14:paraId="5706CBA3">
            <w:pPr>
              <w:spacing w:after="0" w:line="252" w:lineRule="auto"/>
              <w:rPr>
                <w:rFonts w:hint="default" w:ascii="Calibri" w:hAnsi="Calibri" w:cs="Calibri"/>
              </w:rPr>
            </w:pPr>
            <w:r>
              <w:rPr>
                <w:rFonts w:hint="default" w:ascii="Calibri" w:hAnsi="Calibri" w:cs="Calibri"/>
                <w:color w:val="1F2937"/>
                <w:sz w:val="18"/>
              </w:rPr>
              <w:t>L’isolation des données entre sociétés doit être vérifiée directement dans le backend et les API.</w:t>
            </w:r>
          </w:p>
        </w:tc>
      </w:tr>
      <w:tr w14:paraId="57F15BC4">
        <w:tblPrEx>
          <w:tblCellMar>
            <w:top w:w="0" w:type="dxa"/>
            <w:left w:w="108" w:type="dxa"/>
            <w:bottom w:w="0" w:type="dxa"/>
            <w:right w:w="108" w:type="dxa"/>
          </w:tblCellMar>
        </w:tblPrEx>
        <w:trPr>
          <w:jc w:val="center"/>
        </w:trPr>
        <w:tc>
          <w:tcPr>
            <w:tcW w:w="2835" w:type="dxa"/>
            <w:tcBorders>
              <w:bottom w:val="single" w:color="D9E1E8" w:sz="4" w:space="0"/>
            </w:tcBorders>
            <w:shd w:val="clear" w:color="auto" w:fill="F3F5F7"/>
            <w:vAlign w:val="center"/>
          </w:tcPr>
          <w:p w14:paraId="23FFB7C3">
            <w:pPr>
              <w:spacing w:after="0" w:line="252" w:lineRule="auto"/>
              <w:rPr>
                <w:rFonts w:hint="default" w:ascii="Calibri" w:hAnsi="Calibri" w:cs="Calibri"/>
              </w:rPr>
            </w:pPr>
            <w:r>
              <w:rPr>
                <w:rFonts w:hint="default" w:ascii="Calibri" w:hAnsi="Calibri" w:cs="Calibri"/>
                <w:b/>
                <w:color w:val="17365D"/>
                <w:sz w:val="18"/>
              </w:rPr>
              <w:t>Permissions</w:t>
            </w:r>
          </w:p>
        </w:tc>
        <w:tc>
          <w:tcPr>
            <w:tcW w:w="6520" w:type="dxa"/>
            <w:tcBorders>
              <w:bottom w:val="single" w:color="D9E1E8" w:sz="4" w:space="0"/>
            </w:tcBorders>
            <w:vAlign w:val="center"/>
          </w:tcPr>
          <w:p w14:paraId="5377E7FB">
            <w:pPr>
              <w:spacing w:after="0" w:line="252" w:lineRule="auto"/>
              <w:rPr>
                <w:rFonts w:hint="default" w:ascii="Calibri" w:hAnsi="Calibri" w:cs="Calibri"/>
              </w:rPr>
            </w:pPr>
            <w:r>
              <w:rPr>
                <w:rFonts w:hint="default" w:ascii="Calibri" w:hAnsi="Calibri" w:cs="Calibri"/>
                <w:color w:val="1F2937"/>
                <w:sz w:val="18"/>
              </w:rPr>
              <w:t>Un employé ou administrateur ne doit jamais pouvoir accéder à des données qu’il n’est pas autorisé à consulter.</w:t>
            </w:r>
          </w:p>
        </w:tc>
      </w:tr>
      <w:tr w14:paraId="4374E8CE">
        <w:tblPrEx>
          <w:tblCellMar>
            <w:top w:w="0" w:type="dxa"/>
            <w:left w:w="108" w:type="dxa"/>
            <w:bottom w:w="0" w:type="dxa"/>
            <w:right w:w="108" w:type="dxa"/>
          </w:tblCellMar>
        </w:tblPrEx>
        <w:trPr>
          <w:jc w:val="center"/>
        </w:trPr>
        <w:tc>
          <w:tcPr>
            <w:tcW w:w="2835" w:type="dxa"/>
            <w:tcBorders>
              <w:bottom w:val="single" w:color="D9E1E8" w:sz="4" w:space="0"/>
            </w:tcBorders>
            <w:shd w:val="clear" w:color="auto" w:fill="F3F5F7"/>
            <w:vAlign w:val="center"/>
          </w:tcPr>
          <w:p w14:paraId="21BF0FBF">
            <w:pPr>
              <w:spacing w:after="0" w:line="252" w:lineRule="auto"/>
              <w:rPr>
                <w:rFonts w:hint="default" w:ascii="Calibri" w:hAnsi="Calibri" w:cs="Calibri"/>
              </w:rPr>
            </w:pPr>
            <w:r>
              <w:rPr>
                <w:rFonts w:hint="default" w:ascii="Calibri" w:hAnsi="Calibri" w:cs="Calibri"/>
                <w:b/>
                <w:color w:val="17365D"/>
                <w:sz w:val="18"/>
              </w:rPr>
              <w:t>Photographies</w:t>
            </w:r>
          </w:p>
        </w:tc>
        <w:tc>
          <w:tcPr>
            <w:tcW w:w="6520" w:type="dxa"/>
            <w:tcBorders>
              <w:bottom w:val="single" w:color="D9E1E8" w:sz="4" w:space="0"/>
            </w:tcBorders>
            <w:vAlign w:val="center"/>
          </w:tcPr>
          <w:p w14:paraId="601C7D0C">
            <w:pPr>
              <w:spacing w:after="0" w:line="252" w:lineRule="auto"/>
              <w:rPr>
                <w:rFonts w:hint="default" w:ascii="Calibri" w:hAnsi="Calibri" w:cs="Calibri"/>
              </w:rPr>
            </w:pPr>
            <w:r>
              <w:rPr>
                <w:rFonts w:hint="default" w:ascii="Calibri" w:hAnsi="Calibri" w:cs="Calibri"/>
                <w:color w:val="1F2937"/>
                <w:sz w:val="18"/>
              </w:rPr>
              <w:t>Les photos doivent être stockées de manière privée, avec une politique claire de conservation et de suppression.</w:t>
            </w:r>
          </w:p>
        </w:tc>
      </w:tr>
      <w:tr w14:paraId="6007AB5E">
        <w:tblPrEx>
          <w:tblCellMar>
            <w:top w:w="0" w:type="dxa"/>
            <w:left w:w="108" w:type="dxa"/>
            <w:bottom w:w="0" w:type="dxa"/>
            <w:right w:w="108" w:type="dxa"/>
          </w:tblCellMar>
        </w:tblPrEx>
        <w:trPr>
          <w:jc w:val="center"/>
        </w:trPr>
        <w:tc>
          <w:tcPr>
            <w:tcW w:w="2835" w:type="dxa"/>
            <w:tcBorders>
              <w:bottom w:val="single" w:color="D9E1E8" w:sz="4" w:space="0"/>
            </w:tcBorders>
            <w:shd w:val="clear" w:color="auto" w:fill="F3F5F7"/>
            <w:vAlign w:val="center"/>
          </w:tcPr>
          <w:p w14:paraId="6C5BE0B9">
            <w:pPr>
              <w:spacing w:after="0" w:line="252" w:lineRule="auto"/>
              <w:rPr>
                <w:rFonts w:hint="default" w:ascii="Calibri" w:hAnsi="Calibri" w:cs="Calibri"/>
              </w:rPr>
            </w:pPr>
            <w:r>
              <w:rPr>
                <w:rFonts w:hint="default" w:ascii="Calibri" w:hAnsi="Calibri" w:cs="Calibri"/>
                <w:b/>
                <w:color w:val="17365D"/>
                <w:sz w:val="18"/>
              </w:rPr>
              <w:t>Environnement production</w:t>
            </w:r>
          </w:p>
        </w:tc>
        <w:tc>
          <w:tcPr>
            <w:tcW w:w="6520" w:type="dxa"/>
            <w:tcBorders>
              <w:bottom w:val="single" w:color="D9E1E8" w:sz="4" w:space="0"/>
            </w:tcBorders>
            <w:vAlign w:val="center"/>
          </w:tcPr>
          <w:p w14:paraId="489C73EA">
            <w:pPr>
              <w:spacing w:after="0" w:line="252" w:lineRule="auto"/>
              <w:rPr>
                <w:rFonts w:hint="default" w:ascii="Calibri" w:hAnsi="Calibri" w:cs="Calibri"/>
              </w:rPr>
            </w:pPr>
            <w:r>
              <w:rPr>
                <w:rFonts w:hint="default" w:ascii="Calibri" w:hAnsi="Calibri" w:cs="Calibri"/>
                <w:color w:val="1F2937"/>
                <w:sz w:val="18"/>
              </w:rPr>
              <w:t>Les comptes et raccourcis de démonstration visibles pendant le développement doivent être absents en production.</w:t>
            </w:r>
          </w:p>
        </w:tc>
      </w:tr>
    </w:tbl>
    <w:p w14:paraId="37908B82">
      <w:pPr>
        <w:pStyle w:val="2"/>
        <w:widowControl/>
        <w:rPr>
          <w:rFonts w:hint="default" w:ascii="Calibri" w:hAnsi="Calibri" w:cs="Calibri"/>
        </w:rPr>
      </w:pPr>
      <w:r>
        <w:rPr>
          <w:rFonts w:hint="default" w:ascii="Calibri" w:hAnsi="Calibri" w:cs="Calibri"/>
        </w:rPr>
        <w:t>4. Comparaison et orientation générale</w:t>
      </w:r>
    </w:p>
    <w:tbl>
      <w:tblPr>
        <w:tblStyle w:val="35"/>
        <w:tblW w:w="0" w:type="auto"/>
        <w:jc w:val="center"/>
        <w:tblLayout w:type="fixed"/>
        <w:tblCellMar>
          <w:top w:w="0" w:type="dxa"/>
          <w:left w:w="108" w:type="dxa"/>
          <w:bottom w:w="0" w:type="dxa"/>
          <w:right w:w="108" w:type="dxa"/>
        </w:tblCellMar>
      </w:tblPr>
      <w:tblGrid>
        <w:gridCol w:w="3118"/>
        <w:gridCol w:w="3118"/>
        <w:gridCol w:w="3118"/>
      </w:tblGrid>
      <w:tr w14:paraId="0997E8C8">
        <w:tblPrEx>
          <w:tblCellMar>
            <w:top w:w="0" w:type="dxa"/>
            <w:left w:w="108" w:type="dxa"/>
            <w:bottom w:w="0" w:type="dxa"/>
            <w:right w:w="108" w:type="dxa"/>
          </w:tblCellMar>
        </w:tblPrEx>
        <w:trPr>
          <w:jc w:val="center"/>
        </w:trPr>
        <w:tc>
          <w:tcPr>
            <w:tcW w:w="3118" w:type="dxa"/>
            <w:shd w:val="clear" w:color="auto" w:fill="17365D"/>
          </w:tcPr>
          <w:p w14:paraId="1EDED3A4">
            <w:pPr>
              <w:spacing w:after="0" w:line="252" w:lineRule="auto"/>
              <w:jc w:val="center"/>
              <w:rPr>
                <w:rFonts w:hint="default" w:ascii="Calibri" w:hAnsi="Calibri" w:cs="Calibri"/>
              </w:rPr>
            </w:pPr>
            <w:r>
              <w:rPr>
                <w:rFonts w:hint="default" w:ascii="Calibri" w:hAnsi="Calibri" w:cs="Calibri"/>
                <w:b/>
                <w:color w:val="FFFFFF"/>
                <w:sz w:val="18"/>
              </w:rPr>
              <w:t>Critère</w:t>
            </w:r>
          </w:p>
        </w:tc>
        <w:tc>
          <w:tcPr>
            <w:tcW w:w="3118" w:type="dxa"/>
            <w:shd w:val="clear" w:color="auto" w:fill="17365D"/>
          </w:tcPr>
          <w:p w14:paraId="6861B374">
            <w:pPr>
              <w:spacing w:after="0" w:line="252" w:lineRule="auto"/>
              <w:jc w:val="center"/>
              <w:rPr>
                <w:rFonts w:hint="default" w:ascii="Calibri" w:hAnsi="Calibri" w:cs="Calibri"/>
              </w:rPr>
            </w:pPr>
            <w:r>
              <w:rPr>
                <w:rFonts w:hint="default" w:ascii="Calibri" w:hAnsi="Calibri" w:cs="Calibri"/>
                <w:b/>
                <w:color w:val="FFFFFF"/>
                <w:sz w:val="18"/>
              </w:rPr>
              <w:t>Cortex Pay</w:t>
            </w:r>
          </w:p>
        </w:tc>
        <w:tc>
          <w:tcPr>
            <w:tcW w:w="3118" w:type="dxa"/>
            <w:shd w:val="clear" w:color="auto" w:fill="17365D"/>
          </w:tcPr>
          <w:p w14:paraId="3BCA300A">
            <w:pPr>
              <w:spacing w:after="0" w:line="252" w:lineRule="auto"/>
              <w:jc w:val="center"/>
              <w:rPr>
                <w:rFonts w:hint="default" w:ascii="Calibri" w:hAnsi="Calibri" w:cs="Calibri"/>
              </w:rPr>
            </w:pPr>
            <w:r>
              <w:rPr>
                <w:rFonts w:hint="default" w:ascii="Calibri" w:hAnsi="Calibri" w:cs="Calibri"/>
                <w:b/>
                <w:color w:val="FFFFFF"/>
                <w:sz w:val="18"/>
              </w:rPr>
              <w:t>Pointo</w:t>
            </w:r>
          </w:p>
        </w:tc>
      </w:tr>
      <w:tr w14:paraId="28C6B26C">
        <w:tblPrEx>
          <w:tblCellMar>
            <w:top w:w="0" w:type="dxa"/>
            <w:left w:w="108" w:type="dxa"/>
            <w:bottom w:w="0" w:type="dxa"/>
            <w:right w:w="108" w:type="dxa"/>
          </w:tblCellMar>
        </w:tblPrEx>
        <w:trPr>
          <w:jc w:val="center"/>
        </w:trPr>
        <w:tc>
          <w:tcPr>
            <w:tcW w:w="3118" w:type="dxa"/>
            <w:tcBorders>
              <w:left w:val="single" w:color="D9E1E8" w:sz="2" w:space="0"/>
              <w:bottom w:val="single" w:color="D9E1E8" w:sz="4" w:space="0"/>
              <w:right w:val="single" w:color="D9E1E8" w:sz="2" w:space="0"/>
            </w:tcBorders>
            <w:vAlign w:val="center"/>
          </w:tcPr>
          <w:p w14:paraId="01794B01">
            <w:pPr>
              <w:spacing w:after="0" w:line="252" w:lineRule="auto"/>
              <w:jc w:val="left"/>
              <w:rPr>
                <w:rFonts w:hint="default" w:ascii="Calibri" w:hAnsi="Calibri" w:cs="Calibri"/>
              </w:rPr>
            </w:pPr>
            <w:r>
              <w:rPr>
                <w:rFonts w:hint="default" w:ascii="Calibri" w:hAnsi="Calibri" w:cs="Calibri"/>
                <w:b/>
                <w:color w:val="1F2937"/>
                <w:sz w:val="18"/>
              </w:rPr>
              <w:t>Potentiel</w:t>
            </w:r>
          </w:p>
        </w:tc>
        <w:tc>
          <w:tcPr>
            <w:tcW w:w="3118" w:type="dxa"/>
            <w:tcBorders>
              <w:left w:val="single" w:color="D9E1E8" w:sz="2" w:space="0"/>
              <w:bottom w:val="single" w:color="D9E1E8" w:sz="4" w:space="0"/>
              <w:right w:val="single" w:color="D9E1E8" w:sz="2" w:space="0"/>
            </w:tcBorders>
            <w:vAlign w:val="center"/>
          </w:tcPr>
          <w:p w14:paraId="6DBF5252">
            <w:pPr>
              <w:spacing w:after="0" w:line="252" w:lineRule="auto"/>
              <w:jc w:val="center"/>
              <w:rPr>
                <w:rFonts w:hint="default" w:ascii="Calibri" w:hAnsi="Calibri" w:cs="Calibri"/>
              </w:rPr>
            </w:pPr>
            <w:r>
              <w:rPr>
                <w:rFonts w:hint="default" w:ascii="Calibri" w:hAnsi="Calibri" w:cs="Calibri"/>
                <w:b w:val="0"/>
                <w:color w:val="1F2937"/>
                <w:sz w:val="18"/>
              </w:rPr>
              <w:t>Très élevé</w:t>
            </w:r>
          </w:p>
        </w:tc>
        <w:tc>
          <w:tcPr>
            <w:tcW w:w="3118" w:type="dxa"/>
            <w:tcBorders>
              <w:left w:val="single" w:color="D9E1E8" w:sz="2" w:space="0"/>
              <w:bottom w:val="single" w:color="D9E1E8" w:sz="4" w:space="0"/>
              <w:right w:val="single" w:color="D9E1E8" w:sz="2" w:space="0"/>
            </w:tcBorders>
            <w:vAlign w:val="center"/>
          </w:tcPr>
          <w:p w14:paraId="58E2163C">
            <w:pPr>
              <w:spacing w:after="0" w:line="252" w:lineRule="auto"/>
              <w:jc w:val="center"/>
              <w:rPr>
                <w:rFonts w:hint="default" w:ascii="Calibri" w:hAnsi="Calibri" w:cs="Calibri"/>
              </w:rPr>
            </w:pPr>
            <w:r>
              <w:rPr>
                <w:rFonts w:hint="default" w:ascii="Calibri" w:hAnsi="Calibri" w:cs="Calibri"/>
                <w:b w:val="0"/>
                <w:color w:val="1F2937"/>
                <w:sz w:val="18"/>
              </w:rPr>
              <w:t>Élevé</w:t>
            </w:r>
          </w:p>
        </w:tc>
      </w:tr>
      <w:tr w14:paraId="4CF1DE25">
        <w:tblPrEx>
          <w:tblCellMar>
            <w:top w:w="0" w:type="dxa"/>
            <w:left w:w="108" w:type="dxa"/>
            <w:bottom w:w="0" w:type="dxa"/>
            <w:right w:w="108" w:type="dxa"/>
          </w:tblCellMar>
        </w:tblPrEx>
        <w:trPr>
          <w:jc w:val="center"/>
        </w:trPr>
        <w:tc>
          <w:tcPr>
            <w:tcW w:w="3118" w:type="dxa"/>
            <w:tcBorders>
              <w:left w:val="single" w:color="D9E1E8" w:sz="2" w:space="0"/>
              <w:bottom w:val="single" w:color="D9E1E8" w:sz="4" w:space="0"/>
              <w:right w:val="single" w:color="D9E1E8" w:sz="2" w:space="0"/>
            </w:tcBorders>
            <w:shd w:val="clear" w:color="auto" w:fill="F3F5F7"/>
            <w:vAlign w:val="center"/>
          </w:tcPr>
          <w:p w14:paraId="543FF7EB">
            <w:pPr>
              <w:spacing w:after="0" w:line="252" w:lineRule="auto"/>
              <w:jc w:val="left"/>
              <w:rPr>
                <w:rFonts w:hint="default" w:ascii="Calibri" w:hAnsi="Calibri" w:cs="Calibri"/>
              </w:rPr>
            </w:pPr>
            <w:r>
              <w:rPr>
                <w:rFonts w:hint="default" w:ascii="Calibri" w:hAnsi="Calibri" w:cs="Calibri"/>
                <w:b/>
                <w:color w:val="1F2937"/>
                <w:sz w:val="18"/>
              </w:rPr>
              <w:t>Complexité</w:t>
            </w:r>
          </w:p>
        </w:tc>
        <w:tc>
          <w:tcPr>
            <w:tcW w:w="3118" w:type="dxa"/>
            <w:tcBorders>
              <w:left w:val="single" w:color="D9E1E8" w:sz="2" w:space="0"/>
              <w:bottom w:val="single" w:color="D9E1E8" w:sz="4" w:space="0"/>
              <w:right w:val="single" w:color="D9E1E8" w:sz="2" w:space="0"/>
            </w:tcBorders>
            <w:shd w:val="clear" w:color="auto" w:fill="F3F5F7"/>
            <w:vAlign w:val="center"/>
          </w:tcPr>
          <w:p w14:paraId="13335125">
            <w:pPr>
              <w:spacing w:after="0" w:line="252" w:lineRule="auto"/>
              <w:jc w:val="center"/>
              <w:rPr>
                <w:rFonts w:hint="default" w:ascii="Calibri" w:hAnsi="Calibri" w:cs="Calibri"/>
              </w:rPr>
            </w:pPr>
            <w:r>
              <w:rPr>
                <w:rFonts w:hint="default" w:ascii="Calibri" w:hAnsi="Calibri" w:cs="Calibri"/>
                <w:b w:val="0"/>
                <w:color w:val="1F2937"/>
                <w:sz w:val="18"/>
              </w:rPr>
              <w:t>Très élevée</w:t>
            </w:r>
          </w:p>
        </w:tc>
        <w:tc>
          <w:tcPr>
            <w:tcW w:w="3118" w:type="dxa"/>
            <w:tcBorders>
              <w:left w:val="single" w:color="D9E1E8" w:sz="2" w:space="0"/>
              <w:bottom w:val="single" w:color="D9E1E8" w:sz="4" w:space="0"/>
              <w:right w:val="single" w:color="D9E1E8" w:sz="2" w:space="0"/>
            </w:tcBorders>
            <w:shd w:val="clear" w:color="auto" w:fill="F3F5F7"/>
            <w:vAlign w:val="center"/>
          </w:tcPr>
          <w:p w14:paraId="74FC195B">
            <w:pPr>
              <w:spacing w:after="0" w:line="252" w:lineRule="auto"/>
              <w:jc w:val="center"/>
              <w:rPr>
                <w:rFonts w:hint="default" w:ascii="Calibri" w:hAnsi="Calibri" w:cs="Calibri"/>
              </w:rPr>
            </w:pPr>
            <w:r>
              <w:rPr>
                <w:rFonts w:hint="default" w:ascii="Calibri" w:hAnsi="Calibri" w:cs="Calibri"/>
                <w:b w:val="0"/>
                <w:color w:val="1F2937"/>
                <w:sz w:val="18"/>
              </w:rPr>
              <w:t>Moyenne</w:t>
            </w:r>
          </w:p>
        </w:tc>
      </w:tr>
      <w:tr w14:paraId="0C0579B8">
        <w:tblPrEx>
          <w:tblCellMar>
            <w:top w:w="0" w:type="dxa"/>
            <w:left w:w="108" w:type="dxa"/>
            <w:bottom w:w="0" w:type="dxa"/>
            <w:right w:w="108" w:type="dxa"/>
          </w:tblCellMar>
        </w:tblPrEx>
        <w:trPr>
          <w:jc w:val="center"/>
        </w:trPr>
        <w:tc>
          <w:tcPr>
            <w:tcW w:w="3118" w:type="dxa"/>
            <w:tcBorders>
              <w:left w:val="single" w:color="D9E1E8" w:sz="2" w:space="0"/>
              <w:bottom w:val="single" w:color="D9E1E8" w:sz="4" w:space="0"/>
              <w:right w:val="single" w:color="D9E1E8" w:sz="2" w:space="0"/>
            </w:tcBorders>
            <w:vAlign w:val="center"/>
          </w:tcPr>
          <w:p w14:paraId="3442DF67">
            <w:pPr>
              <w:spacing w:after="0" w:line="252" w:lineRule="auto"/>
              <w:jc w:val="left"/>
              <w:rPr>
                <w:rFonts w:hint="default" w:ascii="Calibri" w:hAnsi="Calibri" w:cs="Calibri"/>
              </w:rPr>
            </w:pPr>
            <w:r>
              <w:rPr>
                <w:rFonts w:hint="default" w:ascii="Calibri" w:hAnsi="Calibri" w:cs="Calibri"/>
                <w:b/>
                <w:color w:val="1F2937"/>
                <w:sz w:val="18"/>
              </w:rPr>
              <w:t>Risque technique</w:t>
            </w:r>
          </w:p>
        </w:tc>
        <w:tc>
          <w:tcPr>
            <w:tcW w:w="3118" w:type="dxa"/>
            <w:tcBorders>
              <w:left w:val="single" w:color="D9E1E8" w:sz="2" w:space="0"/>
              <w:bottom w:val="single" w:color="D9E1E8" w:sz="4" w:space="0"/>
              <w:right w:val="single" w:color="D9E1E8" w:sz="2" w:space="0"/>
            </w:tcBorders>
            <w:vAlign w:val="center"/>
          </w:tcPr>
          <w:p w14:paraId="770C07EC">
            <w:pPr>
              <w:spacing w:after="0" w:line="252" w:lineRule="auto"/>
              <w:jc w:val="center"/>
              <w:rPr>
                <w:rFonts w:hint="default" w:ascii="Calibri" w:hAnsi="Calibri" w:cs="Calibri"/>
              </w:rPr>
            </w:pPr>
            <w:r>
              <w:rPr>
                <w:rFonts w:hint="default" w:ascii="Calibri" w:hAnsi="Calibri" w:cs="Calibri"/>
                <w:b w:val="0"/>
                <w:color w:val="1F2937"/>
                <w:sz w:val="18"/>
              </w:rPr>
              <w:t>Élevé</w:t>
            </w:r>
          </w:p>
        </w:tc>
        <w:tc>
          <w:tcPr>
            <w:tcW w:w="3118" w:type="dxa"/>
            <w:tcBorders>
              <w:left w:val="single" w:color="D9E1E8" w:sz="2" w:space="0"/>
              <w:bottom w:val="single" w:color="D9E1E8" w:sz="4" w:space="0"/>
              <w:right w:val="single" w:color="D9E1E8" w:sz="2" w:space="0"/>
            </w:tcBorders>
            <w:vAlign w:val="center"/>
          </w:tcPr>
          <w:p w14:paraId="6D7E926C">
            <w:pPr>
              <w:spacing w:after="0" w:line="252" w:lineRule="auto"/>
              <w:jc w:val="center"/>
              <w:rPr>
                <w:rFonts w:hint="default" w:ascii="Calibri" w:hAnsi="Calibri" w:cs="Calibri"/>
              </w:rPr>
            </w:pPr>
            <w:r>
              <w:rPr>
                <w:rFonts w:hint="default" w:ascii="Calibri" w:hAnsi="Calibri" w:cs="Calibri"/>
                <w:b w:val="0"/>
                <w:color w:val="1F2937"/>
                <w:sz w:val="18"/>
              </w:rPr>
              <w:t>Moyen</w:t>
            </w:r>
          </w:p>
        </w:tc>
      </w:tr>
      <w:tr w14:paraId="0B85E75B">
        <w:tblPrEx>
          <w:tblCellMar>
            <w:top w:w="0" w:type="dxa"/>
            <w:left w:w="108" w:type="dxa"/>
            <w:bottom w:w="0" w:type="dxa"/>
            <w:right w:w="108" w:type="dxa"/>
          </w:tblCellMar>
        </w:tblPrEx>
        <w:trPr>
          <w:jc w:val="center"/>
        </w:trPr>
        <w:tc>
          <w:tcPr>
            <w:tcW w:w="3118" w:type="dxa"/>
            <w:tcBorders>
              <w:left w:val="single" w:color="D9E1E8" w:sz="2" w:space="0"/>
              <w:bottom w:val="single" w:color="D9E1E8" w:sz="4" w:space="0"/>
              <w:right w:val="single" w:color="D9E1E8" w:sz="2" w:space="0"/>
            </w:tcBorders>
            <w:shd w:val="clear" w:color="auto" w:fill="F3F5F7"/>
            <w:vAlign w:val="center"/>
          </w:tcPr>
          <w:p w14:paraId="318B5F04">
            <w:pPr>
              <w:spacing w:after="0" w:line="252" w:lineRule="auto"/>
              <w:jc w:val="left"/>
              <w:rPr>
                <w:rFonts w:hint="default" w:ascii="Calibri" w:hAnsi="Calibri" w:cs="Calibri"/>
              </w:rPr>
            </w:pPr>
            <w:r>
              <w:rPr>
                <w:rFonts w:hint="default" w:ascii="Calibri" w:hAnsi="Calibri" w:cs="Calibri"/>
                <w:b/>
                <w:color w:val="1F2937"/>
                <w:sz w:val="18"/>
              </w:rPr>
              <w:t>Dépendance externe</w:t>
            </w:r>
          </w:p>
        </w:tc>
        <w:tc>
          <w:tcPr>
            <w:tcW w:w="3118" w:type="dxa"/>
            <w:tcBorders>
              <w:left w:val="single" w:color="D9E1E8" w:sz="2" w:space="0"/>
              <w:bottom w:val="single" w:color="D9E1E8" w:sz="4" w:space="0"/>
              <w:right w:val="single" w:color="D9E1E8" w:sz="2" w:space="0"/>
            </w:tcBorders>
            <w:shd w:val="clear" w:color="auto" w:fill="F3F5F7"/>
            <w:vAlign w:val="center"/>
          </w:tcPr>
          <w:p w14:paraId="5ECA4BF7">
            <w:pPr>
              <w:spacing w:after="0" w:line="252" w:lineRule="auto"/>
              <w:jc w:val="center"/>
              <w:rPr>
                <w:rFonts w:hint="default" w:ascii="Calibri" w:hAnsi="Calibri" w:cs="Calibri"/>
              </w:rPr>
            </w:pPr>
            <w:r>
              <w:rPr>
                <w:rFonts w:hint="default" w:ascii="Calibri" w:hAnsi="Calibri" w:cs="Calibri"/>
                <w:b w:val="0"/>
                <w:color w:val="1F2937"/>
                <w:sz w:val="18"/>
              </w:rPr>
              <w:t>Forte</w:t>
            </w:r>
          </w:p>
        </w:tc>
        <w:tc>
          <w:tcPr>
            <w:tcW w:w="3118" w:type="dxa"/>
            <w:tcBorders>
              <w:left w:val="single" w:color="D9E1E8" w:sz="2" w:space="0"/>
              <w:bottom w:val="single" w:color="D9E1E8" w:sz="4" w:space="0"/>
              <w:right w:val="single" w:color="D9E1E8" w:sz="2" w:space="0"/>
            </w:tcBorders>
            <w:shd w:val="clear" w:color="auto" w:fill="F3F5F7"/>
            <w:vAlign w:val="center"/>
          </w:tcPr>
          <w:p w14:paraId="6DE9F60D">
            <w:pPr>
              <w:spacing w:after="0" w:line="252" w:lineRule="auto"/>
              <w:jc w:val="center"/>
              <w:rPr>
                <w:rFonts w:hint="default" w:ascii="Calibri" w:hAnsi="Calibri" w:cs="Calibri"/>
              </w:rPr>
            </w:pPr>
            <w:r>
              <w:rPr>
                <w:rFonts w:hint="default" w:ascii="Calibri" w:hAnsi="Calibri" w:cs="Calibri"/>
                <w:b w:val="0"/>
                <w:color w:val="1F2937"/>
                <w:sz w:val="18"/>
              </w:rPr>
              <w:t>Faible</w:t>
            </w:r>
          </w:p>
        </w:tc>
      </w:tr>
      <w:tr w14:paraId="58DF8FB9">
        <w:tblPrEx>
          <w:tblCellMar>
            <w:top w:w="0" w:type="dxa"/>
            <w:left w:w="108" w:type="dxa"/>
            <w:bottom w:w="0" w:type="dxa"/>
            <w:right w:w="108" w:type="dxa"/>
          </w:tblCellMar>
        </w:tblPrEx>
        <w:trPr>
          <w:jc w:val="center"/>
        </w:trPr>
        <w:tc>
          <w:tcPr>
            <w:tcW w:w="3118" w:type="dxa"/>
            <w:tcBorders>
              <w:left w:val="single" w:color="D9E1E8" w:sz="2" w:space="0"/>
              <w:bottom w:val="single" w:color="D9E1E8" w:sz="4" w:space="0"/>
              <w:right w:val="single" w:color="D9E1E8" w:sz="2" w:space="0"/>
            </w:tcBorders>
            <w:vAlign w:val="center"/>
          </w:tcPr>
          <w:p w14:paraId="5FD266B0">
            <w:pPr>
              <w:spacing w:after="0" w:line="252" w:lineRule="auto"/>
              <w:jc w:val="left"/>
              <w:rPr>
                <w:rFonts w:hint="default" w:ascii="Calibri" w:hAnsi="Calibri" w:cs="Calibri"/>
              </w:rPr>
            </w:pPr>
            <w:r>
              <w:rPr>
                <w:rFonts w:hint="default" w:ascii="Calibri" w:hAnsi="Calibri" w:cs="Calibri"/>
                <w:b/>
                <w:color w:val="1F2937"/>
                <w:sz w:val="18"/>
              </w:rPr>
              <w:t>Commercialisation rapide</w:t>
            </w:r>
          </w:p>
        </w:tc>
        <w:tc>
          <w:tcPr>
            <w:tcW w:w="3118" w:type="dxa"/>
            <w:tcBorders>
              <w:left w:val="single" w:color="D9E1E8" w:sz="2" w:space="0"/>
              <w:bottom w:val="single" w:color="D9E1E8" w:sz="4" w:space="0"/>
              <w:right w:val="single" w:color="D9E1E8" w:sz="2" w:space="0"/>
            </w:tcBorders>
            <w:vAlign w:val="center"/>
          </w:tcPr>
          <w:p w14:paraId="172A8C81">
            <w:pPr>
              <w:spacing w:after="0" w:line="252" w:lineRule="auto"/>
              <w:jc w:val="center"/>
              <w:rPr>
                <w:rFonts w:hint="default" w:ascii="Calibri" w:hAnsi="Calibri" w:cs="Calibri"/>
              </w:rPr>
            </w:pPr>
            <w:r>
              <w:rPr>
                <w:rFonts w:hint="default" w:ascii="Calibri" w:hAnsi="Calibri" w:cs="Calibri"/>
                <w:b w:val="0"/>
                <w:color w:val="1F2937"/>
                <w:sz w:val="18"/>
              </w:rPr>
              <w:t>Plus difficile</w:t>
            </w:r>
          </w:p>
        </w:tc>
        <w:tc>
          <w:tcPr>
            <w:tcW w:w="3118" w:type="dxa"/>
            <w:tcBorders>
              <w:left w:val="single" w:color="D9E1E8" w:sz="2" w:space="0"/>
              <w:bottom w:val="single" w:color="D9E1E8" w:sz="4" w:space="0"/>
              <w:right w:val="single" w:color="D9E1E8" w:sz="2" w:space="0"/>
            </w:tcBorders>
            <w:vAlign w:val="center"/>
          </w:tcPr>
          <w:p w14:paraId="62AF4B3B">
            <w:pPr>
              <w:spacing w:after="0" w:line="252" w:lineRule="auto"/>
              <w:jc w:val="center"/>
              <w:rPr>
                <w:rFonts w:hint="default" w:ascii="Calibri" w:hAnsi="Calibri" w:cs="Calibri"/>
              </w:rPr>
            </w:pPr>
            <w:r>
              <w:rPr>
                <w:rFonts w:hint="default" w:ascii="Calibri" w:hAnsi="Calibri" w:cs="Calibri"/>
                <w:b w:val="0"/>
                <w:color w:val="1F2937"/>
                <w:sz w:val="18"/>
              </w:rPr>
              <w:t>Favorable</w:t>
            </w:r>
          </w:p>
        </w:tc>
      </w:tr>
    </w:tbl>
    <w:p w14:paraId="393AAA8D">
      <w:pPr>
        <w:pStyle w:val="3"/>
        <w:widowControl/>
        <w:rPr>
          <w:rFonts w:hint="default" w:ascii="Calibri" w:hAnsi="Calibri" w:cs="Calibri"/>
          <w:lang w:val="fr-FR"/>
        </w:rPr>
      </w:pPr>
      <w:r>
        <w:rPr>
          <w:rFonts w:hint="default" w:ascii="Calibri" w:hAnsi="Calibri" w:cs="Calibri"/>
        </w:rPr>
        <w:t xml:space="preserve">Orientation </w:t>
      </w:r>
      <w:r>
        <w:rPr>
          <w:rFonts w:hint="default" w:ascii="Calibri" w:hAnsi="Calibri" w:cs="Calibri"/>
          <w:lang w:val="fr-FR"/>
        </w:rPr>
        <w:t>proposée</w:t>
      </w:r>
    </w:p>
    <w:p w14:paraId="3BF958E3">
      <w:pPr>
        <w:widowControl/>
        <w:spacing w:after="80"/>
        <w:rPr>
          <w:rFonts w:hint="default" w:ascii="Calibri" w:hAnsi="Calibri" w:cs="Calibri"/>
        </w:rPr>
      </w:pPr>
      <w:r>
        <w:rPr>
          <w:rFonts w:hint="default" w:ascii="Calibri" w:hAnsi="Calibri" w:cs="Calibri"/>
          <w:b/>
          <w:color w:val="2F5597"/>
        </w:rPr>
        <w:t xml:space="preserve">Pointo : </w:t>
      </w:r>
      <w:r>
        <w:rPr>
          <w:rFonts w:hint="default" w:ascii="Calibri" w:hAnsi="Calibri" w:cs="Calibri"/>
        </w:rPr>
        <w:t>sécuriser → tester en pilote → commercialiser → faire évoluer selon les retours.</w:t>
      </w:r>
    </w:p>
    <w:p w14:paraId="15B97187">
      <w:pPr>
        <w:widowControl/>
        <w:spacing w:after="80"/>
        <w:rPr>
          <w:rFonts w:hint="default" w:ascii="Calibri" w:hAnsi="Calibri" w:cs="Calibri"/>
        </w:rPr>
      </w:pPr>
      <w:r>
        <w:rPr>
          <w:rFonts w:hint="default" w:ascii="Calibri" w:hAnsi="Calibri" w:cs="Calibri"/>
          <w:b/>
          <w:color w:val="0F6B78"/>
        </w:rPr>
        <w:t xml:space="preserve">Cortex Pay : </w:t>
      </w:r>
      <w:bookmarkStart w:id="0" w:name="_GoBack"/>
      <w:bookmarkEnd w:id="0"/>
      <w:r>
        <w:rPr>
          <w:rFonts w:hint="default" w:ascii="Calibri" w:hAnsi="Calibri" w:cs="Calibri"/>
        </w:rPr>
        <w:t xml:space="preserve"> construire le socle transactionnel → intégrer LigdiCash et Flutterwave → lancer Cortex Card → étendre progressivement.</w:t>
      </w:r>
    </w:p>
    <w:p w14:paraId="5D72EA42">
      <w:pPr>
        <w:pStyle w:val="2"/>
        <w:widowControl/>
        <w:rPr>
          <w:rFonts w:hint="default" w:ascii="Calibri" w:hAnsi="Calibri" w:cs="Calibri"/>
        </w:rPr>
      </w:pPr>
      <w:r>
        <w:rPr>
          <w:rFonts w:hint="default" w:ascii="Calibri" w:hAnsi="Calibri" w:cs="Calibri"/>
        </w:rPr>
        <w:t>5. Conclusion</w:t>
      </w:r>
    </w:p>
    <w:tbl>
      <w:tblPr>
        <w:tblStyle w:val="35"/>
        <w:tblW w:w="0" w:type="auto"/>
        <w:jc w:val="center"/>
        <w:tblLayout w:type="autofit"/>
        <w:tblCellMar>
          <w:top w:w="0" w:type="dxa"/>
          <w:left w:w="108" w:type="dxa"/>
          <w:bottom w:w="0" w:type="dxa"/>
          <w:right w:w="108" w:type="dxa"/>
        </w:tblCellMar>
      </w:tblPr>
      <w:tblGrid>
        <w:gridCol w:w="9972"/>
      </w:tblGrid>
      <w:tr w14:paraId="310FA307">
        <w:tblPrEx>
          <w:tblCellMar>
            <w:top w:w="0" w:type="dxa"/>
            <w:left w:w="108" w:type="dxa"/>
            <w:bottom w:w="0" w:type="dxa"/>
            <w:right w:w="108" w:type="dxa"/>
          </w:tblCellMar>
        </w:tblPrEx>
        <w:trPr>
          <w:jc w:val="center"/>
        </w:trPr>
        <w:tc>
          <w:tcPr>
            <w:tcW w:w="9972" w:type="dxa"/>
            <w:tcBorders>
              <w:left w:val="single" w:color="17365D" w:sz="20" w:space="0"/>
              <w:bottom w:val="single" w:color="D9E1E8" w:sz="4" w:space="0"/>
            </w:tcBorders>
            <w:shd w:val="clear" w:color="auto" w:fill="EEF2F7"/>
          </w:tcPr>
          <w:p w14:paraId="65AEC407">
            <w:pPr>
              <w:spacing w:after="120" w:line="252" w:lineRule="auto"/>
              <w:rPr>
                <w:rFonts w:hint="default" w:ascii="Calibri" w:hAnsi="Calibri" w:cs="Calibri"/>
              </w:rPr>
            </w:pPr>
            <w:r>
              <w:rPr>
                <w:rFonts w:hint="default" w:ascii="Calibri" w:hAnsi="Calibri" w:cs="Calibri"/>
                <w:b/>
                <w:color w:val="17365D"/>
                <w:sz w:val="20"/>
              </w:rPr>
              <w:t xml:space="preserve">Les deux projets méritent d’être poursuivis, mais avec des stratégies différentes. </w:t>
            </w:r>
            <w:r>
              <w:rPr>
                <w:rFonts w:hint="default" w:ascii="Calibri" w:hAnsi="Calibri" w:cs="Calibri"/>
                <w:color w:val="1F2937"/>
                <w:sz w:val="20"/>
              </w:rPr>
              <w:t>Pointo doit être traité comme un SaaS proche du marché : priorité à la sécurité, au pilote et aux retours clients. Cortex Pay doit être traité comme un projet financier à fort potentiel : priorité aux partenariats, au modèle économique et à la robustesse du socle transactionnel avant l’accélération fonctionnelle.</w:t>
            </w:r>
          </w:p>
        </w:tc>
      </w:tr>
    </w:tbl>
    <w:p w14:paraId="13709F19">
      <w:pPr>
        <w:widowControl/>
        <w:spacing w:before="280"/>
        <w:rPr>
          <w:rFonts w:hint="default" w:ascii="Calibri" w:hAnsi="Calibri" w:cs="Calibri"/>
        </w:rPr>
      </w:pPr>
    </w:p>
    <w:sectPr>
      <w:headerReference r:id="rId5" w:type="default"/>
      <w:footerReference r:id="rId6" w:type="default"/>
      <w:pgSz w:w="12240" w:h="15840"/>
      <w:pgMar w:top="1020" w:right="1134" w:bottom="96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Liberation San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38B48">
    <w:pPr>
      <w:pStyle w:val="24"/>
    </w:pPr>
  </w:p>
  <w:tbl>
    <w:tblPr>
      <w:tblStyle w:val="35"/>
      <w:tblW w:w="0" w:type="auto"/>
      <w:jc w:val="center"/>
      <w:tblLayout w:type="fixed"/>
      <w:tblCellMar>
        <w:top w:w="0" w:type="dxa"/>
        <w:left w:w="108" w:type="dxa"/>
        <w:bottom w:w="0" w:type="dxa"/>
        <w:right w:w="108" w:type="dxa"/>
      </w:tblCellMar>
    </w:tblPr>
    <w:tblGrid>
      <w:gridCol w:w="3402"/>
      <w:gridCol w:w="2835"/>
      <w:gridCol w:w="3402"/>
    </w:tblGrid>
    <w:tr w14:paraId="5919F757">
      <w:tblPrEx>
        <w:tblCellMar>
          <w:top w:w="0" w:type="dxa"/>
          <w:left w:w="108" w:type="dxa"/>
          <w:bottom w:w="0" w:type="dxa"/>
          <w:right w:w="108" w:type="dxa"/>
        </w:tblCellMar>
      </w:tblPrEx>
      <w:trPr>
        <w:jc w:val="center"/>
      </w:trPr>
      <w:tc>
        <w:tcPr>
          <w:tcW w:w="3213" w:type="dxa"/>
          <w:tcBorders>
            <w:top w:val="single" w:color="D9E1E8" w:sz="4" w:space="0"/>
          </w:tcBorders>
          <w:vAlign w:val="center"/>
        </w:tcPr>
        <w:p w14:paraId="7EF19948">
          <w:pPr>
            <w:jc w:val="left"/>
          </w:pPr>
          <w:r>
            <w:rPr>
              <w:rFonts w:ascii="Liberation Sans" w:hAnsi="Liberation Sans"/>
              <w:color w:val="6B7280"/>
              <w:sz w:val="16"/>
            </w:rPr>
            <w:t>Rapport d’analyse</w:t>
          </w:r>
        </w:p>
      </w:tc>
      <w:tc>
        <w:tcPr>
          <w:tcW w:w="3213" w:type="dxa"/>
          <w:tcBorders>
            <w:top w:val="single" w:color="D9E1E8" w:sz="4" w:space="0"/>
          </w:tcBorders>
          <w:vAlign w:val="center"/>
        </w:tcPr>
        <w:p w14:paraId="0E7FD292">
          <w:pPr>
            <w:jc w:val="center"/>
          </w:pPr>
          <w:r>
            <w:rPr>
              <w:rFonts w:ascii="Liberation Sans" w:hAnsi="Liberation Sans"/>
              <w:color w:val="6B7280"/>
              <w:sz w:val="16"/>
            </w:rPr>
            <w:t>18 août 2026</w:t>
          </w:r>
        </w:p>
      </w:tc>
      <w:tc>
        <w:tcPr>
          <w:tcW w:w="3213" w:type="dxa"/>
          <w:tcBorders>
            <w:top w:val="single" w:color="D9E1E8" w:sz="4" w:space="0"/>
          </w:tcBorders>
          <w:vAlign w:val="center"/>
        </w:tcPr>
        <w:p w14:paraId="65106AE8">
          <w:pPr>
            <w:jc w:val="right"/>
          </w:pPr>
          <w:r>
            <w:rPr>
              <w:rFonts w:ascii="Liberation Sans" w:hAnsi="Liberation Sans"/>
              <w:color w:val="6B7280"/>
              <w:sz w:val="16"/>
            </w:rPr>
            <w:t xml:space="preserve">Page </w:t>
          </w:r>
          <w:r>
            <w:fldChar w:fldCharType="begin"/>
          </w:r>
          <w:r>
            <w:instrText xml:space="preserve">PAGE</w:instrText>
          </w:r>
          <w:r>
            <w:fldChar w:fldCharType="separate"/>
          </w:r>
          <w:r>
            <w:fldChar w:fldCharType="end"/>
          </w:r>
        </w:p>
      </w:tc>
    </w:tr>
  </w:tbl>
  <w:p w14:paraId="085FB02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35CA3">
    <w:pPr>
      <w:pStyle w:val="26"/>
      <w:jc w:val="right"/>
    </w:pPr>
    <w:r>
      <w:rPr>
        <w:rFonts w:ascii="Liberation Sans" w:hAnsi="Liberation Sans"/>
        <w:b/>
        <w:color w:val="6B7280"/>
        <w:sz w:val="16"/>
      </w:rPr>
      <w:t>ANALYSE PROJETS  •  CORTEX PAY &amp; POINTO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DA3734"/>
    <w:rsid w:val="13423B87"/>
    <w:rsid w:val="1EDB0732"/>
    <w:rsid w:val="5F4A27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1" w:lineRule="auto"/>
    </w:pPr>
    <w:rPr>
      <w:rFonts w:ascii="Liberation Sans" w:hAnsi="Liberation Sans" w:eastAsiaTheme="minorEastAsia" w:cstheme="minorBidi"/>
      <w:color w:val="1F2937"/>
      <w:sz w:val="21"/>
      <w:szCs w:val="22"/>
      <w:lang w:val="en-US" w:eastAsia="en-US" w:bidi="ar-SA"/>
    </w:rPr>
  </w:style>
  <w:style w:type="paragraph" w:styleId="2">
    <w:name w:val="heading 1"/>
    <w:basedOn w:val="1"/>
    <w:next w:val="1"/>
    <w:link w:val="39"/>
    <w:qFormat/>
    <w:uiPriority w:val="9"/>
    <w:pPr>
      <w:keepNext/>
      <w:keepLines/>
      <w:spacing w:before="280" w:after="100"/>
      <w:outlineLvl w:val="0"/>
    </w:pPr>
    <w:rPr>
      <w:rFonts w:asciiTheme="majorHAnsi" w:hAnsiTheme="majorHAnsi" w:eastAsiaTheme="majorEastAsia" w:cstheme="majorBidi"/>
      <w:b/>
      <w:bCs/>
      <w:color w:val="17365D"/>
      <w:sz w:val="34"/>
      <w:szCs w:val="28"/>
    </w:rPr>
  </w:style>
  <w:style w:type="paragraph" w:styleId="3">
    <w:name w:val="heading 2"/>
    <w:basedOn w:val="1"/>
    <w:next w:val="1"/>
    <w:link w:val="40"/>
    <w:unhideWhenUsed/>
    <w:qFormat/>
    <w:uiPriority w:val="9"/>
    <w:pPr>
      <w:keepNext/>
      <w:keepLines/>
      <w:spacing w:before="200" w:after="100"/>
      <w:outlineLvl w:val="1"/>
    </w:pPr>
    <w:rPr>
      <w:rFonts w:asciiTheme="majorHAnsi" w:hAnsiTheme="majorHAnsi" w:eastAsiaTheme="majorEastAsia" w:cstheme="majorBidi"/>
      <w:b/>
      <w:bCs/>
      <w:color w:val="2F5597"/>
      <w:sz w:val="26"/>
      <w:szCs w:val="26"/>
    </w:rPr>
  </w:style>
  <w:style w:type="paragraph" w:styleId="4">
    <w:name w:val="heading 3"/>
    <w:basedOn w:val="1"/>
    <w:next w:val="1"/>
    <w:link w:val="41"/>
    <w:unhideWhenUsed/>
    <w:qFormat/>
    <w:uiPriority w:val="9"/>
    <w:pPr>
      <w:keepNext/>
      <w:keepLines/>
      <w:spacing w:before="200" w:after="100"/>
      <w:outlineLvl w:val="2"/>
    </w:pPr>
    <w:rPr>
      <w:rFonts w:asciiTheme="majorHAnsi" w:hAnsiTheme="majorHAnsi" w:eastAsiaTheme="majorEastAsia" w:cstheme="majorBidi"/>
      <w:b/>
      <w:bCs/>
      <w:color w:val="0F6B78"/>
      <w:sz w:val="23"/>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uiPriority w:val="99"/>
    <w:pPr>
      <w:tabs>
        <w:tab w:val="center" w:pos="4680"/>
        <w:tab w:val="right" w:pos="9360"/>
      </w:tabs>
      <w:spacing w:after="0" w:line="240" w:lineRule="auto"/>
    </w:pPr>
  </w:style>
  <w:style w:type="paragraph" w:styleId="27">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keepNext/>
      <w:pBdr>
        <w:bottom w:val="single" w:color="4F81BD" w:themeColor="accent1" w:sz="8" w:space="4"/>
      </w:pBdr>
      <w:spacing w:before="200" w:after="100" w:line="240" w:lineRule="auto"/>
      <w:contextualSpacing/>
    </w:pPr>
    <w:rPr>
      <w:rFonts w:asciiTheme="majorHAnsi" w:hAnsiTheme="majorHAnsi" w:eastAsiaTheme="majorEastAsia" w:cstheme="majorBidi"/>
      <w:b/>
      <w:color w:val="17365D"/>
      <w:spacing w:val="5"/>
      <w:kern w:val="28"/>
      <w:sz w:val="56"/>
      <w:szCs w:val="52"/>
    </w:rPr>
  </w:style>
  <w:style w:type="character" w:customStyle="1" w:styleId="36">
    <w:name w:val="Header Char"/>
    <w:basedOn w:val="11"/>
    <w:link w:val="26"/>
    <w:qFormat/>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uiPriority w:val="99"/>
  </w:style>
  <w:style w:type="character" w:customStyle="1" w:styleId="47">
    <w:name w:val="Body Text 3 Char"/>
    <w:basedOn w:val="11"/>
    <w:link w:val="18"/>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Executive"/>
    <w:uiPriority w:val="0"/>
    <w:pPr>
      <w:spacing w:after="140" w:line="276" w:lineRule="auto"/>
    </w:pPr>
    <w:rPr>
      <w:rFonts w:ascii="Liberation Sans" w:hAnsi="Liberation Sans" w:eastAsiaTheme="minorEastAsia" w:cstheme="minorBidi"/>
      <w:color w:val="1F2937"/>
      <w:sz w:val="22"/>
      <w:szCs w:val="22"/>
      <w:lang w:val="en-US" w:eastAsia="en-US" w:bidi="ar-SA"/>
    </w:rPr>
  </w:style>
  <w:style w:type="paragraph" w:customStyle="1" w:styleId="165">
    <w:name w:val="SmallNote"/>
    <w:uiPriority w:val="0"/>
    <w:pPr>
      <w:spacing w:after="80" w:line="276" w:lineRule="auto"/>
    </w:pPr>
    <w:rPr>
      <w:rFonts w:ascii="Liberation Sans" w:hAnsi="Liberation Sans" w:eastAsiaTheme="minorEastAsia" w:cstheme="minorBidi"/>
      <w:color w:val="6B7280"/>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1075</Words>
  <Characters>6571</Characters>
  <Lines>0</Lines>
  <Paragraphs>0</Paragraphs>
  <TotalTime>107</TotalTime>
  <ScaleCrop>false</ScaleCrop>
  <LinksUpToDate>false</LinksUpToDate>
  <CharactersWithSpaces>7529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Naké Bassolé</dc:creator>
  <dc:description>generated by python-docx</dc:description>
  <cp:keywords>Cortex Pay, Pointo, analyse, SaaS, paiements, pointage</cp:keywords>
  <cp:lastModifiedBy>Naké Bassolé</cp:lastModifiedBy>
  <dcterms:modified xsi:type="dcterms:W3CDTF">2026-08-18T14:37:24Z</dcterms:modified>
  <dc:subject>Analyse de pertinence, potentiel, risques et recommandations</dc:subject>
  <dc:title>Rapport d’analyse - Cortex Pay &amp; Pointo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eyJoZGlkIjoiOGM4N2M1MDExZjQ5ZjRlYjJiODY1YmViNDE0MTlmZmIiLCJ1c2VySWQiOiIxNzE3OTg3MDI3NTk0NSJ9</vt:lpwstr>
  </property>
  <property fmtid="{D5CDD505-2E9C-101B-9397-08002B2CF9AE}" pid="3" name="KSOProductBuildVer">
    <vt:lpwstr>1036-12.1.0.28032</vt:lpwstr>
  </property>
  <property fmtid="{D5CDD505-2E9C-101B-9397-08002B2CF9AE}" pid="4" name="ICV">
    <vt:lpwstr>C81028243FA14105AF6A89E47230921B_12</vt:lpwstr>
  </property>
</Properties>
</file>