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5AFF"/>
          <w:sz w:val="28"/>
        </w:rPr>
        <w:t>OSYNIX GROUP</w:t>
      </w:r>
    </w:p>
    <w:p>
      <w:pPr>
        <w:jc w:val="center"/>
      </w:pPr>
      <w:r>
        <w:rPr>
          <w:b/>
          <w:color w:val="1C1E66"/>
          <w:sz w:val="60"/>
        </w:rPr>
        <w:t>Osynix ATS</w:t>
      </w:r>
    </w:p>
    <w:p>
      <w:pPr>
        <w:jc w:val="center"/>
      </w:pPr>
      <w:r>
        <w:rPr>
          <w:b/>
          <w:sz w:val="36"/>
        </w:rPr>
        <w:t>Functional, Business Logic &amp; Migration Specification</w:t>
      </w:r>
    </w:p>
    <w:p>
      <w:pPr>
        <w:jc w:val="center"/>
      </w:pPr>
      <w:r>
        <w:t>Google Apps Script / Google Sheets → .NET 10 Blazor Web App (Server)</w:t>
      </w:r>
    </w:p>
    <w:p>
      <w:pPr>
        <w:jc w:val="center"/>
      </w:pPr>
      <w:r>
        <w:rPr>
          <w:i/>
        </w:rPr>
        <w:t>Master handoff specification for continuation of ATS development</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5AFF"/>
          </w:tcPr>
          <w:p>
            <w:r/>
            <w:r>
              <w:rPr>
                <w:rFonts w:ascii="Aptos" w:hAnsi="Aptos"/>
                <w:b/>
                <w:color w:val="FFFFFF"/>
                <w:sz w:val="17"/>
              </w:rPr>
              <w:t>Document Status</w:t>
            </w:r>
          </w:p>
        </w:tc>
        <w:tc>
          <w:tcPr>
            <w:tcW w:type="dxa" w:w="7488"/>
            <w:vAlign w:val="center"/>
            <w:shd w:fill="175AFF"/>
          </w:tcPr>
          <w:p>
            <w:r/>
            <w:r>
              <w:rPr>
                <w:rFonts w:ascii="Aptos" w:hAnsi="Aptos"/>
                <w:b/>
                <w:color w:val="FFFFFF"/>
                <w:sz w:val="17"/>
              </w:rPr>
              <w:t>Scope</w:t>
            </w:r>
          </w:p>
        </w:tc>
      </w:tr>
      <w:tr>
        <w:tc>
          <w:tcPr>
            <w:tcW w:type="dxa" w:w="2880"/>
            <w:vAlign w:val="center"/>
          </w:tcPr>
          <w:p>
            <w:r/>
            <w:r>
              <w:rPr>
                <w:rFonts w:ascii="Aptos" w:hAnsi="Aptos"/>
                <w:b w:val="0"/>
                <w:sz w:val="17"/>
              </w:rPr>
              <w:t>Baseline</w:t>
            </w:r>
          </w:p>
        </w:tc>
        <w:tc>
          <w:tcPr>
            <w:tcW w:type="dxa" w:w="7488"/>
            <w:vAlign w:val="center"/>
          </w:tcPr>
          <w:p>
            <w:r/>
            <w:r>
              <w:rPr>
                <w:rFonts w:ascii="Aptos" w:hAnsi="Aptos"/>
                <w:b w:val="0"/>
                <w:sz w:val="17"/>
              </w:rPr>
              <w:t>Current implemented functionality + approved business rules + pending roadmap</w:t>
            </w:r>
          </w:p>
        </w:tc>
      </w:tr>
      <w:tr>
        <w:tc>
          <w:tcPr>
            <w:tcW w:type="dxa" w:w="2880"/>
            <w:vAlign w:val="center"/>
          </w:tcPr>
          <w:p>
            <w:r/>
            <w:r>
              <w:rPr>
                <w:rFonts w:ascii="Aptos" w:hAnsi="Aptos"/>
                <w:b w:val="0"/>
                <w:sz w:val="17"/>
              </w:rPr>
              <w:t>Target Stack</w:t>
            </w:r>
          </w:p>
        </w:tc>
        <w:tc>
          <w:tcPr>
            <w:tcW w:type="dxa" w:w="7488"/>
            <w:vAlign w:val="center"/>
          </w:tcPr>
          <w:p>
            <w:r/>
            <w:r>
              <w:rPr>
                <w:rFonts w:ascii="Aptos" w:hAnsi="Aptos"/>
                <w:b w:val="0"/>
                <w:sz w:val="17"/>
              </w:rPr>
              <w:t>.NET 10, Blazor Web App (Server), EF Core, SQLite initially; database design deferred to next development phase</w:t>
            </w:r>
          </w:p>
        </w:tc>
      </w:tr>
      <w:tr>
        <w:tc>
          <w:tcPr>
            <w:tcW w:type="dxa" w:w="2880"/>
            <w:vAlign w:val="center"/>
          </w:tcPr>
          <w:p>
            <w:r/>
            <w:r>
              <w:rPr>
                <w:rFonts w:ascii="Aptos" w:hAnsi="Aptos"/>
                <w:b w:val="0"/>
                <w:sz w:val="17"/>
              </w:rPr>
              <w:t>Migration Principle</w:t>
            </w:r>
          </w:p>
        </w:tc>
        <w:tc>
          <w:tcPr>
            <w:tcW w:type="dxa" w:w="7488"/>
            <w:vAlign w:val="center"/>
          </w:tcPr>
          <w:p>
            <w:r/>
            <w:r>
              <w:rPr>
                <w:rFonts w:ascii="Aptos" w:hAnsi="Aptos"/>
                <w:b w:val="0"/>
                <w:sz w:val="17"/>
              </w:rPr>
              <w:t>Preserve business behavior and locked UX; replace Apps Script/Sheets implementation with maintainable .NET services and persistence</w:t>
            </w:r>
          </w:p>
        </w:tc>
      </w:tr>
      <w:tr>
        <w:tc>
          <w:tcPr>
            <w:tcW w:type="dxa" w:w="2880"/>
            <w:vAlign w:val="center"/>
          </w:tcPr>
          <w:p>
            <w:r/>
            <w:r>
              <w:rPr>
                <w:rFonts w:ascii="Aptos" w:hAnsi="Aptos"/>
                <w:b w:val="0"/>
                <w:sz w:val="17"/>
              </w:rPr>
              <w:t>Explicit Exclusions</w:t>
            </w:r>
          </w:p>
        </w:tc>
        <w:tc>
          <w:tcPr>
            <w:tcW w:type="dxa" w:w="7488"/>
            <w:vAlign w:val="center"/>
          </w:tcPr>
          <w:p>
            <w:r/>
            <w:r>
              <w:rPr>
                <w:rFonts w:ascii="Aptos" w:hAnsi="Aptos"/>
                <w:b w:val="0"/>
                <w:sz w:val="17"/>
              </w:rPr>
              <w:t>WhatsApp integration and ChatGPT/MCP connector work are NOT part of this specification</w:t>
            </w:r>
          </w:p>
        </w:tc>
      </w:tr>
    </w:tbl>
    <w:p/>
    <w:p>
      <w:r>
        <w:br w:type="page"/>
      </w:r>
    </w:p>
    <w:p>
      <w:pPr>
        <w:pStyle w:val="Heading1"/>
      </w:pPr>
      <w:r>
        <w:t>1. Purpose and Reading Guide</w:t>
      </w:r>
    </w:p>
    <w:p>
      <w:pPr>
        <w:spacing w:after="100"/>
      </w:pPr>
      <w:r>
        <w:t>This document is the authoritative functional handoff for rebuilding Osynix ATS from its working Google Apps Script + Google Sheets implementation into a commercial .NET 10 Blazor Web App. It captures the business rules, workflow decisions, data ownership rules, AI-assessment behavior, API-call controls, duplicate logic, CV handling, position/JD logic, candidate lifecycle concepts, reporting, user/security concepts, and locked UI patterns developed so far.</w:t>
      </w:r>
    </w:p>
    <w:p>
      <w:pPr>
        <w:spacing w:after="100"/>
      </w:pPr>
      <w:r>
        <w:t>It intentionally does not prescribe the final relational database schema. The next development phase may normalize the data into appropriate entities and relationships, but the business semantics in this document must be preserved.</w:t>
      </w:r>
    </w:p>
    <w:p>
      <w:pPr>
        <w:pStyle w:val="Heading2"/>
      </w:pPr>
      <w:r>
        <w:t>1.1 Status labels 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Status</w:t>
            </w:r>
          </w:p>
        </w:tc>
        <w:tc>
          <w:tcPr>
            <w:tcW w:type="dxa" w:w="5112"/>
            <w:vAlign w:val="center"/>
            <w:shd w:fill="175AFF"/>
          </w:tcPr>
          <w:p>
            <w:r/>
            <w:r>
              <w:rPr>
                <w:rFonts w:ascii="Aptos" w:hAnsi="Aptos"/>
                <w:b/>
                <w:color w:val="FFFFFF"/>
                <w:sz w:val="17"/>
              </w:rPr>
              <w:t>Meaning</w:t>
            </w:r>
          </w:p>
        </w:tc>
      </w:tr>
      <w:tr>
        <w:tc>
          <w:tcPr>
            <w:tcW w:type="dxa" w:w="5112"/>
            <w:vAlign w:val="center"/>
          </w:tcPr>
          <w:p>
            <w:r/>
            <w:r>
              <w:rPr>
                <w:rFonts w:ascii="Aptos" w:hAnsi="Aptos"/>
                <w:b w:val="0"/>
                <w:sz w:val="17"/>
              </w:rPr>
              <w:t>IMPLEMENTED / VERIFIED</w:t>
            </w:r>
          </w:p>
        </w:tc>
        <w:tc>
          <w:tcPr>
            <w:tcW w:type="dxa" w:w="5112"/>
            <w:vAlign w:val="center"/>
          </w:tcPr>
          <w:p>
            <w:r/>
            <w:r>
              <w:rPr>
                <w:rFonts w:ascii="Aptos" w:hAnsi="Aptos"/>
                <w:b w:val="0"/>
                <w:sz w:val="17"/>
              </w:rPr>
              <w:t>Working in the current ATS and validated during development.</w:t>
            </w:r>
          </w:p>
        </w:tc>
      </w:tr>
      <w:tr>
        <w:tc>
          <w:tcPr>
            <w:tcW w:type="dxa" w:w="5112"/>
            <w:vAlign w:val="center"/>
          </w:tcPr>
          <w:p>
            <w:r/>
            <w:r>
              <w:rPr>
                <w:rFonts w:ascii="Aptos" w:hAnsi="Aptos"/>
                <w:b w:val="0"/>
                <w:sz w:val="17"/>
              </w:rPr>
              <w:t>APPROVED RULE</w:t>
            </w:r>
          </w:p>
        </w:tc>
        <w:tc>
          <w:tcPr>
            <w:tcW w:type="dxa" w:w="5112"/>
            <w:vAlign w:val="center"/>
          </w:tcPr>
          <w:p>
            <w:r/>
            <w:r>
              <w:rPr>
                <w:rFonts w:ascii="Aptos" w:hAnsi="Aptos"/>
                <w:b w:val="0"/>
                <w:sz w:val="17"/>
              </w:rPr>
              <w:t>Business behavior agreed and should survive migration even if implementation is being redesigned.</w:t>
            </w:r>
          </w:p>
        </w:tc>
      </w:tr>
      <w:tr>
        <w:tc>
          <w:tcPr>
            <w:tcW w:type="dxa" w:w="5112"/>
            <w:vAlign w:val="center"/>
          </w:tcPr>
          <w:p>
            <w:r/>
            <w:r>
              <w:rPr>
                <w:rFonts w:ascii="Aptos" w:hAnsi="Aptos"/>
                <w:b w:val="0"/>
                <w:sz w:val="17"/>
              </w:rPr>
              <w:t>PENDING / ROADMAP</w:t>
            </w:r>
          </w:p>
        </w:tc>
        <w:tc>
          <w:tcPr>
            <w:tcW w:type="dxa" w:w="5112"/>
            <w:vAlign w:val="center"/>
          </w:tcPr>
          <w:p>
            <w:r/>
            <w:r>
              <w:rPr>
                <w:rFonts w:ascii="Aptos" w:hAnsi="Aptos"/>
                <w:b w:val="0"/>
                <w:sz w:val="17"/>
              </w:rPr>
              <w:t>Agreed next work; do not represent it as already complete.</w:t>
            </w:r>
          </w:p>
        </w:tc>
      </w:tr>
      <w:tr>
        <w:tc>
          <w:tcPr>
            <w:tcW w:type="dxa" w:w="5112"/>
            <w:vAlign w:val="center"/>
          </w:tcPr>
          <w:p>
            <w:r/>
            <w:r>
              <w:rPr>
                <w:rFonts w:ascii="Aptos" w:hAnsi="Aptos"/>
                <w:b w:val="0"/>
                <w:sz w:val="17"/>
              </w:rPr>
              <w:t>TARGET COMMERCIAL PRODUCT</w:t>
            </w:r>
          </w:p>
        </w:tc>
        <w:tc>
          <w:tcPr>
            <w:tcW w:type="dxa" w:w="5112"/>
            <w:vAlign w:val="center"/>
          </w:tcPr>
          <w:p>
            <w:r/>
            <w:r>
              <w:rPr>
                <w:rFonts w:ascii="Aptos" w:hAnsi="Aptos"/>
                <w:b w:val="0"/>
                <w:sz w:val="17"/>
              </w:rPr>
              <w:t>Future-ready requirement approved for the .NET product.</w:t>
            </w:r>
          </w:p>
        </w:tc>
      </w:tr>
    </w:tbl>
    <w:p/>
    <w:p>
      <w:pPr>
        <w:pStyle w:val="Heading1"/>
      </w:pPr>
      <w:r>
        <w:t>2. Product Scope and Target Architecture</w:t>
      </w:r>
    </w:p>
    <w:p>
      <w:pPr>
        <w:pStyle w:val="ListBullet"/>
        <w:spacing w:after="40"/>
      </w:pPr>
      <w:r>
        <w:t>Current reference implementation: Google Apps Script web application with Google Sheets as the live system of record.</w:t>
      </w:r>
    </w:p>
    <w:p>
      <w:pPr>
        <w:pStyle w:val="ListBullet"/>
        <w:spacing w:after="40"/>
      </w:pPr>
      <w:r>
        <w:t>Target: .NET 10 Blazor Web App using Server/Interactive Server behavior.</w:t>
      </w:r>
    </w:p>
    <w:p>
      <w:pPr>
        <w:pStyle w:val="ListBullet"/>
        <w:spacing w:after="40"/>
      </w:pPr>
      <w:r>
        <w:t>Persistence: EF Core with SQLite initially; architecture must permit later migration to a full RDBMS without changing ATS business rules.</w:t>
      </w:r>
    </w:p>
    <w:p>
      <w:pPr>
        <w:pStyle w:val="ListBullet"/>
        <w:spacing w:after="40"/>
      </w:pPr>
      <w:r>
        <w:t>File storage: use a storage abstraction. Local/file storage may be used initially, but design so it can later move to cloud/object storage such as Azure Blob or S3-compatible storage.</w:t>
      </w:r>
    </w:p>
    <w:p>
      <w:pPr>
        <w:pStyle w:val="ListBullet"/>
        <w:spacing w:after="40"/>
      </w:pPr>
      <w:r>
        <w:t>OpenAI remains an intelligence service, not the system of record. Deterministic ATS rules belong in application/domain logic.</w:t>
      </w:r>
    </w:p>
    <w:p>
      <w:pPr>
        <w:pStyle w:val="ListBullet"/>
        <w:spacing w:after="40"/>
      </w:pPr>
      <w:r>
        <w:t>The current Apps Script implementation is the behavioral reference during migration; it is not the architectural template for .NET.</w:t>
      </w:r>
    </w:p>
    <w:p>
      <w:pPr>
        <w:pStyle w:val="ListBullet"/>
        <w:spacing w:after="40"/>
      </w:pPr>
      <w:r>
        <w:t>Commercial-product direction: multi-user, role-based, auditable, extensible, and suitable for future client-facing access.</w:t>
      </w:r>
    </w:p>
    <w:p>
      <w:pPr>
        <w:pStyle w:val="Heading2"/>
      </w:pPr>
      <w:r>
        <w:t>2.1 Explicit exclusions</w:t>
      </w:r>
    </w:p>
    <w:p>
      <w:pPr>
        <w:pStyle w:val="ListBullet"/>
        <w:spacing w:after="40"/>
      </w:pPr>
      <w:r>
        <w:t>WhatsApp/Meta Cloud API integration.</w:t>
      </w:r>
    </w:p>
    <w:p>
      <w:pPr>
        <w:pStyle w:val="ListBullet"/>
        <w:spacing w:after="40"/>
      </w:pPr>
      <w:r>
        <w:t>ChatGPT App / MCP connector integration.</w:t>
      </w:r>
    </w:p>
    <w:p>
      <w:pPr>
        <w:pStyle w:val="ListBullet"/>
        <w:spacing w:after="40"/>
      </w:pPr>
      <w:r>
        <w:t>Any connector-specific billing or entitlement design.</w:t>
      </w:r>
    </w:p>
    <w:p>
      <w:pPr>
        <w:spacing w:after="100"/>
      </w:pPr>
      <w:r>
        <w:t>Those initiatives are separate projects and must not be mixed into the .NET ATS migration.</w:t>
      </w:r>
    </w:p>
    <w:p>
      <w:pPr>
        <w:pStyle w:val="Heading1"/>
      </w:pPr>
      <w:r>
        <w:t>3. Core Domain Concepts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Concept</w:t>
            </w:r>
          </w:p>
        </w:tc>
        <w:tc>
          <w:tcPr>
            <w:tcW w:type="dxa" w:w="5112"/>
            <w:vAlign w:val="center"/>
            <w:shd w:fill="175AFF"/>
          </w:tcPr>
          <w:p>
            <w:r/>
            <w:r>
              <w:rPr>
                <w:rFonts w:ascii="Aptos" w:hAnsi="Aptos"/>
                <w:b/>
                <w:color w:val="FFFFFF"/>
                <w:sz w:val="17"/>
              </w:rPr>
              <w:t>Business meaning</w:t>
            </w:r>
          </w:p>
        </w:tc>
      </w:tr>
      <w:tr>
        <w:tc>
          <w:tcPr>
            <w:tcW w:type="dxa" w:w="5112"/>
            <w:vAlign w:val="center"/>
          </w:tcPr>
          <w:p>
            <w:r/>
            <w:r>
              <w:rPr>
                <w:rFonts w:ascii="Aptos" w:hAnsi="Aptos"/>
                <w:b w:val="0"/>
                <w:sz w:val="17"/>
              </w:rPr>
              <w:t>Candidate</w:t>
            </w:r>
          </w:p>
        </w:tc>
        <w:tc>
          <w:tcPr>
            <w:tcW w:type="dxa" w:w="5112"/>
            <w:vAlign w:val="center"/>
          </w:tcPr>
          <w:p>
            <w:r/>
            <w:r>
              <w:rPr>
                <w:rFonts w:ascii="Aptos" w:hAnsi="Aptos"/>
                <w:b w:val="0"/>
                <w:sz w:val="17"/>
              </w:rPr>
              <w:t>A unique person. One Candidate ID must follow the person across multiple vacancies.</w:t>
            </w:r>
          </w:p>
        </w:tc>
      </w:tr>
      <w:tr>
        <w:tc>
          <w:tcPr>
            <w:tcW w:type="dxa" w:w="5112"/>
            <w:vAlign w:val="center"/>
          </w:tcPr>
          <w:p>
            <w:r/>
            <w:r>
              <w:rPr>
                <w:rFonts w:ascii="Aptos" w:hAnsi="Aptos"/>
                <w:b w:val="0"/>
                <w:sz w:val="17"/>
              </w:rPr>
              <w:t>Talent Pool</w:t>
            </w:r>
          </w:p>
        </w:tc>
        <w:tc>
          <w:tcPr>
            <w:tcW w:type="dxa" w:w="5112"/>
            <w:vAlign w:val="center"/>
          </w:tcPr>
          <w:p>
            <w:r/>
            <w:r>
              <w:rPr>
                <w:rFonts w:ascii="Aptos" w:hAnsi="Aptos"/>
                <w:b w:val="0"/>
                <w:sz w:val="17"/>
              </w:rPr>
              <w:t>Permanent reusable candidate master/profile. It is not a vacancy-specific assessment table.</w:t>
            </w:r>
          </w:p>
        </w:tc>
      </w:tr>
      <w:tr>
        <w:tc>
          <w:tcPr>
            <w:tcW w:type="dxa" w:w="5112"/>
            <w:vAlign w:val="center"/>
          </w:tcPr>
          <w:p>
            <w:r/>
            <w:r>
              <w:rPr>
                <w:rFonts w:ascii="Aptos" w:hAnsi="Aptos"/>
                <w:b w:val="0"/>
                <w:sz w:val="17"/>
              </w:rPr>
              <w:t>Application / Candidate Assessment</w:t>
            </w:r>
          </w:p>
        </w:tc>
        <w:tc>
          <w:tcPr>
            <w:tcW w:type="dxa" w:w="5112"/>
            <w:vAlign w:val="center"/>
          </w:tcPr>
          <w:p>
            <w:r/>
            <w:r>
              <w:rPr>
                <w:rFonts w:ascii="Aptos" w:hAnsi="Aptos"/>
                <w:b w:val="0"/>
                <w:sz w:val="17"/>
              </w:rPr>
              <w:t>The candidate evaluated against one Ref #. One candidate can therefore have multiple application/assessment records.</w:t>
            </w:r>
          </w:p>
        </w:tc>
      </w:tr>
      <w:tr>
        <w:tc>
          <w:tcPr>
            <w:tcW w:type="dxa" w:w="5112"/>
            <w:vAlign w:val="center"/>
          </w:tcPr>
          <w:p>
            <w:r/>
            <w:r>
              <w:rPr>
                <w:rFonts w:ascii="Aptos" w:hAnsi="Aptos"/>
                <w:b w:val="0"/>
                <w:sz w:val="17"/>
              </w:rPr>
              <w:t>Position</w:t>
            </w:r>
          </w:p>
        </w:tc>
        <w:tc>
          <w:tcPr>
            <w:tcW w:type="dxa" w:w="5112"/>
            <w:vAlign w:val="center"/>
          </w:tcPr>
          <w:p>
            <w:r/>
            <w:r>
              <w:rPr>
                <w:rFonts w:ascii="Aptos" w:hAnsi="Aptos"/>
                <w:b w:val="0"/>
                <w:sz w:val="17"/>
              </w:rPr>
              <w:t>A recruitment requisition/vacancy identified by a unique Ref #.</w:t>
            </w:r>
          </w:p>
        </w:tc>
      </w:tr>
      <w:tr>
        <w:tc>
          <w:tcPr>
            <w:tcW w:type="dxa" w:w="5112"/>
            <w:vAlign w:val="center"/>
          </w:tcPr>
          <w:p>
            <w:r/>
            <w:r>
              <w:rPr>
                <w:rFonts w:ascii="Aptos" w:hAnsi="Aptos"/>
                <w:b w:val="0"/>
                <w:sz w:val="17"/>
              </w:rPr>
              <w:t>JD Criteria</w:t>
            </w:r>
          </w:p>
        </w:tc>
        <w:tc>
          <w:tcPr>
            <w:tcW w:type="dxa" w:w="5112"/>
            <w:vAlign w:val="center"/>
          </w:tcPr>
          <w:p>
            <w:r/>
            <w:r>
              <w:rPr>
                <w:rFonts w:ascii="Aptos" w:hAnsi="Aptos"/>
                <w:b w:val="0"/>
                <w:sz w:val="17"/>
              </w:rPr>
              <w:t>The locked weighted assessment framework for a Position/Ref #.</w:t>
            </w:r>
          </w:p>
        </w:tc>
      </w:tr>
      <w:tr>
        <w:tc>
          <w:tcPr>
            <w:tcW w:type="dxa" w:w="5112"/>
            <w:vAlign w:val="center"/>
          </w:tcPr>
          <w:p>
            <w:r/>
            <w:r>
              <w:rPr>
                <w:rFonts w:ascii="Aptos" w:hAnsi="Aptos"/>
                <w:b w:val="0"/>
                <w:sz w:val="17"/>
              </w:rPr>
              <w:t>Client</w:t>
            </w:r>
          </w:p>
        </w:tc>
        <w:tc>
          <w:tcPr>
            <w:tcW w:type="dxa" w:w="5112"/>
            <w:vAlign w:val="center"/>
          </w:tcPr>
          <w:p>
            <w:r/>
            <w:r>
              <w:rPr>
                <w:rFonts w:ascii="Aptos" w:hAnsi="Aptos"/>
                <w:b w:val="0"/>
                <w:sz w:val="17"/>
              </w:rPr>
              <w:t>Commercial/customer master owning or requesting positions. In .NET this becomes a proper master module.</w:t>
            </w:r>
          </w:p>
        </w:tc>
      </w:tr>
      <w:tr>
        <w:tc>
          <w:tcPr>
            <w:tcW w:type="dxa" w:w="5112"/>
            <w:vAlign w:val="center"/>
          </w:tcPr>
          <w:p>
            <w:r/>
            <w:r>
              <w:rPr>
                <w:rFonts w:ascii="Aptos" w:hAnsi="Aptos"/>
                <w:b w:val="0"/>
                <w:sz w:val="17"/>
              </w:rPr>
              <w:t>AI Decision</w:t>
            </w:r>
          </w:p>
        </w:tc>
        <w:tc>
          <w:tcPr>
            <w:tcW w:type="dxa" w:w="5112"/>
            <w:vAlign w:val="center"/>
          </w:tcPr>
          <w:p>
            <w:r/>
            <w:r>
              <w:rPr>
                <w:rFonts w:ascii="Aptos" w:hAnsi="Aptos"/>
                <w:b w:val="0"/>
                <w:sz w:val="17"/>
              </w:rPr>
              <w:t>The original assessment recommendation. It is historical evidence and must not be overwritten by recruiter workflow.</w:t>
            </w:r>
          </w:p>
        </w:tc>
      </w:tr>
      <w:tr>
        <w:tc>
          <w:tcPr>
            <w:tcW w:type="dxa" w:w="5112"/>
            <w:vAlign w:val="center"/>
          </w:tcPr>
          <w:p>
            <w:r/>
            <w:r>
              <w:rPr>
                <w:rFonts w:ascii="Aptos" w:hAnsi="Aptos"/>
                <w:b w:val="0"/>
                <w:sz w:val="17"/>
              </w:rPr>
              <w:t>Recruitment Stage</w:t>
            </w:r>
          </w:p>
        </w:tc>
        <w:tc>
          <w:tcPr>
            <w:tcW w:type="dxa" w:w="5112"/>
            <w:vAlign w:val="center"/>
          </w:tcPr>
          <w:p>
            <w:r/>
            <w:r>
              <w:rPr>
                <w:rFonts w:ascii="Aptos" w:hAnsi="Aptos"/>
                <w:b w:val="0"/>
                <w:sz w:val="17"/>
              </w:rPr>
              <w:t>Operational pipeline state controlled by recruiters after assessment.</w:t>
            </w:r>
          </w:p>
        </w:tc>
      </w:tr>
      <w:tr>
        <w:tc>
          <w:tcPr>
            <w:tcW w:type="dxa" w:w="5112"/>
            <w:vAlign w:val="center"/>
          </w:tcPr>
          <w:p>
            <w:r/>
            <w:r>
              <w:rPr>
                <w:rFonts w:ascii="Aptos" w:hAnsi="Aptos"/>
                <w:b w:val="0"/>
                <w:sz w:val="17"/>
              </w:rPr>
              <w:t>Interview Status</w:t>
            </w:r>
          </w:p>
        </w:tc>
        <w:tc>
          <w:tcPr>
            <w:tcW w:type="dxa" w:w="5112"/>
            <w:vAlign w:val="center"/>
          </w:tcPr>
          <w:p>
            <w:r/>
            <w:r>
              <w:rPr>
                <w:rFonts w:ascii="Aptos" w:hAnsi="Aptos"/>
                <w:b w:val="0"/>
                <w:sz w:val="17"/>
              </w:rPr>
              <w:t>Operational interview progress.</w:t>
            </w:r>
          </w:p>
        </w:tc>
      </w:tr>
      <w:tr>
        <w:tc>
          <w:tcPr>
            <w:tcW w:type="dxa" w:w="5112"/>
            <w:vAlign w:val="center"/>
          </w:tcPr>
          <w:p>
            <w:r/>
            <w:r>
              <w:rPr>
                <w:rFonts w:ascii="Aptos" w:hAnsi="Aptos"/>
                <w:b w:val="0"/>
                <w:sz w:val="17"/>
              </w:rPr>
              <w:t>Client Status</w:t>
            </w:r>
          </w:p>
        </w:tc>
        <w:tc>
          <w:tcPr>
            <w:tcW w:type="dxa" w:w="5112"/>
            <w:vAlign w:val="center"/>
          </w:tcPr>
          <w:p>
            <w:r/>
            <w:r>
              <w:rPr>
                <w:rFonts w:ascii="Aptos" w:hAnsi="Aptos"/>
                <w:b w:val="0"/>
                <w:sz w:val="17"/>
              </w:rPr>
              <w:t>Downstream/client-side state; when present it has the highest operational authority for relevant lifecycle outcomes.</w:t>
            </w:r>
          </w:p>
        </w:tc>
      </w:tr>
      <w:tr>
        <w:tc>
          <w:tcPr>
            <w:tcW w:type="dxa" w:w="5112"/>
            <w:vAlign w:val="center"/>
          </w:tcPr>
          <w:p>
            <w:r/>
            <w:r>
              <w:rPr>
                <w:rFonts w:ascii="Aptos" w:hAnsi="Aptos"/>
                <w:b w:val="0"/>
                <w:sz w:val="17"/>
              </w:rPr>
              <w:t>Activity/Audit</w:t>
            </w:r>
          </w:p>
        </w:tc>
        <w:tc>
          <w:tcPr>
            <w:tcW w:type="dxa" w:w="5112"/>
            <w:vAlign w:val="center"/>
          </w:tcPr>
          <w:p>
            <w:r/>
            <w:r>
              <w:rPr>
                <w:rFonts w:ascii="Aptos" w:hAnsi="Aptos"/>
                <w:b w:val="0"/>
                <w:sz w:val="17"/>
              </w:rPr>
              <w:t>Who did what, to which record, and when. Commercial .NET design must make this first-class.</w:t>
            </w:r>
          </w:p>
        </w:tc>
      </w:tr>
    </w:tbl>
    <w:p/>
    <w:p>
      <w:pPr>
        <w:pStyle w:val="Heading1"/>
      </w:pPr>
      <w:r>
        <w:t>4. Current Google Sheets Business Model</w:t>
      </w:r>
    </w:p>
    <w:p>
      <w:pPr>
        <w:spacing w:after="100"/>
      </w:pPr>
      <w:r>
        <w:t>The live workbook is Osynix_ATS_Master_Tracker. The sheets below are the current functional data areas. The .NET database does not need to copy this tab structure literally, but it must preserve the same ownership and history semantics.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Sheet / Area</w:t>
            </w:r>
          </w:p>
        </w:tc>
        <w:tc>
          <w:tcPr>
            <w:tcW w:type="dxa" w:w="5112"/>
            <w:vAlign w:val="center"/>
            <w:shd w:fill="175AFF"/>
          </w:tcPr>
          <w:p>
            <w:r/>
            <w:r>
              <w:rPr>
                <w:rFonts w:ascii="Aptos" w:hAnsi="Aptos"/>
                <w:b/>
                <w:color w:val="FFFFFF"/>
                <w:sz w:val="17"/>
              </w:rPr>
              <w:t>Purpose</w:t>
            </w:r>
          </w:p>
        </w:tc>
      </w:tr>
      <w:tr>
        <w:tc>
          <w:tcPr>
            <w:tcW w:type="dxa" w:w="5112"/>
            <w:vAlign w:val="center"/>
          </w:tcPr>
          <w:p>
            <w:r/>
            <w:r>
              <w:rPr>
                <w:rFonts w:ascii="Aptos" w:hAnsi="Aptos"/>
                <w:b w:val="0"/>
                <w:sz w:val="17"/>
              </w:rPr>
              <w:t>Lists &amp; Settings</w:t>
            </w:r>
          </w:p>
        </w:tc>
        <w:tc>
          <w:tcPr>
            <w:tcW w:type="dxa" w:w="5112"/>
            <w:vAlign w:val="center"/>
          </w:tcPr>
          <w:p>
            <w:r/>
            <w:r>
              <w:rPr>
                <w:rFonts w:ascii="Aptos" w:hAnsi="Aptos"/>
                <w:b w:val="0"/>
                <w:sz w:val="17"/>
              </w:rPr>
              <w:t>Controlled lists, validation values, and decision/settings data used by ATS workflows.</w:t>
            </w:r>
          </w:p>
        </w:tc>
      </w:tr>
      <w:tr>
        <w:tc>
          <w:tcPr>
            <w:tcW w:type="dxa" w:w="5112"/>
            <w:vAlign w:val="center"/>
          </w:tcPr>
          <w:p>
            <w:r/>
            <w:r>
              <w:rPr>
                <w:rFonts w:ascii="Aptos" w:hAnsi="Aptos"/>
                <w:b w:val="0"/>
                <w:sz w:val="17"/>
              </w:rPr>
              <w:t>Positions Master</w:t>
            </w:r>
          </w:p>
        </w:tc>
        <w:tc>
          <w:tcPr>
            <w:tcW w:type="dxa" w:w="5112"/>
            <w:vAlign w:val="center"/>
          </w:tcPr>
          <w:p>
            <w:r/>
            <w:r>
              <w:rPr>
                <w:rFonts w:ascii="Aptos" w:hAnsi="Aptos"/>
                <w:b w:val="0"/>
                <w:sz w:val="17"/>
              </w:rPr>
              <w:t>One row per position/requisition and its Ref #.</w:t>
            </w:r>
          </w:p>
        </w:tc>
      </w:tr>
      <w:tr>
        <w:tc>
          <w:tcPr>
            <w:tcW w:type="dxa" w:w="5112"/>
            <w:vAlign w:val="center"/>
          </w:tcPr>
          <w:p>
            <w:r/>
            <w:r>
              <w:rPr>
                <w:rFonts w:ascii="Aptos" w:hAnsi="Aptos"/>
                <w:b w:val="0"/>
                <w:sz w:val="17"/>
              </w:rPr>
              <w:t>JD Criteria</w:t>
            </w:r>
          </w:p>
        </w:tc>
        <w:tc>
          <w:tcPr>
            <w:tcW w:type="dxa" w:w="5112"/>
            <w:vAlign w:val="center"/>
          </w:tcPr>
          <w:p>
            <w:r/>
            <w:r>
              <w:rPr>
                <w:rFonts w:ascii="Aptos" w:hAnsi="Aptos"/>
                <w:b w:val="0"/>
                <w:sz w:val="17"/>
              </w:rPr>
              <w:t>Multiple criteria rows per Ref #; weights, knockout flags and evidence/scoring guidance.</w:t>
            </w:r>
          </w:p>
        </w:tc>
      </w:tr>
      <w:tr>
        <w:tc>
          <w:tcPr>
            <w:tcW w:type="dxa" w:w="5112"/>
            <w:vAlign w:val="center"/>
          </w:tcPr>
          <w:p>
            <w:r/>
            <w:r>
              <w:rPr>
                <w:rFonts w:ascii="Aptos" w:hAnsi="Aptos"/>
                <w:b w:val="0"/>
                <w:sz w:val="17"/>
              </w:rPr>
              <w:t>Candidates</w:t>
            </w:r>
          </w:p>
        </w:tc>
        <w:tc>
          <w:tcPr>
            <w:tcW w:type="dxa" w:w="5112"/>
            <w:vAlign w:val="center"/>
          </w:tcPr>
          <w:p>
            <w:r/>
            <w:r>
              <w:rPr>
                <w:rFonts w:ascii="Aptos" w:hAnsi="Aptos"/>
                <w:b w:val="0"/>
                <w:sz w:val="17"/>
              </w:rPr>
              <w:t>Candidate + Ref # assessment/application history. Same candidate may appear multiple times for different Ref #s.</w:t>
            </w:r>
          </w:p>
        </w:tc>
      </w:tr>
      <w:tr>
        <w:tc>
          <w:tcPr>
            <w:tcW w:type="dxa" w:w="5112"/>
            <w:vAlign w:val="center"/>
          </w:tcPr>
          <w:p>
            <w:r/>
            <w:r>
              <w:rPr>
                <w:rFonts w:ascii="Aptos" w:hAnsi="Aptos"/>
                <w:b w:val="0"/>
                <w:sz w:val="17"/>
              </w:rPr>
              <w:t>Talent Pool Master</w:t>
            </w:r>
          </w:p>
        </w:tc>
        <w:tc>
          <w:tcPr>
            <w:tcW w:type="dxa" w:w="5112"/>
            <w:vAlign w:val="center"/>
          </w:tcPr>
          <w:p>
            <w:r/>
            <w:r>
              <w:rPr>
                <w:rFonts w:ascii="Aptos" w:hAnsi="Aptos"/>
                <w:b w:val="0"/>
                <w:sz w:val="17"/>
              </w:rPr>
              <w:t>One permanent candidate master record per Candidate ID.</w:t>
            </w:r>
          </w:p>
        </w:tc>
      </w:tr>
      <w:tr>
        <w:tc>
          <w:tcPr>
            <w:tcW w:type="dxa" w:w="5112"/>
            <w:vAlign w:val="center"/>
          </w:tcPr>
          <w:p>
            <w:r/>
            <w:r>
              <w:rPr>
                <w:rFonts w:ascii="Aptos" w:hAnsi="Aptos"/>
                <w:b w:val="0"/>
                <w:sz w:val="17"/>
              </w:rPr>
              <w:t>Recruitment Pipeline</w:t>
            </w:r>
          </w:p>
        </w:tc>
        <w:tc>
          <w:tcPr>
            <w:tcW w:type="dxa" w:w="5112"/>
            <w:vAlign w:val="center"/>
          </w:tcPr>
          <w:p>
            <w:r/>
            <w:r>
              <w:rPr>
                <w:rFonts w:ascii="Aptos" w:hAnsi="Aptos"/>
                <w:b w:val="0"/>
                <w:sz w:val="17"/>
              </w:rPr>
              <w:t>Operational recruitment/pipeline data area used by the ATS.</w:t>
            </w:r>
          </w:p>
        </w:tc>
      </w:tr>
      <w:tr>
        <w:tc>
          <w:tcPr>
            <w:tcW w:type="dxa" w:w="5112"/>
            <w:vAlign w:val="center"/>
          </w:tcPr>
          <w:p>
            <w:r/>
            <w:r>
              <w:rPr>
                <w:rFonts w:ascii="Aptos" w:hAnsi="Aptos"/>
                <w:b w:val="0"/>
                <w:sz w:val="17"/>
              </w:rPr>
              <w:t>Dashboard / New Dashboard / Dashboard Data</w:t>
            </w:r>
          </w:p>
        </w:tc>
        <w:tc>
          <w:tcPr>
            <w:tcW w:type="dxa" w:w="5112"/>
            <w:vAlign w:val="center"/>
          </w:tcPr>
          <w:p>
            <w:r/>
            <w:r>
              <w:rPr>
                <w:rFonts w:ascii="Aptos" w:hAnsi="Aptos"/>
                <w:b w:val="0"/>
                <w:sz w:val="17"/>
              </w:rPr>
              <w:t>Dashboard aggregation and presentation support.</w:t>
            </w:r>
          </w:p>
        </w:tc>
      </w:tr>
      <w:tr>
        <w:tc>
          <w:tcPr>
            <w:tcW w:type="dxa" w:w="5112"/>
            <w:vAlign w:val="center"/>
          </w:tcPr>
          <w:p>
            <w:r/>
            <w:r>
              <w:rPr>
                <w:rFonts w:ascii="Aptos" w:hAnsi="Aptos"/>
                <w:b w:val="0"/>
                <w:sz w:val="17"/>
              </w:rPr>
              <w:t>Users &amp; Access</w:t>
            </w:r>
          </w:p>
        </w:tc>
        <w:tc>
          <w:tcPr>
            <w:tcW w:type="dxa" w:w="5112"/>
            <w:vAlign w:val="center"/>
          </w:tcPr>
          <w:p>
            <w:r/>
            <w:r>
              <w:rPr>
                <w:rFonts w:ascii="Aptos" w:hAnsi="Aptos"/>
                <w:b w:val="0"/>
                <w:sz w:val="17"/>
              </w:rPr>
              <w:t>Current user/access control data.</w:t>
            </w:r>
          </w:p>
        </w:tc>
      </w:tr>
      <w:tr>
        <w:tc>
          <w:tcPr>
            <w:tcW w:type="dxa" w:w="5112"/>
            <w:vAlign w:val="center"/>
          </w:tcPr>
          <w:p>
            <w:r/>
            <w:r>
              <w:rPr>
                <w:rFonts w:ascii="Aptos" w:hAnsi="Aptos"/>
                <w:b w:val="0"/>
                <w:sz w:val="17"/>
              </w:rPr>
              <w:t>Activity Log</w:t>
            </w:r>
          </w:p>
        </w:tc>
        <w:tc>
          <w:tcPr>
            <w:tcW w:type="dxa" w:w="5112"/>
            <w:vAlign w:val="center"/>
          </w:tcPr>
          <w:p>
            <w:r/>
            <w:r>
              <w:rPr>
                <w:rFonts w:ascii="Aptos" w:hAnsi="Aptos"/>
                <w:b w:val="0"/>
                <w:sz w:val="17"/>
              </w:rPr>
              <w:t>Operational audit/activity records.</w:t>
            </w:r>
          </w:p>
        </w:tc>
      </w:tr>
      <w:tr>
        <w:tc>
          <w:tcPr>
            <w:tcW w:type="dxa" w:w="5112"/>
            <w:vAlign w:val="center"/>
          </w:tcPr>
          <w:p>
            <w:r/>
            <w:r>
              <w:rPr>
                <w:rFonts w:ascii="Aptos" w:hAnsi="Aptos"/>
                <w:b w:val="0"/>
                <w:sz w:val="17"/>
              </w:rPr>
              <w:t>User Sessions</w:t>
            </w:r>
          </w:p>
        </w:tc>
        <w:tc>
          <w:tcPr>
            <w:tcW w:type="dxa" w:w="5112"/>
            <w:vAlign w:val="center"/>
          </w:tcPr>
          <w:p>
            <w:r/>
            <w:r>
              <w:rPr>
                <w:rFonts w:ascii="Aptos" w:hAnsi="Aptos"/>
                <w:b w:val="0"/>
                <w:sz w:val="17"/>
              </w:rPr>
              <w:t>Session tracking.</w:t>
            </w:r>
          </w:p>
        </w:tc>
      </w:tr>
      <w:tr>
        <w:tc>
          <w:tcPr>
            <w:tcW w:type="dxa" w:w="5112"/>
            <w:vAlign w:val="center"/>
          </w:tcPr>
          <w:p>
            <w:r/>
            <w:r>
              <w:rPr>
                <w:rFonts w:ascii="Aptos" w:hAnsi="Aptos"/>
                <w:b w:val="0"/>
                <w:sz w:val="17"/>
              </w:rPr>
              <w:t>Trusted Devices</w:t>
            </w:r>
          </w:p>
        </w:tc>
        <w:tc>
          <w:tcPr>
            <w:tcW w:type="dxa" w:w="5112"/>
            <w:vAlign w:val="center"/>
          </w:tcPr>
          <w:p>
            <w:r/>
            <w:r>
              <w:rPr>
                <w:rFonts w:ascii="Aptos" w:hAnsi="Aptos"/>
                <w:b w:val="0"/>
                <w:sz w:val="17"/>
              </w:rPr>
              <w:t>Trusted-device/security support.</w:t>
            </w:r>
          </w:p>
        </w:tc>
      </w:tr>
    </w:tbl>
    <w:p/>
    <w:p>
      <w:pPr>
        <w:pStyle w:val="Heading2"/>
      </w:pPr>
      <w:r>
        <w:t>4.1 Talent Pool Master — current logical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Group</w:t>
            </w:r>
          </w:p>
        </w:tc>
        <w:tc>
          <w:tcPr>
            <w:tcW w:type="dxa" w:w="5112"/>
            <w:vAlign w:val="center"/>
            <w:shd w:fill="175AFF"/>
          </w:tcPr>
          <w:p>
            <w:r/>
            <w:r>
              <w:rPr>
                <w:rFonts w:ascii="Aptos" w:hAnsi="Aptos"/>
                <w:b/>
                <w:color w:val="FFFFFF"/>
                <w:sz w:val="17"/>
              </w:rPr>
              <w:t>Fields</w:t>
            </w:r>
          </w:p>
        </w:tc>
      </w:tr>
      <w:tr>
        <w:tc>
          <w:tcPr>
            <w:tcW w:type="dxa" w:w="5112"/>
            <w:vAlign w:val="center"/>
          </w:tcPr>
          <w:p>
            <w:r/>
            <w:r>
              <w:rPr>
                <w:rFonts w:ascii="Aptos" w:hAnsi="Aptos"/>
                <w:b w:val="0"/>
                <w:sz w:val="17"/>
              </w:rPr>
              <w:t>Identity</w:t>
            </w:r>
          </w:p>
        </w:tc>
        <w:tc>
          <w:tcPr>
            <w:tcW w:type="dxa" w:w="5112"/>
            <w:vAlign w:val="center"/>
          </w:tcPr>
          <w:p>
            <w:r/>
            <w:r>
              <w:rPr>
                <w:rFonts w:ascii="Aptos" w:hAnsi="Aptos"/>
                <w:b w:val="0"/>
                <w:sz w:val="17"/>
              </w:rPr>
              <w:t>Candidate ID; Candidate Name; Mobile / Phone Number; Email ID; Location</w:t>
            </w:r>
          </w:p>
        </w:tc>
      </w:tr>
      <w:tr>
        <w:tc>
          <w:tcPr>
            <w:tcW w:type="dxa" w:w="5112"/>
            <w:vAlign w:val="center"/>
          </w:tcPr>
          <w:p>
            <w:r/>
            <w:r>
              <w:rPr>
                <w:rFonts w:ascii="Aptos" w:hAnsi="Aptos"/>
                <w:b w:val="0"/>
                <w:sz w:val="17"/>
              </w:rPr>
              <w:t>Current profile</w:t>
            </w:r>
          </w:p>
        </w:tc>
        <w:tc>
          <w:tcPr>
            <w:tcW w:type="dxa" w:w="5112"/>
            <w:vAlign w:val="center"/>
          </w:tcPr>
          <w:p>
            <w:r/>
            <w:r>
              <w:rPr>
                <w:rFonts w:ascii="Aptos" w:hAnsi="Aptos"/>
                <w:b w:val="0"/>
                <w:sz w:val="17"/>
              </w:rPr>
              <w:t>Current / Latest Designation; Current / Latest Company; Total Experience (Yrs)</w:t>
            </w:r>
          </w:p>
        </w:tc>
      </w:tr>
      <w:tr>
        <w:tc>
          <w:tcPr>
            <w:tcW w:type="dxa" w:w="5112"/>
            <w:vAlign w:val="center"/>
          </w:tcPr>
          <w:p>
            <w:r/>
            <w:r>
              <w:rPr>
                <w:rFonts w:ascii="Aptos" w:hAnsi="Aptos"/>
                <w:b w:val="0"/>
                <w:sz w:val="17"/>
              </w:rPr>
              <w:t>Professional taxonomy</w:t>
            </w:r>
          </w:p>
        </w:tc>
        <w:tc>
          <w:tcPr>
            <w:tcW w:type="dxa" w:w="5112"/>
            <w:vAlign w:val="center"/>
          </w:tcPr>
          <w:p>
            <w:r/>
            <w:r>
              <w:rPr>
                <w:rFonts w:ascii="Aptos" w:hAnsi="Aptos"/>
                <w:b w:val="0"/>
                <w:sz w:val="17"/>
              </w:rPr>
              <w:t>Primary Function; Secondary Function / Specialization; Industries / Domains; Core Skills; Seniority Level; Systems / Tools; Geographic / Market Exposure</w:t>
            </w:r>
          </w:p>
        </w:tc>
      </w:tr>
      <w:tr>
        <w:tc>
          <w:tcPr>
            <w:tcW w:type="dxa" w:w="5112"/>
            <w:vAlign w:val="center"/>
          </w:tcPr>
          <w:p>
            <w:r/>
            <w:r>
              <w:rPr>
                <w:rFonts w:ascii="Aptos" w:hAnsi="Aptos"/>
                <w:b w:val="0"/>
                <w:sz w:val="17"/>
              </w:rPr>
              <w:t>Narrative/profile</w:t>
            </w:r>
          </w:p>
        </w:tc>
        <w:tc>
          <w:tcPr>
            <w:tcW w:type="dxa" w:w="5112"/>
            <w:vAlign w:val="center"/>
          </w:tcPr>
          <w:p>
            <w:r/>
            <w:r>
              <w:rPr>
                <w:rFonts w:ascii="Aptos" w:hAnsi="Aptos"/>
                <w:b w:val="0"/>
                <w:sz w:val="17"/>
              </w:rPr>
              <w:t>Career Profile Summary; Professional Summary; Employment / Career History; Education</w:t>
            </w:r>
          </w:p>
        </w:tc>
      </w:tr>
      <w:tr>
        <w:tc>
          <w:tcPr>
            <w:tcW w:type="dxa" w:w="5112"/>
            <w:vAlign w:val="center"/>
          </w:tcPr>
          <w:p>
            <w:r/>
            <w:r>
              <w:rPr>
                <w:rFonts w:ascii="Aptos" w:hAnsi="Aptos"/>
                <w:b w:val="0"/>
                <w:sz w:val="17"/>
              </w:rPr>
              <w:t>Talent state</w:t>
            </w:r>
          </w:p>
        </w:tc>
        <w:tc>
          <w:tcPr>
            <w:tcW w:type="dxa" w:w="5112"/>
            <w:vAlign w:val="center"/>
          </w:tcPr>
          <w:p>
            <w:r/>
            <w:r>
              <w:rPr>
                <w:rFonts w:ascii="Aptos" w:hAnsi="Aptos"/>
                <w:b w:val="0"/>
                <w:sz w:val="17"/>
              </w:rPr>
              <w:t>Talent Pool Status; First Screened Date; Last Assessed Date; Ref #s Assessed Against; Assessment Count; Latest Decision; Latest Recruitment Stage</w:t>
            </w:r>
          </w:p>
        </w:tc>
      </w:tr>
      <w:tr>
        <w:tc>
          <w:tcPr>
            <w:tcW w:type="dxa" w:w="5112"/>
            <w:vAlign w:val="center"/>
          </w:tcPr>
          <w:p>
            <w:r/>
            <w:r>
              <w:rPr>
                <w:rFonts w:ascii="Aptos" w:hAnsi="Aptos"/>
                <w:b w:val="0"/>
                <w:sz w:val="17"/>
              </w:rPr>
              <w:t>Documents/notes</w:t>
            </w:r>
          </w:p>
        </w:tc>
        <w:tc>
          <w:tcPr>
            <w:tcW w:type="dxa" w:w="5112"/>
            <w:vAlign w:val="center"/>
          </w:tcPr>
          <w:p>
            <w:r/>
            <w:r>
              <w:rPr>
                <w:rFonts w:ascii="Aptos" w:hAnsi="Aptos"/>
                <w:b w:val="0"/>
                <w:sz w:val="17"/>
              </w:rPr>
              <w:t>Source CV / File; Talent Pool Notes; Last Updated</w:t>
            </w:r>
          </w:p>
        </w:tc>
      </w:tr>
    </w:tbl>
    <w:p/>
    <w:p>
      <w:pPr>
        <w:spacing w:after="100"/>
      </w:pPr>
      <w:r>
        <w:t>Structured Employment / Career History and Education are stored in the current Sheet as serialized structured data. The .NET design should model them appropriately rather than reproducing the spreadsheet-string compromise.</w:t>
      </w:r>
    </w:p>
    <w:p>
      <w:pPr>
        <w:pStyle w:val="Heading2"/>
      </w:pPr>
      <w:r>
        <w:t>4.2 Candidates — current logical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Group</w:t>
            </w:r>
          </w:p>
        </w:tc>
        <w:tc>
          <w:tcPr>
            <w:tcW w:type="dxa" w:w="5112"/>
            <w:vAlign w:val="center"/>
            <w:shd w:fill="175AFF"/>
          </w:tcPr>
          <w:p>
            <w:r/>
            <w:r>
              <w:rPr>
                <w:rFonts w:ascii="Aptos" w:hAnsi="Aptos"/>
                <w:b/>
                <w:color w:val="FFFFFF"/>
                <w:sz w:val="17"/>
              </w:rPr>
              <w:t>Fields</w:t>
            </w:r>
          </w:p>
        </w:tc>
      </w:tr>
      <w:tr>
        <w:tc>
          <w:tcPr>
            <w:tcW w:type="dxa" w:w="5112"/>
            <w:vAlign w:val="center"/>
          </w:tcPr>
          <w:p>
            <w:r/>
            <w:r>
              <w:rPr>
                <w:rFonts w:ascii="Aptos" w:hAnsi="Aptos"/>
                <w:b w:val="0"/>
                <w:sz w:val="17"/>
              </w:rPr>
              <w:t>Identity/application</w:t>
            </w:r>
          </w:p>
        </w:tc>
        <w:tc>
          <w:tcPr>
            <w:tcW w:type="dxa" w:w="5112"/>
            <w:vAlign w:val="center"/>
          </w:tcPr>
          <w:p>
            <w:r/>
            <w:r>
              <w:rPr>
                <w:rFonts w:ascii="Aptos" w:hAnsi="Aptos"/>
                <w:b w:val="0"/>
                <w:sz w:val="17"/>
              </w:rPr>
              <w:t>Candidate ID; Ref #; Candidate Name; Mobile; Email; Current Designation; Current Company; Location</w:t>
            </w:r>
          </w:p>
        </w:tc>
      </w:tr>
      <w:tr>
        <w:tc>
          <w:tcPr>
            <w:tcW w:type="dxa" w:w="5112"/>
            <w:vAlign w:val="center"/>
          </w:tcPr>
          <w:p>
            <w:r/>
            <w:r>
              <w:rPr>
                <w:rFonts w:ascii="Aptos" w:hAnsi="Aptos"/>
                <w:b w:val="0"/>
                <w:sz w:val="17"/>
              </w:rPr>
              <w:t>Experience</w:t>
            </w:r>
          </w:p>
        </w:tc>
        <w:tc>
          <w:tcPr>
            <w:tcW w:type="dxa" w:w="5112"/>
            <w:vAlign w:val="center"/>
          </w:tcPr>
          <w:p>
            <w:r/>
            <w:r>
              <w:rPr>
                <w:rFonts w:ascii="Aptos" w:hAnsi="Aptos"/>
                <w:b w:val="0"/>
                <w:sz w:val="17"/>
              </w:rPr>
              <w:t>Total Experience; Relevant Industry Experience</w:t>
            </w:r>
          </w:p>
        </w:tc>
      </w:tr>
      <w:tr>
        <w:tc>
          <w:tcPr>
            <w:tcW w:type="dxa" w:w="5112"/>
            <w:vAlign w:val="center"/>
          </w:tcPr>
          <w:p>
            <w:r/>
            <w:r>
              <w:rPr>
                <w:rFonts w:ascii="Aptos" w:hAnsi="Aptos"/>
                <w:b w:val="0"/>
                <w:sz w:val="17"/>
              </w:rPr>
              <w:t>Assessment</w:t>
            </w:r>
          </w:p>
        </w:tc>
        <w:tc>
          <w:tcPr>
            <w:tcW w:type="dxa" w:w="5112"/>
            <w:vAlign w:val="center"/>
          </w:tcPr>
          <w:p>
            <w:r/>
            <w:r>
              <w:rPr>
                <w:rFonts w:ascii="Aptos" w:hAnsi="Aptos"/>
                <w:b w:val="0"/>
                <w:sz w:val="17"/>
              </w:rPr>
              <w:t>Date Screened; Evidence Strength /10; ATS Match %; Must-Have Fit; Core Role Fit /10; Key Strengths; Key Gap / Risk; Executive Assessment; Decision</w:t>
            </w:r>
          </w:p>
        </w:tc>
      </w:tr>
      <w:tr>
        <w:tc>
          <w:tcPr>
            <w:tcW w:type="dxa" w:w="5112"/>
            <w:vAlign w:val="center"/>
          </w:tcPr>
          <w:p>
            <w:r/>
            <w:r>
              <w:rPr>
                <w:rFonts w:ascii="Aptos" w:hAnsi="Aptos"/>
                <w:b w:val="0"/>
                <w:sz w:val="17"/>
              </w:rPr>
              <w:t>Lifecycle</w:t>
            </w:r>
          </w:p>
        </w:tc>
        <w:tc>
          <w:tcPr>
            <w:tcW w:type="dxa" w:w="5112"/>
            <w:vAlign w:val="center"/>
          </w:tcPr>
          <w:p>
            <w:r/>
            <w:r>
              <w:rPr>
                <w:rFonts w:ascii="Aptos" w:hAnsi="Aptos"/>
                <w:b w:val="0"/>
                <w:sz w:val="17"/>
              </w:rPr>
              <w:t>Recruitment Stage; Interview Status; Client Status</w:t>
            </w:r>
          </w:p>
        </w:tc>
      </w:tr>
      <w:tr>
        <w:tc>
          <w:tcPr>
            <w:tcW w:type="dxa" w:w="5112"/>
            <w:vAlign w:val="center"/>
          </w:tcPr>
          <w:p>
            <w:r/>
            <w:r>
              <w:rPr>
                <w:rFonts w:ascii="Aptos" w:hAnsi="Aptos"/>
                <w:b w:val="0"/>
                <w:sz w:val="17"/>
              </w:rPr>
              <w:t>Recruiter operations</w:t>
            </w:r>
          </w:p>
        </w:tc>
        <w:tc>
          <w:tcPr>
            <w:tcW w:type="dxa" w:w="5112"/>
            <w:vAlign w:val="center"/>
          </w:tcPr>
          <w:p>
            <w:r/>
            <w:r>
              <w:rPr>
                <w:rFonts w:ascii="Aptos" w:hAnsi="Aptos"/>
                <w:b w:val="0"/>
                <w:sz w:val="17"/>
              </w:rPr>
              <w:t>Expected Salary; Availability; Recruiter Notes</w:t>
            </w:r>
          </w:p>
        </w:tc>
      </w:tr>
      <w:tr>
        <w:tc>
          <w:tcPr>
            <w:tcW w:type="dxa" w:w="5112"/>
            <w:vAlign w:val="center"/>
          </w:tcPr>
          <w:p>
            <w:r/>
            <w:r>
              <w:rPr>
                <w:rFonts w:ascii="Aptos" w:hAnsi="Aptos"/>
                <w:b w:val="0"/>
                <w:sz w:val="17"/>
              </w:rPr>
              <w:t>Evidence/history</w:t>
            </w:r>
          </w:p>
        </w:tc>
        <w:tc>
          <w:tcPr>
            <w:tcW w:type="dxa" w:w="5112"/>
            <w:vAlign w:val="center"/>
          </w:tcPr>
          <w:p>
            <w:r/>
            <w:r>
              <w:rPr>
                <w:rFonts w:ascii="Aptos" w:hAnsi="Aptos"/>
                <w:b w:val="0"/>
                <w:sz w:val="17"/>
              </w:rPr>
              <w:t>CV/File Link; Last Updated; Criterion Results JSON</w:t>
            </w:r>
          </w:p>
        </w:tc>
      </w:tr>
    </w:tbl>
    <w:p/>
    <w:p>
      <w:pPr>
        <w:spacing w:after="100"/>
      </w:pPr>
      <w:r>
        <w:t>Criterion Results JSON was added so a saved assessment retains its criterion-by-criterion evidence, score, confidence and rationale. Older assessments created before this field existed must never have detailed criterion scores fabricated retrospectively.</w:t>
      </w:r>
    </w:p>
    <w:p>
      <w:pPr>
        <w:pStyle w:val="Heading1"/>
      </w:pPr>
      <w:r>
        <w:t>5. Identifier and Duplicate Rules</w:t>
      </w:r>
    </w:p>
    <w:p>
      <w:pPr>
        <w:pStyle w:val="Heading2"/>
      </w:pPr>
      <w:r>
        <w:t>5.1 Candidate identity</w:t>
      </w:r>
    </w:p>
    <w:p>
      <w:pPr>
        <w:pStyle w:val="ListBullet"/>
        <w:spacing w:after="40"/>
      </w:pPr>
      <w:r>
        <w:t>Candidate ID is the permanent person identifier and is reused across vacancies.</w:t>
      </w:r>
    </w:p>
    <w:p>
      <w:pPr>
        <w:pStyle w:val="ListBullet"/>
        <w:spacing w:after="40"/>
      </w:pPr>
      <w:r>
        <w:t>A rejected application does not remove the person from the Talent Pool.</w:t>
      </w:r>
    </w:p>
    <w:p>
      <w:pPr>
        <w:pStyle w:val="ListBullet"/>
        <w:spacing w:after="40"/>
      </w:pPr>
      <w:r>
        <w:t>A candidate can be assessed against many Ref #s while remaining one Talent Pool person.</w:t>
      </w:r>
    </w:p>
    <w:p>
      <w:pPr>
        <w:pStyle w:val="ListBullet"/>
        <w:spacing w:after="40"/>
      </w:pPr>
      <w:r>
        <w:t>New Candidate IDs use the first genuinely empty Candidate ID slot/sequence behavior in the current implementation; .NET may use a stronger ID generator while preserving uniqueness and human-readable identifiers if desired.</w:t>
      </w:r>
    </w:p>
    <w:p>
      <w:pPr>
        <w:pStyle w:val="Heading2"/>
      </w:pPr>
      <w:r>
        <w:t>5.2 Duplicate matching order</w:t>
      </w:r>
    </w:p>
    <w:p>
      <w:pPr>
        <w:pStyle w:val="ListNumber"/>
        <w:spacing w:after="40"/>
      </w:pPr>
      <w:r>
        <w:t>Match normalized Email first.</w:t>
      </w:r>
    </w:p>
    <w:p>
      <w:pPr>
        <w:pStyle w:val="ListNumber"/>
        <w:spacing w:after="40"/>
      </w:pPr>
      <w:r>
        <w:t>If Email does not resolve the person, match Phone.</w:t>
      </w:r>
    </w:p>
    <w:p>
      <w:pPr>
        <w:pStyle w:val="ListNumber"/>
        <w:spacing w:after="40"/>
      </w:pPr>
      <w:r>
        <w:t>If still unresolved, use a unique normalized Candidate Name match only where it is unambiguous.</w:t>
      </w:r>
    </w:p>
    <w:p>
      <w:pPr>
        <w:pStyle w:val="ListNumber"/>
        <w:spacing w:after="40"/>
      </w:pPr>
      <w:r>
        <w:t>Same person + same Ref # = update the existing assessment/application rather than creating a duplicate.</w:t>
      </w:r>
    </w:p>
    <w:p>
      <w:pPr>
        <w:pStyle w:val="ListNumber"/>
        <w:spacing w:after="40"/>
      </w:pPr>
      <w:r>
        <w:t>Same person + different Ref # = reuse the Candidate ID and create a new assessment/application record.</w:t>
      </w:r>
    </w:p>
    <w:p>
      <w:pPr>
        <w:spacing w:after="100"/>
      </w:pPr>
      <w:r>
        <w:t>The .NET implementation should make duplicate resolution explicit and auditable. It must not create a new person merely because the same person applies to another vacancy.</w:t>
      </w:r>
    </w:p>
    <w:p>
      <w:pPr>
        <w:pStyle w:val="Heading1"/>
      </w:pPr>
      <w:r>
        <w:t>6. Position and Client Management</w:t>
      </w:r>
    </w:p>
    <w:p>
      <w:pPr>
        <w:pStyle w:val="Heading2"/>
      </w:pPr>
      <w:r>
        <w:t>6.1 Position reference</w:t>
      </w:r>
    </w:p>
    <w:p>
      <w:pPr>
        <w:pStyle w:val="ListBullet"/>
        <w:spacing w:after="40"/>
      </w:pPr>
      <w:r>
        <w:t>Every vacancy has a Ref # used throughout assessment, candidate history, criteria and reporting.</w:t>
      </w:r>
    </w:p>
    <w:p>
      <w:pPr>
        <w:pStyle w:val="ListBullet"/>
        <w:spacing w:after="40"/>
      </w:pPr>
      <w:r>
        <w:t>Reference display convention has been short numeric + title, e.g. 001 – Role Title. Where duplicate titles exist across clients, include the client name for clarity.</w:t>
      </w:r>
    </w:p>
    <w:p>
      <w:pPr>
        <w:pStyle w:val="Heading2"/>
      </w:pPr>
      <w:r>
        <w:t>6.2 Create Position / JD analysis workflow</w:t>
      </w:r>
    </w:p>
    <w:p>
      <w:pPr>
        <w:pStyle w:val="ListNumber"/>
        <w:spacing w:after="40"/>
      </w:pPr>
      <w:r>
        <w:t>Recruiter supplies client, position, location and uploads the JD.</w:t>
      </w:r>
    </w:p>
    <w:p>
      <w:pPr>
        <w:pStyle w:val="ListNumber"/>
        <w:spacing w:after="40"/>
      </w:pPr>
      <w:r>
        <w:t>The system sends the JD to OpenAI for analysis and receives a DRAFT position summary plus 4–10 structured assessment criteria.</w:t>
      </w:r>
    </w:p>
    <w:p>
      <w:pPr>
        <w:pStyle w:val="ListNumber"/>
        <w:spacing w:after="40"/>
      </w:pPr>
      <w:r>
        <w:t>Each criterion includes: criterion name, weight %, knockout Yes/No, evidence expected, scoring guidance, notes and rationale.</w:t>
      </w:r>
    </w:p>
    <w:p>
      <w:pPr>
        <w:pStyle w:val="ListNumber"/>
        <w:spacing w:after="40"/>
      </w:pPr>
      <w:r>
        <w:t>JD analysis is draft-only. Analysis must not create or modify a live Position merely because OpenAI returned a result.</w:t>
      </w:r>
    </w:p>
    <w:p>
      <w:pPr>
        <w:pStyle w:val="ListNumber"/>
        <w:spacing w:after="40"/>
      </w:pPr>
      <w:r>
        <w:t>Recruiter reviews/approves the draft.</w:t>
      </w:r>
    </w:p>
    <w:p>
      <w:pPr>
        <w:pStyle w:val="ListNumber"/>
        <w:spacing w:after="40"/>
      </w:pPr>
      <w:r>
        <w:t>Only an explicit Create Position action persists the Position and its approved JD Criteria.</w:t>
      </w:r>
    </w:p>
    <w:p>
      <w:pPr>
        <w:pStyle w:val="ListNumber"/>
        <w:spacing w:after="40"/>
      </w:pPr>
      <w:r>
        <w:t>Assessment criteria are thereafter the locked framework for candidate evaluation against that Ref #.</w:t>
      </w:r>
    </w:p>
    <w:p>
      <w:pPr>
        <w:pStyle w:val="ListBullet"/>
        <w:spacing w:after="40"/>
      </w:pPr>
      <w:r>
        <w:t>Criteria weights must total 100% before assessment.</w:t>
      </w:r>
    </w:p>
    <w:p>
      <w:pPr>
        <w:pStyle w:val="ListBullet"/>
        <w:spacing w:after="40"/>
      </w:pPr>
      <w:r>
        <w:t>Criteria must have names and valid weights.</w:t>
      </w:r>
    </w:p>
    <w:p>
      <w:pPr>
        <w:pStyle w:val="ListBullet"/>
        <w:spacing w:after="40"/>
      </w:pPr>
      <w:r>
        <w:t>Knockout/must-have criteria have special decision significance.</w:t>
      </w:r>
    </w:p>
    <w:p>
      <w:pPr>
        <w:pStyle w:val="Heading2"/>
      </w:pPr>
      <w:r>
        <w:t>6.3 Client master — target commercial product</w:t>
      </w:r>
    </w:p>
    <w:p>
      <w:pPr>
        <w:spacing w:after="100"/>
      </w:pPr>
      <w:r>
        <w:t>The .NET rebuild should introduce Client Management as a proper master module rather than treating Client only as free text on a position.</w:t>
      </w:r>
    </w:p>
    <w:p>
      <w:pPr>
        <w:pStyle w:val="ListBullet"/>
        <w:spacing w:after="40"/>
      </w:pPr>
      <w:r>
        <w:t>Create Client and Manage Clients.</w:t>
      </w:r>
    </w:p>
    <w:p>
      <w:pPr>
        <w:pStyle w:val="ListBullet"/>
        <w:spacing w:after="40"/>
      </w:pPr>
      <w:r>
        <w:t>Store client identity/details and contacts.</w:t>
      </w:r>
    </w:p>
    <w:p>
      <w:pPr>
        <w:pStyle w:val="ListBullet"/>
        <w:spacing w:after="40"/>
      </w:pPr>
      <w:r>
        <w:t>Associate one Client with many Positions.</w:t>
      </w:r>
    </w:p>
    <w:p>
      <w:pPr>
        <w:pStyle w:val="ListBullet"/>
        <w:spacing w:after="40"/>
      </w:pPr>
      <w:r>
        <w:t>Allow client-specific recruitment context and future reporting.</w:t>
      </w:r>
    </w:p>
    <w:p>
      <w:pPr>
        <w:pStyle w:val="ListBullet"/>
        <w:spacing w:after="40"/>
      </w:pPr>
      <w:r>
        <w:t>Future client-facing portal/report access should be designed as an extension of this master relationship.</w:t>
      </w:r>
    </w:p>
    <w:p>
      <w:pPr>
        <w:spacing w:after="100"/>
      </w:pPr>
      <w:r>
        <w:t>Exact database entities are intentionally left to the next design phase.</w:t>
      </w:r>
    </w:p>
    <w:p>
      <w:pPr>
        <w:pStyle w:val="Heading1"/>
      </w:pPr>
      <w:r>
        <w:t>7. Candidate Assessment Engine</w:t>
      </w:r>
    </w:p>
    <w:p>
      <w:pPr>
        <w:pStyle w:val="Heading2"/>
      </w:pPr>
      <w:r>
        <w:t>7.1 Inputs</w:t>
      </w:r>
    </w:p>
    <w:p>
      <w:pPr>
        <w:pStyle w:val="ListBullet"/>
        <w:spacing w:after="40"/>
      </w:pPr>
      <w:r>
        <w:t>Authenticated/authorized operational user.</w:t>
      </w:r>
    </w:p>
    <w:p>
      <w:pPr>
        <w:pStyle w:val="ListBullet"/>
        <w:spacing w:after="40"/>
      </w:pPr>
      <w:r>
        <w:t>Selected Position / Ref #.</w:t>
      </w:r>
    </w:p>
    <w:p>
      <w:pPr>
        <w:pStyle w:val="ListBullet"/>
        <w:spacing w:after="40"/>
      </w:pPr>
      <w:r>
        <w:t>The live, approved JD Criteria for that Ref #.</w:t>
      </w:r>
    </w:p>
    <w:p>
      <w:pPr>
        <w:pStyle w:val="ListBullet"/>
        <w:spacing w:after="40"/>
      </w:pPr>
      <w:r>
        <w:t>Candidate CV on first assessment, or stored candidate intelligence for the approved future reassessment workflow.</w:t>
      </w:r>
    </w:p>
    <w:p>
      <w:pPr>
        <w:pStyle w:val="Heading2"/>
      </w:pPr>
      <w:r>
        <w:t>7.2 OpenAI's role</w:t>
      </w:r>
    </w:p>
    <w:p>
      <w:pPr>
        <w:spacing w:after="100"/>
      </w:pPr>
      <w:r>
        <w:t>OpenAI extracts evidence and returns structured assessment content. The application validates and persists the result. OpenAI must not be treated as the database, lifecycle engine, or authority for recruiter-controlled status.</w:t>
      </w:r>
    </w:p>
    <w:p>
      <w:pPr>
        <w:pStyle w:val="ListBullet"/>
        <w:spacing w:after="40"/>
      </w:pPr>
      <w:r>
        <w:t>Read candidate CV evidence.</w:t>
      </w:r>
    </w:p>
    <w:p>
      <w:pPr>
        <w:pStyle w:val="ListBullet"/>
        <w:spacing w:after="40"/>
      </w:pPr>
      <w:r>
        <w:t>Extract candidate identity/profile fields.</w:t>
      </w:r>
    </w:p>
    <w:p>
      <w:pPr>
        <w:pStyle w:val="ListBullet"/>
        <w:spacing w:after="40"/>
      </w:pPr>
      <w:r>
        <w:t>Extract permanent Talent Pool intelligence.</w:t>
      </w:r>
    </w:p>
    <w:p>
      <w:pPr>
        <w:pStyle w:val="ListBullet"/>
        <w:spacing w:after="40"/>
      </w:pPr>
      <w:r>
        <w:t>Evaluate evidence against each locked criterion.</w:t>
      </w:r>
    </w:p>
    <w:p>
      <w:pPr>
        <w:pStyle w:val="ListBullet"/>
        <w:spacing w:after="40"/>
      </w:pPr>
      <w:r>
        <w:t>Return criterion score/evidence confidence/evidence/rationale in structured form.</w:t>
      </w:r>
    </w:p>
    <w:p>
      <w:pPr>
        <w:pStyle w:val="ListBullet"/>
        <w:spacing w:after="40"/>
      </w:pPr>
      <w:r>
        <w:t>Return narrative strengths, risks and executive assessment.</w:t>
      </w:r>
    </w:p>
    <w:p>
      <w:pPr>
        <w:pStyle w:val="Heading2"/>
      </w:pPr>
      <w:r>
        <w:t>7.3 Deterministic scoring and decision behavior</w:t>
      </w:r>
    </w:p>
    <w:p>
      <w:pPr>
        <w:pStyle w:val="ListBullet"/>
        <w:spacing w:after="40"/>
      </w:pPr>
      <w:r>
        <w:t>Criterion scoring uses fixed score bands: 0, 2, 4, 6, 8, 10.</w:t>
      </w:r>
    </w:p>
    <w:p>
      <w:pPr>
        <w:pStyle w:val="ListBullet"/>
        <w:spacing w:after="40"/>
      </w:pPr>
      <w:r>
        <w:t>The application calculates/validates ATS Match, Must-Have Fit, Core Role Fit and Evidence Strength from structured criterion output rather than trusting arbitrary prose.</w:t>
      </w:r>
    </w:p>
    <w:p>
      <w:pPr>
        <w:pStyle w:val="ListBullet"/>
        <w:spacing w:after="40"/>
      </w:pPr>
      <w:r>
        <w:t>Decision rules are controlled business logic/settings, not free-form model preference.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Condition</w:t>
            </w:r>
          </w:p>
        </w:tc>
        <w:tc>
          <w:tcPr>
            <w:tcW w:type="dxa" w:w="5112"/>
            <w:vAlign w:val="center"/>
            <w:shd w:fill="175AFF"/>
          </w:tcPr>
          <w:p>
            <w:r/>
            <w:r>
              <w:rPr>
                <w:rFonts w:ascii="Aptos" w:hAnsi="Aptos"/>
                <w:b/>
                <w:color w:val="FFFFFF"/>
                <w:sz w:val="17"/>
              </w:rPr>
              <w:t>Decision behavior</w:t>
            </w:r>
          </w:p>
        </w:tc>
      </w:tr>
      <w:tr>
        <w:tc>
          <w:tcPr>
            <w:tcW w:type="dxa" w:w="5112"/>
            <w:vAlign w:val="center"/>
          </w:tcPr>
          <w:p>
            <w:r/>
            <w:r>
              <w:rPr>
                <w:rFonts w:ascii="Aptos" w:hAnsi="Aptos"/>
                <w:b w:val="0"/>
                <w:sz w:val="17"/>
              </w:rPr>
              <w:t>Must-have failure / Fail</w:t>
            </w:r>
          </w:p>
        </w:tc>
        <w:tc>
          <w:tcPr>
            <w:tcW w:type="dxa" w:w="5112"/>
            <w:vAlign w:val="center"/>
          </w:tcPr>
          <w:p>
            <w:r/>
            <w:r>
              <w:rPr>
                <w:rFonts w:ascii="Aptos" w:hAnsi="Aptos"/>
                <w:b w:val="0"/>
                <w:sz w:val="17"/>
              </w:rPr>
              <w:t>Reject</w:t>
            </w:r>
          </w:p>
        </w:tc>
      </w:tr>
      <w:tr>
        <w:tc>
          <w:tcPr>
            <w:tcW w:type="dxa" w:w="5112"/>
            <w:vAlign w:val="center"/>
          </w:tcPr>
          <w:p>
            <w:r/>
            <w:r>
              <w:rPr>
                <w:rFonts w:ascii="Aptos" w:hAnsi="Aptos"/>
                <w:b w:val="0"/>
                <w:sz w:val="17"/>
              </w:rPr>
              <w:t>Insufficient evidence</w:t>
            </w:r>
          </w:p>
        </w:tc>
        <w:tc>
          <w:tcPr>
            <w:tcW w:type="dxa" w:w="5112"/>
            <w:vAlign w:val="center"/>
          </w:tcPr>
          <w:p>
            <w:r/>
            <w:r>
              <w:rPr>
                <w:rFonts w:ascii="Aptos" w:hAnsi="Aptos"/>
                <w:b w:val="0"/>
                <w:sz w:val="17"/>
              </w:rPr>
              <w:t>Insufficient Evidence</w:t>
            </w:r>
          </w:p>
        </w:tc>
      </w:tr>
      <w:tr>
        <w:tc>
          <w:tcPr>
            <w:tcW w:type="dxa" w:w="5112"/>
            <w:vAlign w:val="center"/>
          </w:tcPr>
          <w:p>
            <w:r/>
            <w:r>
              <w:rPr>
                <w:rFonts w:ascii="Aptos" w:hAnsi="Aptos"/>
                <w:b w:val="0"/>
                <w:sz w:val="17"/>
              </w:rPr>
              <w:t>Must-have Partial and ATS Match ≥ 70</w:t>
            </w:r>
          </w:p>
        </w:tc>
        <w:tc>
          <w:tcPr>
            <w:tcW w:type="dxa" w:w="5112"/>
            <w:vAlign w:val="center"/>
          </w:tcPr>
          <w:p>
            <w:r/>
            <w:r>
              <w:rPr>
                <w:rFonts w:ascii="Aptos" w:hAnsi="Aptos"/>
                <w:b w:val="0"/>
                <w:sz w:val="17"/>
              </w:rPr>
              <w:t>Shortlist</w:t>
            </w:r>
          </w:p>
        </w:tc>
      </w:tr>
      <w:tr>
        <w:tc>
          <w:tcPr>
            <w:tcW w:type="dxa" w:w="5112"/>
            <w:vAlign w:val="center"/>
          </w:tcPr>
          <w:p>
            <w:r/>
            <w:r>
              <w:rPr>
                <w:rFonts w:ascii="Aptos" w:hAnsi="Aptos"/>
                <w:b w:val="0"/>
                <w:sz w:val="17"/>
              </w:rPr>
              <w:t>Must-have Partial and ATS Match ≥ 55</w:t>
            </w:r>
          </w:p>
        </w:tc>
        <w:tc>
          <w:tcPr>
            <w:tcW w:type="dxa" w:w="5112"/>
            <w:vAlign w:val="center"/>
          </w:tcPr>
          <w:p>
            <w:r/>
            <w:r>
              <w:rPr>
                <w:rFonts w:ascii="Aptos" w:hAnsi="Aptos"/>
                <w:b w:val="0"/>
                <w:sz w:val="17"/>
              </w:rPr>
              <w:t>Hold</w:t>
            </w:r>
          </w:p>
        </w:tc>
      </w:tr>
      <w:tr>
        <w:tc>
          <w:tcPr>
            <w:tcW w:type="dxa" w:w="5112"/>
            <w:vAlign w:val="center"/>
          </w:tcPr>
          <w:p>
            <w:r/>
            <w:r>
              <w:rPr>
                <w:rFonts w:ascii="Aptos" w:hAnsi="Aptos"/>
                <w:b w:val="0"/>
                <w:sz w:val="17"/>
              </w:rPr>
              <w:t>Must-have Pass and ATS Match ≥ 75</w:t>
            </w:r>
          </w:p>
        </w:tc>
        <w:tc>
          <w:tcPr>
            <w:tcW w:type="dxa" w:w="5112"/>
            <w:vAlign w:val="center"/>
          </w:tcPr>
          <w:p>
            <w:r/>
            <w:r>
              <w:rPr>
                <w:rFonts w:ascii="Aptos" w:hAnsi="Aptos"/>
                <w:b w:val="0"/>
                <w:sz w:val="17"/>
              </w:rPr>
              <w:t>Priority Shortlist</w:t>
            </w:r>
          </w:p>
        </w:tc>
      </w:tr>
      <w:tr>
        <w:tc>
          <w:tcPr>
            <w:tcW w:type="dxa" w:w="5112"/>
            <w:vAlign w:val="center"/>
          </w:tcPr>
          <w:p>
            <w:r/>
            <w:r>
              <w:rPr>
                <w:rFonts w:ascii="Aptos" w:hAnsi="Aptos"/>
                <w:b w:val="0"/>
                <w:sz w:val="17"/>
              </w:rPr>
              <w:t>Must-have Pass and ATS Match ≥ 60</w:t>
            </w:r>
          </w:p>
        </w:tc>
        <w:tc>
          <w:tcPr>
            <w:tcW w:type="dxa" w:w="5112"/>
            <w:vAlign w:val="center"/>
          </w:tcPr>
          <w:p>
            <w:r/>
            <w:r>
              <w:rPr>
                <w:rFonts w:ascii="Aptos" w:hAnsi="Aptos"/>
                <w:b w:val="0"/>
                <w:sz w:val="17"/>
              </w:rPr>
              <w:t>Shortlist</w:t>
            </w:r>
          </w:p>
        </w:tc>
      </w:tr>
      <w:tr>
        <w:tc>
          <w:tcPr>
            <w:tcW w:type="dxa" w:w="5112"/>
            <w:vAlign w:val="center"/>
          </w:tcPr>
          <w:p>
            <w:r/>
            <w:r>
              <w:rPr>
                <w:rFonts w:ascii="Aptos" w:hAnsi="Aptos"/>
                <w:b w:val="0"/>
                <w:sz w:val="17"/>
              </w:rPr>
              <w:t>Must-have Pass below shortlist threshold</w:t>
            </w:r>
          </w:p>
        </w:tc>
        <w:tc>
          <w:tcPr>
            <w:tcW w:type="dxa" w:w="5112"/>
            <w:vAlign w:val="center"/>
          </w:tcPr>
          <w:p>
            <w:r/>
            <w:r>
              <w:rPr>
                <w:rFonts w:ascii="Aptos" w:hAnsi="Aptos"/>
                <w:b w:val="0"/>
                <w:sz w:val="17"/>
              </w:rPr>
              <w:t>Hold</w:t>
            </w:r>
          </w:p>
        </w:tc>
      </w:tr>
    </w:tbl>
    <w:p/>
    <w:p>
      <w:pPr>
        <w:spacing w:after="100"/>
      </w:pPr>
      <w:r>
        <w:t>Where current Lists &amp; Settings values are later changed, the .NET product should centralize these rules as configurable policy rather than embedding them across UI code.</w:t>
      </w:r>
    </w:p>
    <w:p>
      <w:pPr>
        <w:pStyle w:val="Heading2"/>
      </w:pPr>
      <w:r>
        <w:t>7.4 Candidate master extraction during first CV read</w:t>
      </w:r>
    </w:p>
    <w:p>
      <w:pPr>
        <w:spacing w:after="100"/>
      </w:pPr>
      <w:r>
        <w:t>The first assessment is deliberately used to create both vacancy-specific assessment evidence and a reusable permanent candidate profile, avoiding a second AI call just to build the Talent Pool.</w:t>
      </w:r>
    </w:p>
    <w:p>
      <w:pPr>
        <w:pStyle w:val="ListBullet"/>
        <w:spacing w:after="40"/>
      </w:pPr>
      <w:r>
        <w:t>Candidate name, phone, email, location.</w:t>
      </w:r>
    </w:p>
    <w:p>
      <w:pPr>
        <w:pStyle w:val="ListBullet"/>
        <w:spacing w:after="40"/>
      </w:pPr>
      <w:r>
        <w:t>Current/latest designation and company.</w:t>
      </w:r>
    </w:p>
    <w:p>
      <w:pPr>
        <w:pStyle w:val="ListBullet"/>
        <w:spacing w:after="40"/>
      </w:pPr>
      <w:r>
        <w:t>Total experience.</w:t>
      </w:r>
    </w:p>
    <w:p>
      <w:pPr>
        <w:pStyle w:val="ListBullet"/>
        <w:spacing w:after="40"/>
      </w:pPr>
      <w:r>
        <w:t>Primary/secondary function, industries/domains, core skills, seniority, systems/tools, market exposure.</w:t>
      </w:r>
    </w:p>
    <w:p>
      <w:pPr>
        <w:pStyle w:val="ListBullet"/>
        <w:spacing w:after="40"/>
      </w:pPr>
      <w:r>
        <w:t>Professional Summary and Career Profile Summary.</w:t>
      </w:r>
    </w:p>
    <w:p>
      <w:pPr>
        <w:pStyle w:val="ListBullet"/>
        <w:spacing w:after="40"/>
      </w:pPr>
      <w:r>
        <w:t>Structured Employment / Career History.</w:t>
      </w:r>
    </w:p>
    <w:p>
      <w:pPr>
        <w:pStyle w:val="ListBullet"/>
        <w:spacing w:after="40"/>
      </w:pPr>
      <w:r>
        <w:t>Structured Education.</w:t>
      </w:r>
    </w:p>
    <w:p>
      <w:pPr>
        <w:pStyle w:val="Heading2"/>
      </w:pPr>
      <w:r>
        <w:t>7.5 Current/latest employment rule</w:t>
      </w:r>
    </w:p>
    <w:p>
      <w:pPr>
        <w:pStyle w:val="ListBullet"/>
        <w:spacing w:after="40"/>
      </w:pPr>
      <w:r>
        <w:t>If the CV explicitly marks a role Present/Current, use that employment.</w:t>
      </w:r>
    </w:p>
    <w:p>
      <w:pPr>
        <w:pStyle w:val="ListBullet"/>
        <w:spacing w:after="40"/>
      </w:pPr>
      <w:r>
        <w:t>Otherwise use the most recent documented employment record by end date.</w:t>
      </w:r>
    </w:p>
    <w:p>
      <w:pPr>
        <w:pStyle w:val="ListBullet"/>
        <w:spacing w:after="40"/>
      </w:pPr>
      <w:r>
        <w:t>Current Designation and Current Company must agree with an actual employment record.</w:t>
      </w:r>
    </w:p>
    <w:p>
      <w:pPr>
        <w:pStyle w:val="ListBullet"/>
        <w:spacing w:after="40"/>
      </w:pPr>
      <w:r>
        <w:t>Do not use a desired title, headline, objective, education, project title or unrelated label as current employment.</w:t>
      </w:r>
    </w:p>
    <w:p>
      <w:pPr>
        <w:pStyle w:val="ListBullet"/>
        <w:spacing w:after="40"/>
      </w:pPr>
      <w:r>
        <w:t>If the AI leaves the top-level current role/company blank but structured employment exists, the application uses a deterministic fallback from the latest employment record.</w:t>
      </w:r>
    </w:p>
    <w:p>
      <w:pPr>
        <w:pStyle w:val="Heading2"/>
      </w:pPr>
      <w:r>
        <w:t>7.6 Structured Employment History</w:t>
      </w:r>
    </w:p>
    <w:p>
      <w:pPr>
        <w:pStyle w:val="ListBullet"/>
        <w:spacing w:after="40"/>
      </w:pPr>
      <w:r>
        <w:t>Keep only Company Name, Designation, Start Date, End Date and Location where stated.</w:t>
      </w:r>
    </w:p>
    <w:p>
      <w:pPr>
        <w:pStyle w:val="ListBullet"/>
        <w:spacing w:after="40"/>
      </w:pPr>
      <w:r>
        <w:t>Do not copy responsibilities, achievements, employer sector, department, employer address, projects or verbose CV content into Career History.</w:t>
      </w:r>
    </w:p>
    <w:p>
      <w:pPr>
        <w:pStyle w:val="ListBullet"/>
        <w:spacing w:after="40"/>
      </w:pPr>
      <w:r>
        <w:t>Do not invent dates or locations.</w:t>
      </w:r>
    </w:p>
    <w:p>
      <w:pPr>
        <w:pStyle w:val="ListBullet"/>
        <w:spacing w:after="40"/>
      </w:pPr>
      <w:r>
        <w:t>The original CV remains available for detailed responsibilities.</w:t>
      </w:r>
    </w:p>
    <w:p>
      <w:pPr>
        <w:pStyle w:val="Heading2"/>
      </w:pPr>
      <w:r>
        <w:t>7.7 Structured Education</w:t>
      </w:r>
    </w:p>
    <w:p>
      <w:pPr>
        <w:pStyle w:val="ListBullet"/>
        <w:spacing w:after="40"/>
      </w:pPr>
      <w:r>
        <w:t>Keep academic Qualification, Institution, Start Date, End Date and Location where stated.</w:t>
      </w:r>
    </w:p>
    <w:p>
      <w:pPr>
        <w:pStyle w:val="ListBullet"/>
        <w:spacing w:after="40"/>
      </w:pPr>
      <w:r>
        <w:t>Each qualification is a separate record.</w:t>
      </w:r>
    </w:p>
    <w:p>
      <w:pPr>
        <w:pStyle w:val="ListBullet"/>
        <w:spacing w:after="40"/>
      </w:pPr>
      <w:r>
        <w:t>Exclude certifications, training, conferences and projects from Education.</w:t>
      </w:r>
    </w:p>
    <w:p>
      <w:pPr>
        <w:pStyle w:val="ListBullet"/>
        <w:spacing w:after="40"/>
      </w:pPr>
      <w:r>
        <w:t>Do not infer missing dates.</w:t>
      </w:r>
    </w:p>
    <w:p>
      <w:pPr>
        <w:spacing w:after="100"/>
      </w:pPr>
      <w:r>
        <w:t>This structure was validated with CAND-042 Abbas Raza Shafqat: employment rendered as separate timeline entries and BBA, Intermediate and Matriculation rendered separately. CAND-038 Khan Hassam Zain remained unchanged under legacy rendering, confirming backward compatibility.</w:t>
      </w:r>
    </w:p>
    <w:p>
      <w:pPr>
        <w:pStyle w:val="Heading1"/>
      </w:pPr>
      <w:r>
        <w:t>8. API Call Economy and Reassessment Strategy</w:t>
      </w:r>
    </w:p>
    <w:p>
      <w:pPr>
        <w:spacing w:after="100"/>
      </w:pPr>
      <w:r>
        <w:t>A central product principle is to minimize unnecessary OpenAI calls while retaining assessment quality.</w:t>
      </w:r>
    </w:p>
    <w:p>
      <w:pPr>
        <w:pStyle w:val="ListBullet"/>
        <w:spacing w:after="40"/>
      </w:pPr>
      <w:r>
        <w:t>Do not call OpenAI merely to open Candidate Profile, Candidate Database, Talent Pool, dashboards, reports, filters or lifecycle screens.</w:t>
      </w:r>
    </w:p>
    <w:p>
      <w:pPr>
        <w:pStyle w:val="ListBullet"/>
        <w:spacing w:after="40"/>
      </w:pPr>
      <w:r>
        <w:t>Do not call OpenAI to render already stored criterion results.</w:t>
      </w:r>
    </w:p>
    <w:p>
      <w:pPr>
        <w:pStyle w:val="ListBullet"/>
        <w:spacing w:after="40"/>
      </w:pPr>
      <w:r>
        <w:t>First assessment: one CV-reading assessment call should also populate reusable Talent Pool intelligence.</w:t>
      </w:r>
    </w:p>
    <w:p>
      <w:pPr>
        <w:pStyle w:val="ListBullet"/>
        <w:spacing w:after="40"/>
      </w:pPr>
      <w:r>
        <w:t>Do not repeatedly re-read the same original CV simply because the candidate is being viewed again.</w:t>
      </w:r>
    </w:p>
    <w:p>
      <w:pPr>
        <w:pStyle w:val="ListBullet"/>
        <w:spacing w:after="40"/>
      </w:pPr>
      <w:r>
        <w:t>Do not perform an assessment until the recruiter intentionally requests assessment against a position.</w:t>
      </w:r>
    </w:p>
    <w:p>
      <w:pPr>
        <w:pStyle w:val="ListBullet"/>
        <w:spacing w:after="40"/>
      </w:pPr>
      <w:r>
        <w:t>Batch assessment calls are made only for the CVs the recruiter explicitly submits for assessment.</w:t>
      </w:r>
    </w:p>
    <w:p>
      <w:pPr>
        <w:pStyle w:val="Heading2"/>
      </w:pPr>
      <w:r>
        <w:t>8.1 Approved target reassessment architecture — pending implementation</w:t>
      </w:r>
    </w:p>
    <w:p>
      <w:pPr>
        <w:pStyle w:val="ListNumber"/>
        <w:spacing w:after="40"/>
      </w:pPr>
      <w:r>
        <w:t>Detect that the person already exists in Talent Pool.</w:t>
      </w:r>
    </w:p>
    <w:p>
      <w:pPr>
        <w:pStyle w:val="ListNumber"/>
        <w:spacing w:after="40"/>
      </w:pPr>
      <w:r>
        <w:t>Load the candidate's stored structured profile/evidence and existing master CV metadata.</w:t>
      </w:r>
    </w:p>
    <w:p>
      <w:pPr>
        <w:pStyle w:val="ListNumber"/>
        <w:spacing w:after="40"/>
      </w:pPr>
      <w:r>
        <w:t>Load the new Position's approved JD Criteria.</w:t>
      </w:r>
    </w:p>
    <w:p>
      <w:pPr>
        <w:pStyle w:val="ListNumber"/>
        <w:spacing w:after="40"/>
      </w:pPr>
      <w:r>
        <w:t>Assess the candidate against the new Ref # using stored candidate intelligence rather than re-uploading/reprocessing the original CV.</w:t>
      </w:r>
    </w:p>
    <w:p>
      <w:pPr>
        <w:pStyle w:val="ListNumber"/>
        <w:spacing w:after="40"/>
      </w:pPr>
      <w:r>
        <w:t>Create a new Candidate + Ref # assessment record while preserving the same Candidate ID.</w:t>
      </w:r>
    </w:p>
    <w:p>
      <w:pPr>
        <w:pStyle w:val="ListNumber"/>
        <w:spacing w:after="40"/>
      </w:pPr>
      <w:r>
        <w:t>Only deliberately refresh/re-read the original CV when the recruiter explicitly requests a profile refresh or when required evidence is unavailable.</w:t>
      </w:r>
    </w:p>
    <w:p>
      <w:pPr>
        <w:spacing w:after="100"/>
      </w:pPr>
      <w:r>
        <w:t>This is an APPROVED target rule for the .NET rebuild. The complete reassessment workflow was scheduled as the next development module rather than being considered fully implemented in Apps Script.</w:t>
      </w:r>
    </w:p>
    <w:p>
      <w:pPr>
        <w:pStyle w:val="Heading1"/>
      </w:pPr>
      <w:r>
        <w:t>9. Save Assessment and Talent Pool Behavior</w:t>
      </w:r>
    </w:p>
    <w:p>
      <w:pPr>
        <w:pStyle w:val="ListNumber"/>
        <w:spacing w:after="40"/>
      </w:pPr>
      <w:r>
        <w:t>Assessment result can be reviewed before save. A generated assessment is not automatically persisted simply because OpenAI returned it.</w:t>
      </w:r>
    </w:p>
    <w:p>
      <w:pPr>
        <w:pStyle w:val="ListNumber"/>
        <w:spacing w:after="40"/>
      </w:pPr>
      <w:r>
        <w:t>On Save, validate Candidate Name and Ref #.</w:t>
      </w:r>
    </w:p>
    <w:p>
      <w:pPr>
        <w:pStyle w:val="ListNumber"/>
        <w:spacing w:after="40"/>
      </w:pPr>
      <w:r>
        <w:t>Resolve candidate identity using the duplicate rules.</w:t>
      </w:r>
    </w:p>
    <w:p>
      <w:pPr>
        <w:pStyle w:val="ListNumber"/>
        <w:spacing w:after="40"/>
      </w:pPr>
      <w:r>
        <w:t>Create or update the permanent Talent Pool record.</w:t>
      </w:r>
    </w:p>
    <w:p>
      <w:pPr>
        <w:pStyle w:val="ListNumber"/>
        <w:spacing w:after="40"/>
      </w:pPr>
      <w:r>
        <w:t>Create or update the Candidate + Ref # assessment record.</w:t>
      </w:r>
    </w:p>
    <w:p>
      <w:pPr>
        <w:pStyle w:val="ListNumber"/>
        <w:spacing w:after="40"/>
      </w:pPr>
      <w:r>
        <w:t>Persist criterion-level structured results so the exact assessment can be reopened later.</w:t>
      </w:r>
    </w:p>
    <w:p>
      <w:pPr>
        <w:pStyle w:val="ListNumber"/>
        <w:spacing w:after="40"/>
      </w:pPr>
      <w:r>
        <w:t>Initialize operational Recruitment Stage from the assessment decision according to the current workflow rules.</w:t>
      </w:r>
    </w:p>
    <w:p>
      <w:pPr>
        <w:pStyle w:val="ListNumber"/>
        <w:spacing w:after="40"/>
      </w:pPr>
      <w:r>
        <w:t>Preserve AI Decision as historical assessment output; recruiter workflow must not overwrite it.</w:t>
      </w:r>
    </w:p>
    <w:p>
      <w:pPr>
        <w:pStyle w:val="ListNumber"/>
        <w:spacing w:after="40"/>
      </w:pPr>
      <w:r>
        <w:t>Update Talent Pool assessment metadata such as last assessed date, assessed Ref #s, assessment count, latest decision/stage and last updated.</w:t>
      </w:r>
    </w:p>
    <w:p>
      <w:pPr>
        <w:pStyle w:val="ListBullet"/>
        <w:spacing w:after="40"/>
      </w:pPr>
      <w:r>
        <w:t>Permanent structured profile fields are intended to be populated from first CV intelligence and then preserved rather than overwritten casually by every future assessment.</w:t>
      </w:r>
    </w:p>
    <w:p>
      <w:pPr>
        <w:pStyle w:val="ListBullet"/>
        <w:spacing w:after="40"/>
      </w:pPr>
      <w:r>
        <w:t>Old rows without structured fields must not be fabricated/backfilled from guesses.</w:t>
      </w:r>
    </w:p>
    <w:p>
      <w:pPr>
        <w:pStyle w:val="Heading1"/>
      </w:pPr>
      <w:r>
        <w:t>10. CV and File Handling</w:t>
      </w:r>
    </w:p>
    <w:p>
      <w:pPr>
        <w:pStyle w:val="Heading2"/>
      </w:pPr>
      <w:r>
        <w:t>10.1 Current approved semantics</w:t>
      </w:r>
    </w:p>
    <w:p>
      <w:pPr>
        <w:pStyle w:val="ListBullet"/>
        <w:spacing w:after="40"/>
      </w:pPr>
      <w:r>
        <w:t>The CV belongs to the candidate master, not to a vacancy.</w:t>
      </w:r>
    </w:p>
    <w:p>
      <w:pPr>
        <w:pStyle w:val="ListBullet"/>
        <w:spacing w:after="40"/>
      </w:pPr>
      <w:r>
        <w:t>One master CV should be retained for recruiter review; reassessing the same person must not create unnecessary duplicate CV copies.</w:t>
      </w:r>
    </w:p>
    <w:p>
      <w:pPr>
        <w:pStyle w:val="ListBullet"/>
        <w:spacing w:after="40"/>
      </w:pPr>
      <w:r>
        <w:t>Current Apps Script storage uses one Candidate CVs folder, not a folder per candidate and not a folder per Ref #.</w:t>
      </w:r>
    </w:p>
    <w:p>
      <w:pPr>
        <w:pStyle w:val="ListBullet"/>
        <w:spacing w:after="40"/>
      </w:pPr>
      <w:r>
        <w:t>File naming uses Candidate ID as the primary identifier, with candidate name for readability.</w:t>
      </w:r>
    </w:p>
    <w:p>
      <w:pPr>
        <w:pStyle w:val="ListBullet"/>
        <w:spacing w:after="40"/>
      </w:pPr>
      <w:r>
        <w:t>Preserve original file format where practical.</w:t>
      </w:r>
    </w:p>
    <w:p>
      <w:pPr>
        <w:pStyle w:val="ListBullet"/>
        <w:spacing w:after="40"/>
      </w:pPr>
      <w:r>
        <w:t>The original CV remains available from Candidate Profile via View/Download CV.</w:t>
      </w:r>
    </w:p>
    <w:p>
      <w:pPr>
        <w:pStyle w:val="Heading2"/>
      </w:pPr>
      <w:r>
        <w:t>10.2 .NET storage abstraction</w:t>
      </w:r>
    </w:p>
    <w:p>
      <w:pPr>
        <w:spacing w:after="100"/>
      </w:pPr>
      <w:r>
        <w:t>Do not hard-code the commercial product to Google Drive. Implement a file-storage service abstraction so the initial deployment can use local/server storage while later deployments can use Azure Blob, S3-compatible object storage or another provider without changing candidate business logic.</w:t>
      </w:r>
    </w:p>
    <w:p>
      <w:pPr>
        <w:pStyle w:val="Heading1"/>
      </w:pPr>
      <w:r>
        <w:t>11. Single and Batch Candidate Assessment</w:t>
      </w:r>
    </w:p>
    <w:p>
      <w:pPr>
        <w:pStyle w:val="Heading2"/>
      </w:pPr>
      <w:r>
        <w:t>11.1 Single CV mode</w:t>
      </w:r>
    </w:p>
    <w:p>
      <w:pPr>
        <w:pStyle w:val="ListBullet"/>
        <w:spacing w:after="40"/>
      </w:pPr>
      <w:r>
        <w:t>Select a Ref # / position and upload one CV.</w:t>
      </w:r>
    </w:p>
    <w:p>
      <w:pPr>
        <w:pStyle w:val="ListBullet"/>
        <w:spacing w:after="40"/>
      </w:pPr>
      <w:r>
        <w:t>Run assessment against the locked JD Criteria.</w:t>
      </w:r>
    </w:p>
    <w:p>
      <w:pPr>
        <w:pStyle w:val="ListBullet"/>
        <w:spacing w:after="40"/>
      </w:pPr>
      <w:r>
        <w:t>Show assessment result before save.</w:t>
      </w:r>
    </w:p>
    <w:p>
      <w:pPr>
        <w:pStyle w:val="ListBullet"/>
        <w:spacing w:after="40"/>
      </w:pPr>
      <w:r>
        <w:t>Allow save into ATS with candidate identity resolution, Talent Pool update and Candidate+Ref assessment persistence.</w:t>
      </w:r>
    </w:p>
    <w:p>
      <w:pPr>
        <w:pStyle w:val="ListBullet"/>
        <w:spacing w:after="40"/>
      </w:pPr>
      <w:r>
        <w:t>Generate individual assessment PDF when requested.</w:t>
      </w:r>
    </w:p>
    <w:p>
      <w:pPr>
        <w:pStyle w:val="Heading2"/>
      </w:pPr>
      <w:r>
        <w:t>11.2 Batch CV mode</w:t>
      </w:r>
    </w:p>
    <w:p>
      <w:pPr>
        <w:pStyle w:val="ListBullet"/>
        <w:spacing w:after="40"/>
      </w:pPr>
      <w:r>
        <w:t>Current UI supports batches of up to 5 CVs.</w:t>
      </w:r>
    </w:p>
    <w:p>
      <w:pPr>
        <w:pStyle w:val="ListBullet"/>
        <w:spacing w:after="40"/>
      </w:pPr>
      <w:r>
        <w:t>Each CV must retain its own file/index association through assessment and save.</w:t>
      </w:r>
    </w:p>
    <w:p>
      <w:pPr>
        <w:pStyle w:val="ListBullet"/>
        <w:spacing w:after="40"/>
      </w:pPr>
      <w:r>
        <w:t>Batch results appear in a concise results table with a View action for individual detail.</w:t>
      </w:r>
    </w:p>
    <w:p>
      <w:pPr>
        <w:pStyle w:val="ListBullet"/>
        <w:spacing w:after="40"/>
      </w:pPr>
      <w:r>
        <w:t>Recruiter may review/save candidates one at a time.</w:t>
      </w:r>
    </w:p>
    <w:p>
      <w:pPr>
        <w:pStyle w:val="ListBullet"/>
        <w:spacing w:after="40"/>
      </w:pPr>
      <w:r>
        <w:t>A per-item saved flag prevents already-saved candidates from being saved again accidentally.</w:t>
      </w:r>
    </w:p>
    <w:p>
      <w:pPr>
        <w:pStyle w:val="ListBullet"/>
        <w:spacing w:after="40"/>
      </w:pPr>
      <w:r>
        <w:t>Save Remaining processes only unsaved candidates.</w:t>
      </w:r>
    </w:p>
    <w:p>
      <w:pPr>
        <w:pStyle w:val="ListBullet"/>
        <w:spacing w:after="40"/>
      </w:pPr>
      <w:r>
        <w:t>Batch state is cleared only after all required candidates are saved/completed.</w:t>
      </w:r>
    </w:p>
    <w:p>
      <w:pPr>
        <w:pStyle w:val="ListBullet"/>
        <w:spacing w:after="40"/>
      </w:pPr>
      <w:r>
        <w:t>Raw CV Base64 must not be persisted in browser session storage merely to keep batch state; retain only what is required for the active workflow.</w:t>
      </w:r>
    </w:p>
    <w:p>
      <w:pPr>
        <w:pStyle w:val="ListBullet"/>
        <w:spacing w:after="40"/>
      </w:pPr>
      <w:r>
        <w:t>Batch PDF/report generation exists and must preserve candidate separation and correct page breaks.</w:t>
      </w:r>
    </w:p>
    <w:p>
      <w:pPr>
        <w:spacing w:after="100"/>
      </w:pPr>
      <w:r>
        <w:t>The .NET implementation should keep the same user behavior while using safer server-side state/file handling.</w:t>
      </w:r>
    </w:p>
    <w:p>
      <w:pPr>
        <w:pStyle w:val="Heading1"/>
      </w:pPr>
      <w:r>
        <w:t>12. Candidate Database and Talent Pool</w:t>
      </w:r>
    </w:p>
    <w:p>
      <w:pPr>
        <w:pStyle w:val="Heading2"/>
      </w:pPr>
      <w:r>
        <w:t>12.1 Why Talent Pool exists</w:t>
      </w:r>
    </w:p>
    <w:p>
      <w:pPr>
        <w:spacing w:after="100"/>
      </w:pPr>
      <w:r>
        <w:t>Talent Pool is the reusable corporate candidate repository. It prevents the ATS from treating every application as a new person, allows candidate intelligence to survive vacancy closure, and supports future matching/reassessment against new positions.</w:t>
      </w:r>
    </w:p>
    <w:p>
      <w:pPr>
        <w:pStyle w:val="ListBullet"/>
        <w:spacing w:after="40"/>
      </w:pPr>
      <w:r>
        <w:t>One row/person in current model; one candidate aggregate in .NET.</w:t>
      </w:r>
    </w:p>
    <w:p>
      <w:pPr>
        <w:pStyle w:val="ListBullet"/>
        <w:spacing w:after="40"/>
      </w:pPr>
      <w:r>
        <w:t>Retains reusable skills, industries, seniority, systems, market exposure, professional summary, career history and education.</w:t>
      </w:r>
    </w:p>
    <w:p>
      <w:pPr>
        <w:pStyle w:val="ListBullet"/>
        <w:spacing w:after="40"/>
      </w:pPr>
      <w:r>
        <w:t>Retains candidate-level CV reference.</w:t>
      </w:r>
    </w:p>
    <w:p>
      <w:pPr>
        <w:pStyle w:val="ListBullet"/>
        <w:spacing w:after="40"/>
      </w:pPr>
      <w:r>
        <w:t>Tracks how many times and against which Ref #s the person has been assessed.</w:t>
      </w:r>
    </w:p>
    <w:p>
      <w:pPr>
        <w:pStyle w:val="ListBullet"/>
        <w:spacing w:after="40"/>
      </w:pPr>
      <w:r>
        <w:t>A rejection on one Ref # does not delete or globally reject the candidate.</w:t>
      </w:r>
    </w:p>
    <w:p>
      <w:pPr>
        <w:pStyle w:val="Heading2"/>
      </w:pPr>
      <w:r>
        <w:t>12.2 Candidate Database purpose</w:t>
      </w:r>
    </w:p>
    <w:p>
      <w:pPr>
        <w:spacing w:after="100"/>
      </w:pPr>
      <w:r>
        <w:t>Candidate Database is the primary recruiter workspace for operational candidate lifecycle management. It combines master candidate information with current/latest application context, filtering, KPIs and profile access.</w:t>
      </w:r>
    </w:p>
    <w:p>
      <w:pPr>
        <w:pStyle w:val="ListBullet"/>
        <w:spacing w:after="40"/>
      </w:pPr>
      <w:r>
        <w:t>Search and filtering.</w:t>
      </w:r>
    </w:p>
    <w:p>
      <w:pPr>
        <w:pStyle w:val="ListBullet"/>
        <w:spacing w:after="40"/>
      </w:pPr>
      <w:r>
        <w:t>Location filter.</w:t>
      </w:r>
    </w:p>
    <w:p>
      <w:pPr>
        <w:pStyle w:val="ListBullet"/>
        <w:spacing w:after="40"/>
      </w:pPr>
      <w:r>
        <w:t>Talent Status filter.</w:t>
      </w:r>
    </w:p>
    <w:p>
      <w:pPr>
        <w:pStyle w:val="ListBullet"/>
        <w:spacing w:after="40"/>
      </w:pPr>
      <w:r>
        <w:t>Seniority filter.</w:t>
      </w:r>
    </w:p>
    <w:p>
      <w:pPr>
        <w:pStyle w:val="ListBullet"/>
        <w:spacing w:after="40"/>
      </w:pPr>
      <w:r>
        <w:t>Pagination (current UI uses 1–25 page sizing behavior).</w:t>
      </w:r>
    </w:p>
    <w:p>
      <w:pPr>
        <w:pStyle w:val="ListBullet"/>
        <w:spacing w:after="40"/>
      </w:pPr>
      <w:r>
        <w:t>Sticky table/header behavior.</w:t>
      </w:r>
    </w:p>
    <w:p>
      <w:pPr>
        <w:pStyle w:val="ListBullet"/>
        <w:spacing w:after="40"/>
      </w:pPr>
      <w:r>
        <w:t>KPI cards and visual distribution insights.</w:t>
      </w:r>
    </w:p>
    <w:p>
      <w:pPr>
        <w:pStyle w:val="ListBullet"/>
        <w:spacing w:after="40"/>
      </w:pPr>
      <w:r>
        <w:t>View Candidate Profile.</w:t>
      </w:r>
    </w:p>
    <w:p>
      <w:pPr>
        <w:pStyle w:val="ListBullet"/>
        <w:spacing w:after="40"/>
      </w:pPr>
      <w:r>
        <w:t>Position/Application context must be visible without duplicating the Talent Pool master.</w:t>
      </w:r>
    </w:p>
    <w:p>
      <w:pPr>
        <w:pStyle w:val="Heading2"/>
      </w:pPr>
      <w:r>
        <w:t>12.3 Talent Pool page</w:t>
      </w:r>
    </w:p>
    <w:p>
      <w:pPr>
        <w:spacing w:after="100"/>
      </w:pPr>
      <w:r>
        <w:t>Talent Pool is the broad repository and sourcing/reuse view. It should not become a duplicate operational pipeline screen. Candidate Database remains the preferred place for active lifecycle work unless the pending lifecycle review decides a specific exception.</w:t>
      </w:r>
    </w:p>
    <w:p>
      <w:pPr>
        <w:pStyle w:val="Heading1"/>
      </w:pPr>
      <w:r>
        <w:t>13. Candidate Lifecycle Logic</w:t>
      </w:r>
    </w:p>
    <w:p>
      <w:pPr>
        <w:spacing w:after="100"/>
      </w:pPr>
      <w:r>
        <w:t>The system separates AI recommendation from human recruitment operations.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Field</w:t>
            </w:r>
          </w:p>
        </w:tc>
        <w:tc>
          <w:tcPr>
            <w:tcW w:type="dxa" w:w="5112"/>
            <w:vAlign w:val="center"/>
            <w:shd w:fill="175AFF"/>
          </w:tcPr>
          <w:p>
            <w:r/>
            <w:r>
              <w:rPr>
                <w:rFonts w:ascii="Aptos" w:hAnsi="Aptos"/>
                <w:b/>
                <w:color w:val="FFFFFF"/>
                <w:sz w:val="17"/>
              </w:rPr>
              <w:t>Owner / meaning</w:t>
            </w:r>
          </w:p>
        </w:tc>
      </w:tr>
      <w:tr>
        <w:tc>
          <w:tcPr>
            <w:tcW w:type="dxa" w:w="5112"/>
            <w:vAlign w:val="center"/>
          </w:tcPr>
          <w:p>
            <w:r/>
            <w:r>
              <w:rPr>
                <w:rFonts w:ascii="Aptos" w:hAnsi="Aptos"/>
                <w:b w:val="0"/>
                <w:sz w:val="17"/>
              </w:rPr>
              <w:t>AI Decision</w:t>
            </w:r>
          </w:p>
        </w:tc>
        <w:tc>
          <w:tcPr>
            <w:tcW w:type="dxa" w:w="5112"/>
            <w:vAlign w:val="center"/>
          </w:tcPr>
          <w:p>
            <w:r/>
            <w:r>
              <w:rPr>
                <w:rFonts w:ascii="Aptos" w:hAnsi="Aptos"/>
                <w:b w:val="0"/>
                <w:sz w:val="17"/>
              </w:rPr>
              <w:t>Assessment output; historical/read-only after save.</w:t>
            </w:r>
          </w:p>
        </w:tc>
      </w:tr>
      <w:tr>
        <w:tc>
          <w:tcPr>
            <w:tcW w:type="dxa" w:w="5112"/>
            <w:vAlign w:val="center"/>
          </w:tcPr>
          <w:p>
            <w:r/>
            <w:r>
              <w:rPr>
                <w:rFonts w:ascii="Aptos" w:hAnsi="Aptos"/>
                <w:b w:val="0"/>
                <w:sz w:val="17"/>
              </w:rPr>
              <w:t>Recruitment Stage</w:t>
            </w:r>
          </w:p>
        </w:tc>
        <w:tc>
          <w:tcPr>
            <w:tcW w:type="dxa" w:w="5112"/>
            <w:vAlign w:val="center"/>
          </w:tcPr>
          <w:p>
            <w:r/>
            <w:r>
              <w:rPr>
                <w:rFonts w:ascii="Aptos" w:hAnsi="Aptos"/>
                <w:b w:val="0"/>
                <w:sz w:val="17"/>
              </w:rPr>
              <w:t>Recruiter-controlled operational pipeline stage.</w:t>
            </w:r>
          </w:p>
        </w:tc>
      </w:tr>
      <w:tr>
        <w:tc>
          <w:tcPr>
            <w:tcW w:type="dxa" w:w="5112"/>
            <w:vAlign w:val="center"/>
          </w:tcPr>
          <w:p>
            <w:r/>
            <w:r>
              <w:rPr>
                <w:rFonts w:ascii="Aptos" w:hAnsi="Aptos"/>
                <w:b w:val="0"/>
                <w:sz w:val="17"/>
              </w:rPr>
              <w:t>Interview Status</w:t>
            </w:r>
          </w:p>
        </w:tc>
        <w:tc>
          <w:tcPr>
            <w:tcW w:type="dxa" w:w="5112"/>
            <w:vAlign w:val="center"/>
          </w:tcPr>
          <w:p>
            <w:r/>
            <w:r>
              <w:rPr>
                <w:rFonts w:ascii="Aptos" w:hAnsi="Aptos"/>
                <w:b w:val="0"/>
                <w:sz w:val="17"/>
              </w:rPr>
              <w:t>Recruiter-controlled interview execution/progress.</w:t>
            </w:r>
          </w:p>
        </w:tc>
      </w:tr>
      <w:tr>
        <w:tc>
          <w:tcPr>
            <w:tcW w:type="dxa" w:w="5112"/>
            <w:vAlign w:val="center"/>
          </w:tcPr>
          <w:p>
            <w:r/>
            <w:r>
              <w:rPr>
                <w:rFonts w:ascii="Aptos" w:hAnsi="Aptos"/>
                <w:b w:val="0"/>
                <w:sz w:val="17"/>
              </w:rPr>
              <w:t>Client Status</w:t>
            </w:r>
          </w:p>
        </w:tc>
        <w:tc>
          <w:tcPr>
            <w:tcW w:type="dxa" w:w="5112"/>
            <w:vAlign w:val="center"/>
          </w:tcPr>
          <w:p>
            <w:r/>
            <w:r>
              <w:rPr>
                <w:rFonts w:ascii="Aptos" w:hAnsi="Aptos"/>
                <w:b w:val="0"/>
                <w:sz w:val="17"/>
              </w:rPr>
              <w:t>Downstream/client decision state; highest operational authority when it implies a final/strong state.</w:t>
            </w:r>
          </w:p>
        </w:tc>
      </w:tr>
      <w:tr>
        <w:tc>
          <w:tcPr>
            <w:tcW w:type="dxa" w:w="5112"/>
            <w:vAlign w:val="center"/>
          </w:tcPr>
          <w:p>
            <w:r/>
            <w:r>
              <w:rPr>
                <w:rFonts w:ascii="Aptos" w:hAnsi="Aptos"/>
                <w:b w:val="0"/>
                <w:sz w:val="17"/>
              </w:rPr>
              <w:t>Talent Pool Status</w:t>
            </w:r>
          </w:p>
        </w:tc>
        <w:tc>
          <w:tcPr>
            <w:tcW w:type="dxa" w:w="5112"/>
            <w:vAlign w:val="center"/>
          </w:tcPr>
          <w:p>
            <w:r/>
            <w:r>
              <w:rPr>
                <w:rFonts w:ascii="Aptos" w:hAnsi="Aptos"/>
                <w:b w:val="0"/>
                <w:sz w:val="17"/>
              </w:rPr>
              <w:t>Candidate-level repository status, separate from a single application.</w:t>
            </w:r>
          </w:p>
        </w:tc>
      </w:tr>
    </w:tbl>
    <w:p/>
    <w:p>
      <w:pPr>
        <w:pStyle w:val="Heading2"/>
      </w:pPr>
      <w:r>
        <w:t>13.1 Recruitment Stage controlled values</w:t>
      </w:r>
    </w:p>
    <w:p>
      <w:pPr>
        <w:spacing w:after="100"/>
      </w:pPr>
      <w:r>
        <w:t>Current controlled list includes: Applied, HR Screening, Background Check, Consider, Shortlisted, Technical Interview, Final Interview, Client Interview, Offer Sent, Hired, Hold, Rejected.</w:t>
      </w:r>
    </w:p>
    <w:p>
      <w:pPr>
        <w:pStyle w:val="Heading2"/>
      </w:pPr>
      <w:r>
        <w:t>13.2 T → U → V synchronization rules</w:t>
      </w:r>
    </w:p>
    <w:p>
      <w:pPr>
        <w:pStyle w:val="ListBullet"/>
        <w:spacing w:after="40"/>
      </w:pPr>
      <w:r>
        <w:t>Client Rejected → Recruitment Stage = Rejected.</w:t>
      </w:r>
    </w:p>
    <w:p>
      <w:pPr>
        <w:pStyle w:val="ListBullet"/>
        <w:spacing w:after="40"/>
      </w:pPr>
      <w:r>
        <w:t>Offer → Recruitment Stage = Offer Sent.</w:t>
      </w:r>
    </w:p>
    <w:p>
      <w:pPr>
        <w:pStyle w:val="ListBullet"/>
        <w:spacing w:after="40"/>
      </w:pPr>
      <w:r>
        <w:t>Hired → Recruitment Stage = Hired.</w:t>
      </w:r>
    </w:p>
    <w:p>
      <w:pPr>
        <w:pStyle w:val="ListBullet"/>
        <w:spacing w:after="40"/>
      </w:pPr>
      <w:r>
        <w:t>Client Interview → Recruitment Stage = Client Interview.</w:t>
      </w:r>
    </w:p>
    <w:p>
      <w:pPr>
        <w:pStyle w:val="ListBullet"/>
        <w:spacing w:after="40"/>
      </w:pPr>
      <w:r>
        <w:t>Submitted / Under Review / Client Shortlisted should not unnecessarily overwrite Recruitment Stage.</w:t>
      </w:r>
    </w:p>
    <w:p>
      <w:pPr>
        <w:pStyle w:val="ListBullet"/>
        <w:spacing w:after="40"/>
      </w:pPr>
      <w:r>
        <w:t>If Recruitment Stage enters an interview stage and Interview Status is blank, initialize Interview Status to Not Scheduled.</w:t>
      </w:r>
    </w:p>
    <w:p>
      <w:pPr>
        <w:pStyle w:val="ListBullet"/>
        <w:spacing w:after="40"/>
      </w:pPr>
      <w:r>
        <w:t>Interview Status Completed alone represents Pending Decision rather than Hired/Rejected.</w:t>
      </w:r>
    </w:p>
    <w:p>
      <w:pPr>
        <w:pStyle w:val="ListBullet"/>
        <w:spacing w:after="40"/>
      </w:pPr>
      <w:r>
        <w:t>If Client Status becomes Client Interview after an interview was previously Completed, reset Interview Status to Not Scheduled for the client interview.</w:t>
      </w:r>
    </w:p>
    <w:p>
      <w:pPr>
        <w:pStyle w:val="ListBullet"/>
        <w:spacing w:after="40"/>
      </w:pPr>
      <w:r>
        <w:t>Hired is terminal for that Candidate + Ref # application, not for the person's entire Talent Pool identity.</w:t>
      </w:r>
    </w:p>
    <w:p>
      <w:pPr>
        <w:pStyle w:val="Heading2"/>
      </w:pPr>
      <w:r>
        <w:t>13.3 Candidate Database lifecycle KPI classification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Priority</w:t>
            </w:r>
          </w:p>
        </w:tc>
        <w:tc>
          <w:tcPr>
            <w:tcW w:type="dxa" w:w="5112"/>
            <w:vAlign w:val="center"/>
            <w:shd w:fill="175AFF"/>
          </w:tcPr>
          <w:p>
            <w:r/>
            <w:r>
              <w:rPr>
                <w:rFonts w:ascii="Aptos" w:hAnsi="Aptos"/>
                <w:b/>
                <w:color w:val="FFFFFF"/>
                <w:sz w:val="17"/>
              </w:rPr>
              <w:t>Lifecycle state / rule</w:t>
            </w:r>
          </w:p>
        </w:tc>
      </w:tr>
      <w:tr>
        <w:tc>
          <w:tcPr>
            <w:tcW w:type="dxa" w:w="5112"/>
            <w:vAlign w:val="center"/>
          </w:tcPr>
          <w:p>
            <w:r/>
            <w:r>
              <w:rPr>
                <w:rFonts w:ascii="Aptos" w:hAnsi="Aptos"/>
                <w:b w:val="0"/>
                <w:sz w:val="17"/>
              </w:rPr>
              <w:t>1</w:t>
            </w:r>
          </w:p>
        </w:tc>
        <w:tc>
          <w:tcPr>
            <w:tcW w:type="dxa" w:w="5112"/>
            <w:vAlign w:val="center"/>
          </w:tcPr>
          <w:p>
            <w:r/>
            <w:r>
              <w:rPr>
                <w:rFonts w:ascii="Aptos" w:hAnsi="Aptos"/>
                <w:b w:val="0"/>
                <w:sz w:val="17"/>
              </w:rPr>
              <w:t>Hired: Client Status Hired OR Recruitment Stage Hired OR Talent Pool Status Placed.</w:t>
            </w:r>
          </w:p>
        </w:tc>
      </w:tr>
      <w:tr>
        <w:tc>
          <w:tcPr>
            <w:tcW w:type="dxa" w:w="5112"/>
            <w:vAlign w:val="center"/>
          </w:tcPr>
          <w:p>
            <w:r/>
            <w:r>
              <w:rPr>
                <w:rFonts w:ascii="Aptos" w:hAnsi="Aptos"/>
                <w:b w:val="0"/>
                <w:sz w:val="17"/>
              </w:rPr>
              <w:t>2</w:t>
            </w:r>
          </w:p>
        </w:tc>
        <w:tc>
          <w:tcPr>
            <w:tcW w:type="dxa" w:w="5112"/>
            <w:vAlign w:val="center"/>
          </w:tcPr>
          <w:p>
            <w:r/>
            <w:r>
              <w:rPr>
                <w:rFonts w:ascii="Aptos" w:hAnsi="Aptos"/>
                <w:b w:val="0"/>
                <w:sz w:val="17"/>
              </w:rPr>
              <w:t>Rejected: Client Status Client Rejected OR Recruitment Stage Rejected.</w:t>
            </w:r>
          </w:p>
        </w:tc>
      </w:tr>
      <w:tr>
        <w:tc>
          <w:tcPr>
            <w:tcW w:type="dxa" w:w="5112"/>
            <w:vAlign w:val="center"/>
          </w:tcPr>
          <w:p>
            <w:r/>
            <w:r>
              <w:rPr>
                <w:rFonts w:ascii="Aptos" w:hAnsi="Aptos"/>
                <w:b w:val="0"/>
                <w:sz w:val="17"/>
              </w:rPr>
              <w:t>3</w:t>
            </w:r>
          </w:p>
        </w:tc>
        <w:tc>
          <w:tcPr>
            <w:tcW w:type="dxa" w:w="5112"/>
            <w:vAlign w:val="center"/>
          </w:tcPr>
          <w:p>
            <w:r/>
            <w:r>
              <w:rPr>
                <w:rFonts w:ascii="Aptos" w:hAnsi="Aptos"/>
                <w:b w:val="0"/>
                <w:sz w:val="17"/>
              </w:rPr>
              <w:t>Pending Decision: Client Status Offer OR Recruitment Stage Offer Sent OR Interview Completed OR Client Status Submitted / Under Review / Client Shortlisted.</w:t>
            </w:r>
          </w:p>
        </w:tc>
      </w:tr>
      <w:tr>
        <w:tc>
          <w:tcPr>
            <w:tcW w:type="dxa" w:w="5112"/>
            <w:vAlign w:val="center"/>
          </w:tcPr>
          <w:p>
            <w:r/>
            <w:r>
              <w:rPr>
                <w:rFonts w:ascii="Aptos" w:hAnsi="Aptos"/>
                <w:b w:val="0"/>
                <w:sz w:val="17"/>
              </w:rPr>
              <w:t>4</w:t>
            </w:r>
          </w:p>
        </w:tc>
        <w:tc>
          <w:tcPr>
            <w:tcW w:type="dxa" w:w="5112"/>
            <w:vAlign w:val="center"/>
          </w:tcPr>
          <w:p>
            <w:r/>
            <w:r>
              <w:rPr>
                <w:rFonts w:ascii="Aptos" w:hAnsi="Aptos"/>
                <w:b w:val="0"/>
                <w:sz w:val="17"/>
              </w:rPr>
              <w:t>In Interview: Recruitment Stage Technical Interview / Final Interview / Client Interview OR Client Status Client Interview, unless a higher-priority state applies.</w:t>
            </w:r>
          </w:p>
        </w:tc>
      </w:tr>
      <w:tr>
        <w:tc>
          <w:tcPr>
            <w:tcW w:type="dxa" w:w="5112"/>
            <w:vAlign w:val="center"/>
          </w:tcPr>
          <w:p>
            <w:r/>
            <w:r>
              <w:rPr>
                <w:rFonts w:ascii="Aptos" w:hAnsi="Aptos"/>
                <w:b w:val="0"/>
                <w:sz w:val="17"/>
              </w:rPr>
              <w:t>5</w:t>
            </w:r>
          </w:p>
        </w:tc>
        <w:tc>
          <w:tcPr>
            <w:tcW w:type="dxa" w:w="5112"/>
            <w:vAlign w:val="center"/>
          </w:tcPr>
          <w:p>
            <w:r/>
            <w:r>
              <w:rPr>
                <w:rFonts w:ascii="Aptos" w:hAnsi="Aptos"/>
                <w:b w:val="0"/>
                <w:sz w:val="17"/>
              </w:rPr>
              <w:t>On Hold: Recruitment Stage Hold.</w:t>
            </w:r>
          </w:p>
        </w:tc>
      </w:tr>
      <w:tr>
        <w:tc>
          <w:tcPr>
            <w:tcW w:type="dxa" w:w="5112"/>
            <w:vAlign w:val="center"/>
          </w:tcPr>
          <w:p>
            <w:r/>
            <w:r>
              <w:rPr>
                <w:rFonts w:ascii="Aptos" w:hAnsi="Aptos"/>
                <w:b w:val="0"/>
                <w:sz w:val="17"/>
              </w:rPr>
              <w:t>6</w:t>
            </w:r>
          </w:p>
        </w:tc>
        <w:tc>
          <w:tcPr>
            <w:tcW w:type="dxa" w:w="5112"/>
            <w:vAlign w:val="center"/>
          </w:tcPr>
          <w:p>
            <w:r/>
            <w:r>
              <w:rPr>
                <w:rFonts w:ascii="Aptos" w:hAnsi="Aptos"/>
                <w:b w:val="0"/>
                <w:sz w:val="17"/>
              </w:rPr>
              <w:t>Shortlisted: Recruitment Stage Shortlisted.</w:t>
            </w:r>
          </w:p>
        </w:tc>
      </w:tr>
    </w:tbl>
    <w:p/>
    <w:p>
      <w:pPr>
        <w:spacing w:after="100"/>
      </w:pPr>
      <w:r>
        <w:t>The controlled Recruitment Stage value Consider exists, but its final KPI classification was not yet locked. Do not invent a classification during migration; resolve it in the lifecycle review.</w:t>
      </w:r>
    </w:p>
    <w:p>
      <w:pPr>
        <w:pStyle w:val="Heading2"/>
      </w:pPr>
      <w:r>
        <w:t>13.4 Pending lifecycle UX review</w:t>
      </w:r>
    </w:p>
    <w:p>
      <w:pPr>
        <w:spacing w:after="100"/>
      </w:pPr>
      <w:r>
        <w:t>A planned module must decide the final operational home for recruiter lifecycle changes. The current architectural preference is Candidate Database because it is candidate/application-centric. Manage Positions should provide position-level visibility and navigation into candidates rather than duplicating all lifecycle controls. Talent Pool should remain the reusable candidate repository. This decision must be reviewed and then locked in the .NET UX.</w:t>
      </w:r>
    </w:p>
    <w:p>
      <w:pPr>
        <w:pStyle w:val="Heading1"/>
      </w:pPr>
      <w:r>
        <w:t>14. Candidate Profile — Locked UX and Behavior</w:t>
      </w:r>
    </w:p>
    <w:p>
      <w:pPr>
        <w:pStyle w:val="ListBullet"/>
        <w:spacing w:after="40"/>
      </w:pPr>
      <w:r>
        <w:t>Large full-height right-side drawer/workspace over a dimmed Candidate Database.</w:t>
      </w:r>
    </w:p>
    <w:p>
      <w:pPr>
        <w:pStyle w:val="ListBullet"/>
        <w:spacing w:after="40"/>
      </w:pPr>
      <w:r>
        <w:t>Closing the drawer preserves Candidate Database state and scroll position.</w:t>
      </w:r>
    </w:p>
    <w:p>
      <w:pPr>
        <w:pStyle w:val="ListBullet"/>
        <w:spacing w:after="40"/>
      </w:pPr>
      <w:r>
        <w:t>Single continuous drawer scroll; avoid nested scrolling sections.</w:t>
      </w:r>
    </w:p>
    <w:p>
      <w:pPr>
        <w:pStyle w:val="ListBullet"/>
        <w:spacing w:after="40"/>
      </w:pPr>
      <w:r>
        <w:t>Header shows Candidate Name, current role/company, Candidate ID, phone, email, current location, View/Download CV and Close.</w:t>
      </w:r>
    </w:p>
    <w:p>
      <w:pPr>
        <w:pStyle w:val="ListBullet"/>
        <w:spacing w:after="40"/>
      </w:pPr>
      <w:r>
        <w:t>Tabs: Overview | Assessment | Notes | Activity.</w:t>
      </w:r>
    </w:p>
    <w:p>
      <w:pPr>
        <w:pStyle w:val="ListBullet"/>
        <w:spacing w:after="40"/>
      </w:pPr>
      <w:r>
        <w:t>No separate CV tab; CV is a header action.</w:t>
      </w:r>
    </w:p>
    <w:p>
      <w:pPr>
        <w:pStyle w:val="ListBullet"/>
        <w:spacing w:after="40"/>
      </w:pPr>
      <w:r>
        <w:t>Overview uses approximately 65% left master-profile area / 35% right application context where applicable.</w:t>
      </w:r>
    </w:p>
    <w:p>
      <w:pPr>
        <w:pStyle w:val="Heading2"/>
      </w:pPr>
      <w:r>
        <w:t>14.1 Overview</w:t>
      </w:r>
    </w:p>
    <w:p>
      <w:pPr>
        <w:pStyle w:val="ListBullet"/>
        <w:spacing w:after="40"/>
      </w:pPr>
      <w:r>
        <w:t>Talent Pool Status.</w:t>
      </w:r>
    </w:p>
    <w:p>
      <w:pPr>
        <w:pStyle w:val="ListBullet"/>
        <w:spacing w:after="40"/>
      </w:pPr>
      <w:r>
        <w:t>Professional Summary.</w:t>
      </w:r>
    </w:p>
    <w:p>
      <w:pPr>
        <w:pStyle w:val="ListBullet"/>
        <w:spacing w:after="40"/>
      </w:pPr>
      <w:r>
        <w:t>Current Role, Company, Location, Experience, Seniority, Function and Specialization.</w:t>
      </w:r>
    </w:p>
    <w:p>
      <w:pPr>
        <w:pStyle w:val="ListBullet"/>
        <w:spacing w:after="40"/>
      </w:pPr>
      <w:r>
        <w:t>Career Profile Summary.</w:t>
      </w:r>
    </w:p>
    <w:p>
      <w:pPr>
        <w:pStyle w:val="ListBullet"/>
        <w:spacing w:after="40"/>
      </w:pPr>
      <w:r>
        <w:t>Employment / Career History as clean timeline entries.</w:t>
      </w:r>
    </w:p>
    <w:p>
      <w:pPr>
        <w:pStyle w:val="ListBullet"/>
        <w:spacing w:after="40"/>
      </w:pPr>
      <w:r>
        <w:t>Education as clean academic timeline entries.</w:t>
      </w:r>
    </w:p>
    <w:p>
      <w:pPr>
        <w:pStyle w:val="ListBullet"/>
        <w:spacing w:after="40"/>
      </w:pPr>
      <w:r>
        <w:t>Core Skills, Industries/Domains, Systems/Tools and Geographic/Market Exposure.</w:t>
      </w:r>
    </w:p>
    <w:p>
      <w:pPr>
        <w:pStyle w:val="ListBullet"/>
        <w:spacing w:after="40"/>
      </w:pPr>
      <w:r>
        <w:t>Only display sections that have data.</w:t>
      </w:r>
    </w:p>
    <w:p>
      <w:pPr>
        <w:pStyle w:val="ListBullet"/>
        <w:spacing w:after="40"/>
      </w:pPr>
      <w:r>
        <w:t>Detailed Executive Assessment, Strengths and Risks belong in Assessment, not Overview.</w:t>
      </w:r>
    </w:p>
    <w:p>
      <w:pPr>
        <w:pStyle w:val="Heading2"/>
      </w:pPr>
      <w:r>
        <w:t>14.2 Assessment tab</w:t>
      </w:r>
    </w:p>
    <w:p>
      <w:pPr>
        <w:pStyle w:val="ListBullet"/>
        <w:spacing w:after="40"/>
      </w:pPr>
      <w:r>
        <w:t>Position/context hero.</w:t>
      </w:r>
    </w:p>
    <w:p>
      <w:pPr>
        <w:pStyle w:val="ListBullet"/>
        <w:spacing w:after="40"/>
      </w:pPr>
      <w:r>
        <w:t>AI Decision and Must-Have Fit.</w:t>
      </w:r>
    </w:p>
    <w:p>
      <w:pPr>
        <w:pStyle w:val="ListBullet"/>
        <w:spacing w:after="40"/>
      </w:pPr>
      <w:r>
        <w:t>ATS Match, Core Role Fit and Evidence Strength score visualizations.</w:t>
      </w:r>
    </w:p>
    <w:p>
      <w:pPr>
        <w:pStyle w:val="ListBullet"/>
        <w:spacing w:after="40"/>
      </w:pPr>
      <w:r>
        <w:t>Executive Assessment.</w:t>
      </w:r>
    </w:p>
    <w:p>
      <w:pPr>
        <w:pStyle w:val="ListBullet"/>
        <w:spacing w:after="40"/>
      </w:pPr>
      <w:r>
        <w:t>Key Strengths and Key Gaps/Risks.</w:t>
      </w:r>
    </w:p>
    <w:p>
      <w:pPr>
        <w:pStyle w:val="ListBullet"/>
        <w:spacing w:after="40"/>
      </w:pPr>
      <w:r>
        <w:t>Criterion-by-Criterion Assessment.</w:t>
      </w:r>
    </w:p>
    <w:p>
      <w:pPr>
        <w:pStyle w:val="ListBullet"/>
        <w:spacing w:after="40"/>
      </w:pPr>
      <w:r>
        <w:t>Each criterion can show criterion name, Must-Have flag, weight, status, score, evidence confidence, evidence found and assessment rationale.</w:t>
      </w:r>
    </w:p>
    <w:p>
      <w:pPr>
        <w:pStyle w:val="ListBullet"/>
        <w:spacing w:after="40"/>
      </w:pPr>
      <w:r>
        <w:t>Current Application Status.</w:t>
      </w:r>
    </w:p>
    <w:p>
      <w:pPr>
        <w:pStyle w:val="ListBullet"/>
        <w:spacing w:after="40"/>
      </w:pPr>
      <w:r>
        <w:t>For historical assessments without stored criterion JSON, show the framework/absence clearly; never display fabricated 0/10 values or reconstructed evidence.</w:t>
      </w:r>
    </w:p>
    <w:p>
      <w:pPr>
        <w:spacing w:after="100"/>
      </w:pPr>
      <w:r>
        <w:t>The Assessment tab is considered stable and validated. Avoid changing its working scoring/rendering during unrelated migrations.</w:t>
      </w:r>
    </w:p>
    <w:p>
      <w:pPr>
        <w:pStyle w:val="Heading1"/>
      </w:pPr>
      <w:r>
        <w:t>15. Dashboard and Navigation</w:t>
      </w:r>
    </w:p>
    <w:p>
      <w:pPr>
        <w:pStyle w:val="Heading2"/>
      </w:pPr>
      <w:r>
        <w:t>15.1 Current/locked primary navigation concepts</w:t>
      </w:r>
    </w:p>
    <w:p>
      <w:pPr>
        <w:pStyle w:val="ListBullet"/>
        <w:spacing w:after="40"/>
      </w:pPr>
      <w:r>
        <w:t>Dashboard.</w:t>
      </w:r>
    </w:p>
    <w:p>
      <w:pPr>
        <w:pStyle w:val="ListBullet"/>
        <w:spacing w:after="40"/>
      </w:pPr>
      <w:r>
        <w:t>Candidate Assessment.</w:t>
      </w:r>
    </w:p>
    <w:p>
      <w:pPr>
        <w:pStyle w:val="ListBullet"/>
        <w:spacing w:after="40"/>
      </w:pPr>
      <w:r>
        <w:t>Manage Positions.</w:t>
      </w:r>
    </w:p>
    <w:p>
      <w:pPr>
        <w:pStyle w:val="ListBullet"/>
        <w:spacing w:after="40"/>
      </w:pPr>
      <w:r>
        <w:t>Candidate Database.</w:t>
      </w:r>
    </w:p>
    <w:p>
      <w:pPr>
        <w:pStyle w:val="ListBullet"/>
        <w:spacing w:after="40"/>
      </w:pPr>
      <w:r>
        <w:t>Create Position currently exists as a separate menu item in the Apps Script UI.</w:t>
      </w:r>
    </w:p>
    <w:p>
      <w:pPr>
        <w:pStyle w:val="Heading2"/>
      </w:pPr>
      <w:r>
        <w:t>15.2 Approved navigation change for .NET</w:t>
      </w:r>
    </w:p>
    <w:p>
      <w:pPr>
        <w:spacing w:after="100"/>
      </w:pPr>
      <w:r>
        <w:t>Create Position should no longer be a separate top-level menu item. It should be an action/workflow inside Manage Positions so recruiters have one consolidated position workspace.</w:t>
      </w:r>
    </w:p>
    <w:p>
      <w:pPr>
        <w:pStyle w:val="ListBullet"/>
        <w:spacing w:after="40"/>
      </w:pPr>
      <w:r>
        <w:t>Manage Positions: list/search/filter positions, open position detail, create new position, edit/manage position state, access its criteria and candidate/application context.</w:t>
      </w:r>
    </w:p>
    <w:p>
      <w:pPr>
        <w:pStyle w:val="ListBullet"/>
        <w:spacing w:after="40"/>
      </w:pPr>
      <w:r>
        <w:t>Candidate Database: candidate-centric operational workspace.</w:t>
      </w:r>
    </w:p>
    <w:p>
      <w:pPr>
        <w:pStyle w:val="ListBullet"/>
        <w:spacing w:after="40"/>
      </w:pPr>
      <w:r>
        <w:t>Talent Pool: reusable candidate repository/sourcing view.</w:t>
      </w:r>
    </w:p>
    <w:p>
      <w:pPr>
        <w:pStyle w:val="ListBullet"/>
        <w:spacing w:after="40"/>
      </w:pPr>
      <w:r>
        <w:t>Dashboard: role-relevant operational summary and navigation.</w:t>
      </w:r>
    </w:p>
    <w:p>
      <w:pPr>
        <w:spacing w:after="100"/>
      </w:pPr>
      <w:r>
        <w:t>Avoid duplicate workflows across pages. Position operations belong under Manage Positions; candidate lifecycle operations should primarily belong under Candidate Database after the pending lifecycle review.</w:t>
      </w:r>
    </w:p>
    <w:p>
      <w:pPr>
        <w:pStyle w:val="Heading1"/>
      </w:pPr>
      <w:r>
        <w:t>16. Reports and Client-Facing Output</w:t>
      </w:r>
    </w:p>
    <w:p>
      <w:pPr>
        <w:pStyle w:val="Heading2"/>
      </w:pPr>
      <w:r>
        <w:t>16.1 Existing report types</w:t>
      </w:r>
    </w:p>
    <w:p>
      <w:pPr>
        <w:pStyle w:val="ListBullet"/>
        <w:spacing w:after="40"/>
      </w:pPr>
      <w:r>
        <w:t>Individual Candidate Assessment Report (PDF).</w:t>
      </w:r>
    </w:p>
    <w:p>
      <w:pPr>
        <w:pStyle w:val="ListBullet"/>
        <w:spacing w:after="40"/>
      </w:pPr>
      <w:r>
        <w:t>Candidate Summary / bulk comparison report.</w:t>
      </w:r>
    </w:p>
    <w:p>
      <w:pPr>
        <w:pStyle w:val="ListBullet"/>
        <w:spacing w:after="40"/>
      </w:pPr>
      <w:r>
        <w:t>Single and Batch PDF generation from Candidate Assessment.</w:t>
      </w:r>
    </w:p>
    <w:p>
      <w:pPr>
        <w:pStyle w:val="ListBullet"/>
        <w:spacing w:after="40"/>
      </w:pPr>
      <w:r>
        <w:t>Osynix branding and professional client-facing layout.</w:t>
      </w:r>
    </w:p>
    <w:p>
      <w:pPr>
        <w:pStyle w:val="ListBullet"/>
        <w:spacing w:after="40"/>
      </w:pPr>
      <w:r>
        <w:t>Candidate contact details can be hidden in client-facing assessment reports.</w:t>
      </w:r>
    </w:p>
    <w:p>
      <w:pPr>
        <w:pStyle w:val="ListBullet"/>
        <w:spacing w:after="40"/>
      </w:pPr>
      <w:r>
        <w:t>Criterion-level assessment, scores, strengths, risks, interview focus and recommendation are retained where applicable.</w:t>
      </w:r>
    </w:p>
    <w:p>
      <w:pPr>
        <w:pStyle w:val="Heading2"/>
      </w:pPr>
      <w:r>
        <w:t>16.2 Approved commercial-product scope</w:t>
      </w:r>
    </w:p>
    <w:p>
      <w:pPr>
        <w:pStyle w:val="ListBullet"/>
        <w:spacing w:after="40"/>
      </w:pPr>
      <w:r>
        <w:t>Retain downloadable/exportable reports in .NET.</w:t>
      </w:r>
    </w:p>
    <w:p>
      <w:pPr>
        <w:pStyle w:val="ListBullet"/>
        <w:spacing w:after="40"/>
      </w:pPr>
      <w:r>
        <w:t>Design reporting services independently of the UI.</w:t>
      </w:r>
    </w:p>
    <w:p>
      <w:pPr>
        <w:pStyle w:val="ListBullet"/>
        <w:spacing w:after="40"/>
      </w:pPr>
      <w:r>
        <w:t>Include future client-facing portal/report access in product scope.</w:t>
      </w:r>
    </w:p>
    <w:p>
      <w:pPr>
        <w:pStyle w:val="ListBullet"/>
        <w:spacing w:after="40"/>
      </w:pPr>
      <w:r>
        <w:t>Client users must see only authorized client/position/candidate information.</w:t>
      </w:r>
    </w:p>
    <w:p>
      <w:pPr>
        <w:pStyle w:val="ListBullet"/>
        <w:spacing w:after="40"/>
      </w:pPr>
      <w:r>
        <w:t>Do not expose internal recruiter notes or unrestricted Talent Pool data to clients by default.</w:t>
      </w:r>
    </w:p>
    <w:p>
      <w:pPr>
        <w:pStyle w:val="Heading1"/>
      </w:pPr>
      <w:r>
        <w:t>17. Users, Authentication, Roles and Audit</w:t>
      </w:r>
    </w:p>
    <w:p>
      <w:pPr>
        <w:pStyle w:val="Heading2"/>
      </w:pPr>
      <w:r>
        <w:t>17.1 Current concepts</w:t>
      </w:r>
    </w:p>
    <w:p>
      <w:pPr>
        <w:pStyle w:val="ListBullet"/>
        <w:spacing w:after="40"/>
      </w:pPr>
      <w:r>
        <w:t>Operational backend functions require an authenticated/authorized ATS user.</w:t>
      </w:r>
    </w:p>
    <w:p>
      <w:pPr>
        <w:pStyle w:val="ListBullet"/>
        <w:spacing w:after="40"/>
      </w:pPr>
      <w:r>
        <w:t>Current workbook contains Users &amp; Access, User Sessions, Trusted Devices and Activity Log areas.</w:t>
      </w:r>
    </w:p>
    <w:p>
      <w:pPr>
        <w:pStyle w:val="ListBullet"/>
        <w:spacing w:after="40"/>
      </w:pPr>
      <w:r>
        <w:t>Recruiter/Admin dashboards and authorization concepts already exist in the Apps Script solution.</w:t>
      </w:r>
    </w:p>
    <w:p>
      <w:pPr>
        <w:pStyle w:val="Heading2"/>
      </w:pPr>
      <w:r>
        <w:t>17.2 .NET commercial role model — future-ready</w:t>
      </w:r>
    </w:p>
    <w:p>
      <w:pPr>
        <w:spacing w:after="100"/>
      </w:pPr>
      <w:r>
        <w:t>Do not hard-code the product to only two roles. Implement permission-based authorization so roles can evolve. Initial/future role families may include: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Role family</w:t>
            </w:r>
          </w:p>
        </w:tc>
        <w:tc>
          <w:tcPr>
            <w:tcW w:type="dxa" w:w="5112"/>
            <w:vAlign w:val="center"/>
            <w:shd w:fill="175AFF"/>
          </w:tcPr>
          <w:p>
            <w:r/>
            <w:r>
              <w:rPr>
                <w:rFonts w:ascii="Aptos" w:hAnsi="Aptos"/>
                <w:b/>
                <w:color w:val="FFFFFF"/>
                <w:sz w:val="17"/>
              </w:rPr>
              <w:t>Typical scope</w:t>
            </w:r>
          </w:p>
        </w:tc>
      </w:tr>
      <w:tr>
        <w:tc>
          <w:tcPr>
            <w:tcW w:type="dxa" w:w="5112"/>
            <w:vAlign w:val="center"/>
          </w:tcPr>
          <w:p>
            <w:r/>
            <w:r>
              <w:rPr>
                <w:rFonts w:ascii="Aptos" w:hAnsi="Aptos"/>
                <w:b w:val="0"/>
                <w:sz w:val="17"/>
              </w:rPr>
              <w:t>Super Admin / Platform Admin</w:t>
            </w:r>
          </w:p>
        </w:tc>
        <w:tc>
          <w:tcPr>
            <w:tcW w:type="dxa" w:w="5112"/>
            <w:vAlign w:val="center"/>
          </w:tcPr>
          <w:p>
            <w:r/>
            <w:r>
              <w:rPr>
                <w:rFonts w:ascii="Aptos" w:hAnsi="Aptos"/>
                <w:b w:val="0"/>
                <w:sz w:val="17"/>
              </w:rPr>
              <w:t>Global product configuration, tenants/organizations if introduced, security and support-level administration.</w:t>
            </w:r>
          </w:p>
        </w:tc>
      </w:tr>
      <w:tr>
        <w:tc>
          <w:tcPr>
            <w:tcW w:type="dxa" w:w="5112"/>
            <w:vAlign w:val="center"/>
          </w:tcPr>
          <w:p>
            <w:r/>
            <w:r>
              <w:rPr>
                <w:rFonts w:ascii="Aptos" w:hAnsi="Aptos"/>
                <w:b w:val="0"/>
                <w:sz w:val="17"/>
              </w:rPr>
              <w:t>Organization Admin</w:t>
            </w:r>
          </w:p>
        </w:tc>
        <w:tc>
          <w:tcPr>
            <w:tcW w:type="dxa" w:w="5112"/>
            <w:vAlign w:val="center"/>
          </w:tcPr>
          <w:p>
            <w:r/>
            <w:r>
              <w:rPr>
                <w:rFonts w:ascii="Aptos" w:hAnsi="Aptos"/>
                <w:b w:val="0"/>
                <w:sz w:val="17"/>
              </w:rPr>
              <w:t>Company-level configuration, users, roles, clients, positions and full ATS access within the organization.</w:t>
            </w:r>
          </w:p>
        </w:tc>
      </w:tr>
      <w:tr>
        <w:tc>
          <w:tcPr>
            <w:tcW w:type="dxa" w:w="5112"/>
            <w:vAlign w:val="center"/>
          </w:tcPr>
          <w:p>
            <w:r/>
            <w:r>
              <w:rPr>
                <w:rFonts w:ascii="Aptos" w:hAnsi="Aptos"/>
                <w:b w:val="0"/>
                <w:sz w:val="17"/>
              </w:rPr>
              <w:t>Recruitment Manager / Team Lead</w:t>
            </w:r>
          </w:p>
        </w:tc>
        <w:tc>
          <w:tcPr>
            <w:tcW w:type="dxa" w:w="5112"/>
            <w:vAlign w:val="center"/>
          </w:tcPr>
          <w:p>
            <w:r/>
            <w:r>
              <w:rPr>
                <w:rFonts w:ascii="Aptos" w:hAnsi="Aptos"/>
                <w:b w:val="0"/>
                <w:sz w:val="17"/>
              </w:rPr>
              <w:t>Manage recruiters, positions, pipeline, reports and approvals.</w:t>
            </w:r>
          </w:p>
        </w:tc>
      </w:tr>
      <w:tr>
        <w:tc>
          <w:tcPr>
            <w:tcW w:type="dxa" w:w="5112"/>
            <w:vAlign w:val="center"/>
          </w:tcPr>
          <w:p>
            <w:r/>
            <w:r>
              <w:rPr>
                <w:rFonts w:ascii="Aptos" w:hAnsi="Aptos"/>
                <w:b w:val="0"/>
                <w:sz w:val="17"/>
              </w:rPr>
              <w:t>Recruiter</w:t>
            </w:r>
          </w:p>
        </w:tc>
        <w:tc>
          <w:tcPr>
            <w:tcW w:type="dxa" w:w="5112"/>
            <w:vAlign w:val="center"/>
          </w:tcPr>
          <w:p>
            <w:r/>
            <w:r>
              <w:rPr>
                <w:rFonts w:ascii="Aptos" w:hAnsi="Aptos"/>
                <w:b w:val="0"/>
                <w:sz w:val="17"/>
              </w:rPr>
              <w:t>Day-to-day position, assessment, candidate and lifecycle operations.</w:t>
            </w:r>
          </w:p>
        </w:tc>
      </w:tr>
      <w:tr>
        <w:tc>
          <w:tcPr>
            <w:tcW w:type="dxa" w:w="5112"/>
            <w:vAlign w:val="center"/>
          </w:tcPr>
          <w:p>
            <w:r/>
            <w:r>
              <w:rPr>
                <w:rFonts w:ascii="Aptos" w:hAnsi="Aptos"/>
                <w:b w:val="0"/>
                <w:sz w:val="17"/>
              </w:rPr>
              <w:t>Hiring Manager / Internal Reviewer</w:t>
            </w:r>
          </w:p>
        </w:tc>
        <w:tc>
          <w:tcPr>
            <w:tcW w:type="dxa" w:w="5112"/>
            <w:vAlign w:val="center"/>
          </w:tcPr>
          <w:p>
            <w:r/>
            <w:r>
              <w:rPr>
                <w:rFonts w:ascii="Aptos" w:hAnsi="Aptos"/>
                <w:b w:val="0"/>
                <w:sz w:val="17"/>
              </w:rPr>
              <w:t>Restricted review of assigned positions/candidates and feedback.</w:t>
            </w:r>
          </w:p>
        </w:tc>
      </w:tr>
      <w:tr>
        <w:tc>
          <w:tcPr>
            <w:tcW w:type="dxa" w:w="5112"/>
            <w:vAlign w:val="center"/>
          </w:tcPr>
          <w:p>
            <w:r/>
            <w:r>
              <w:rPr>
                <w:rFonts w:ascii="Aptos" w:hAnsi="Aptos"/>
                <w:b w:val="0"/>
                <w:sz w:val="17"/>
              </w:rPr>
              <w:t>Client User / Client Hiring Manager</w:t>
            </w:r>
          </w:p>
        </w:tc>
        <w:tc>
          <w:tcPr>
            <w:tcW w:type="dxa" w:w="5112"/>
            <w:vAlign w:val="center"/>
          </w:tcPr>
          <w:p>
            <w:r/>
            <w:r>
              <w:rPr>
                <w:rFonts w:ascii="Aptos" w:hAnsi="Aptos"/>
                <w:b w:val="0"/>
                <w:sz w:val="17"/>
              </w:rPr>
              <w:t>Restricted client portal access to authorized positions, submitted candidates, interviews/decisions and reports.</w:t>
            </w:r>
          </w:p>
        </w:tc>
      </w:tr>
      <w:tr>
        <w:tc>
          <w:tcPr>
            <w:tcW w:type="dxa" w:w="5112"/>
            <w:vAlign w:val="center"/>
          </w:tcPr>
          <w:p>
            <w:r/>
            <w:r>
              <w:rPr>
                <w:rFonts w:ascii="Aptos" w:hAnsi="Aptos"/>
                <w:b w:val="0"/>
                <w:sz w:val="17"/>
              </w:rPr>
              <w:t>Read-Only / Auditor</w:t>
            </w:r>
          </w:p>
        </w:tc>
        <w:tc>
          <w:tcPr>
            <w:tcW w:type="dxa" w:w="5112"/>
            <w:vAlign w:val="center"/>
          </w:tcPr>
          <w:p>
            <w:r/>
            <w:r>
              <w:rPr>
                <w:rFonts w:ascii="Aptos" w:hAnsi="Aptos"/>
                <w:b w:val="0"/>
                <w:sz w:val="17"/>
              </w:rPr>
              <w:t>View permitted records and reports without operational writes.</w:t>
            </w:r>
          </w:p>
        </w:tc>
      </w:tr>
    </w:tbl>
    <w:p/>
    <w:p>
      <w:pPr>
        <w:spacing w:after="100"/>
      </w:pPr>
      <w:r>
        <w:t>These are target role families, not a claim that every role is already implemented in Apps Script. The .NET authorization model should use permissions/policies so roles can be composed without rewriting business logic.</w:t>
      </w:r>
    </w:p>
    <w:p>
      <w:pPr>
        <w:pStyle w:val="Heading2"/>
      </w:pPr>
      <w:r>
        <w:t>17.3 Activity and audit requirements</w:t>
      </w:r>
    </w:p>
    <w:p>
      <w:pPr>
        <w:pStyle w:val="ListBullet"/>
        <w:spacing w:after="40"/>
      </w:pPr>
      <w:r>
        <w:t>Record meaningful user actions with actor, timestamp, entity, entity identifier and action.</w:t>
      </w:r>
    </w:p>
    <w:p>
      <w:pPr>
        <w:pStyle w:val="ListBullet"/>
        <w:spacing w:after="40"/>
      </w:pPr>
      <w:r>
        <w:t>Examples: assessment saved, position created/updated, lifecycle stage changed, interview status changed, client status changed, recruiter note added/edited, report generated, candidate profile updated, user/security actions.</w:t>
      </w:r>
    </w:p>
    <w:p>
      <w:pPr>
        <w:pStyle w:val="ListBullet"/>
        <w:spacing w:after="40"/>
      </w:pPr>
      <w:r>
        <w:t>Activity displayed to users must be based on real events; never synthesize fake historical dates/events.</w:t>
      </w:r>
    </w:p>
    <w:p>
      <w:pPr>
        <w:pStyle w:val="ListBullet"/>
        <w:spacing w:after="40"/>
      </w:pPr>
      <w:r>
        <w:t>Security/audit logs and recruiter-facing activity may be separate views over the same event source.</w:t>
      </w:r>
    </w:p>
    <w:p>
      <w:pPr>
        <w:pStyle w:val="Heading1"/>
      </w:pPr>
      <w:r>
        <w:t>18. Buttons and Key UI Actions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Area / action</w:t>
            </w:r>
          </w:p>
        </w:tc>
        <w:tc>
          <w:tcPr>
            <w:tcW w:type="dxa" w:w="5112"/>
            <w:vAlign w:val="center"/>
            <w:shd w:fill="175AFF"/>
          </w:tcPr>
          <w:p>
            <w:r/>
            <w:r>
              <w:rPr>
                <w:rFonts w:ascii="Aptos" w:hAnsi="Aptos"/>
                <w:b/>
                <w:color w:val="FFFFFF"/>
                <w:sz w:val="17"/>
              </w:rPr>
              <w:t>Required behavior</w:t>
            </w:r>
          </w:p>
        </w:tc>
      </w:tr>
      <w:tr>
        <w:tc>
          <w:tcPr>
            <w:tcW w:type="dxa" w:w="5112"/>
            <w:vAlign w:val="center"/>
          </w:tcPr>
          <w:p>
            <w:r/>
            <w:r>
              <w:rPr>
                <w:rFonts w:ascii="Aptos" w:hAnsi="Aptos"/>
                <w:b w:val="0"/>
                <w:sz w:val="17"/>
              </w:rPr>
              <w:t>Analyze JD</w:t>
            </w:r>
          </w:p>
        </w:tc>
        <w:tc>
          <w:tcPr>
            <w:tcW w:type="dxa" w:w="5112"/>
            <w:vAlign w:val="center"/>
          </w:tcPr>
          <w:p>
            <w:r/>
            <w:r>
              <w:rPr>
                <w:rFonts w:ascii="Aptos" w:hAnsi="Aptos"/>
                <w:b w:val="0"/>
                <w:sz w:val="17"/>
              </w:rPr>
              <w:t>Calls OpenAI to create a draft JD/criteria analysis only; no persistence.</w:t>
            </w:r>
          </w:p>
        </w:tc>
      </w:tr>
      <w:tr>
        <w:tc>
          <w:tcPr>
            <w:tcW w:type="dxa" w:w="5112"/>
            <w:vAlign w:val="center"/>
          </w:tcPr>
          <w:p>
            <w:r/>
            <w:r>
              <w:rPr>
                <w:rFonts w:ascii="Aptos" w:hAnsi="Aptos"/>
                <w:b w:val="0"/>
                <w:sz w:val="17"/>
              </w:rPr>
              <w:t>Create Position</w:t>
            </w:r>
          </w:p>
        </w:tc>
        <w:tc>
          <w:tcPr>
            <w:tcW w:type="dxa" w:w="5112"/>
            <w:vAlign w:val="center"/>
          </w:tcPr>
          <w:p>
            <w:r/>
            <w:r>
              <w:rPr>
                <w:rFonts w:ascii="Aptos" w:hAnsi="Aptos"/>
                <w:b w:val="0"/>
                <w:sz w:val="17"/>
              </w:rPr>
              <w:t>Explicitly persists approved position + criteria. In .NET it lives inside Manage Positions.</w:t>
            </w:r>
          </w:p>
        </w:tc>
      </w:tr>
      <w:tr>
        <w:tc>
          <w:tcPr>
            <w:tcW w:type="dxa" w:w="5112"/>
            <w:vAlign w:val="center"/>
          </w:tcPr>
          <w:p>
            <w:r/>
            <w:r>
              <w:rPr>
                <w:rFonts w:ascii="Aptos" w:hAnsi="Aptos"/>
                <w:b w:val="0"/>
                <w:sz w:val="17"/>
              </w:rPr>
              <w:t>Assess Candidate</w:t>
            </w:r>
          </w:p>
        </w:tc>
        <w:tc>
          <w:tcPr>
            <w:tcW w:type="dxa" w:w="5112"/>
            <w:vAlign w:val="center"/>
          </w:tcPr>
          <w:p>
            <w:r/>
            <w:r>
              <w:rPr>
                <w:rFonts w:ascii="Aptos" w:hAnsi="Aptos"/>
                <w:b w:val="0"/>
                <w:sz w:val="17"/>
              </w:rPr>
              <w:t>Calls OpenAI only when recruiter intentionally assesses a CV/stored candidate against a Ref #.</w:t>
            </w:r>
          </w:p>
        </w:tc>
      </w:tr>
      <w:tr>
        <w:tc>
          <w:tcPr>
            <w:tcW w:type="dxa" w:w="5112"/>
            <w:vAlign w:val="center"/>
          </w:tcPr>
          <w:p>
            <w:r/>
            <w:r>
              <w:rPr>
                <w:rFonts w:ascii="Aptos" w:hAnsi="Aptos"/>
                <w:b w:val="0"/>
                <w:sz w:val="17"/>
              </w:rPr>
              <w:t>Single / Batch mode</w:t>
            </w:r>
          </w:p>
        </w:tc>
        <w:tc>
          <w:tcPr>
            <w:tcW w:type="dxa" w:w="5112"/>
            <w:vAlign w:val="center"/>
          </w:tcPr>
          <w:p>
            <w:r/>
            <w:r>
              <w:rPr>
                <w:rFonts w:ascii="Aptos" w:hAnsi="Aptos"/>
                <w:b w:val="0"/>
                <w:sz w:val="17"/>
              </w:rPr>
              <w:t>Switches assessment workflow; batch supports up to 5 CVs in current behavior.</w:t>
            </w:r>
          </w:p>
        </w:tc>
      </w:tr>
      <w:tr>
        <w:tc>
          <w:tcPr>
            <w:tcW w:type="dxa" w:w="5112"/>
            <w:vAlign w:val="center"/>
          </w:tcPr>
          <w:p>
            <w:r/>
            <w:r>
              <w:rPr>
                <w:rFonts w:ascii="Aptos" w:hAnsi="Aptos"/>
                <w:b w:val="0"/>
                <w:sz w:val="17"/>
              </w:rPr>
              <w:t>View batch result</w:t>
            </w:r>
          </w:p>
        </w:tc>
        <w:tc>
          <w:tcPr>
            <w:tcW w:type="dxa" w:w="5112"/>
            <w:vAlign w:val="center"/>
          </w:tcPr>
          <w:p>
            <w:r/>
            <w:r>
              <w:rPr>
                <w:rFonts w:ascii="Aptos" w:hAnsi="Aptos"/>
                <w:b w:val="0"/>
                <w:sz w:val="17"/>
              </w:rPr>
              <w:t>Opens candidate-specific assessment result without losing batch context.</w:t>
            </w:r>
          </w:p>
        </w:tc>
      </w:tr>
      <w:tr>
        <w:tc>
          <w:tcPr>
            <w:tcW w:type="dxa" w:w="5112"/>
            <w:vAlign w:val="center"/>
          </w:tcPr>
          <w:p>
            <w:r/>
            <w:r>
              <w:rPr>
                <w:rFonts w:ascii="Aptos" w:hAnsi="Aptos"/>
                <w:b w:val="0"/>
                <w:sz w:val="17"/>
              </w:rPr>
              <w:t>Save to ATS</w:t>
            </w:r>
          </w:p>
        </w:tc>
        <w:tc>
          <w:tcPr>
            <w:tcW w:type="dxa" w:w="5112"/>
            <w:vAlign w:val="center"/>
          </w:tcPr>
          <w:p>
            <w:r/>
            <w:r>
              <w:rPr>
                <w:rFonts w:ascii="Aptos" w:hAnsi="Aptos"/>
                <w:b w:val="0"/>
                <w:sz w:val="17"/>
              </w:rPr>
              <w:t>Runs duplicate resolution, Talent Pool update, Candidate+Ref persistence, criterion persistence and CV handling.</w:t>
            </w:r>
          </w:p>
        </w:tc>
      </w:tr>
      <w:tr>
        <w:tc>
          <w:tcPr>
            <w:tcW w:type="dxa" w:w="5112"/>
            <w:vAlign w:val="center"/>
          </w:tcPr>
          <w:p>
            <w:r/>
            <w:r>
              <w:rPr>
                <w:rFonts w:ascii="Aptos" w:hAnsi="Aptos"/>
                <w:b w:val="0"/>
                <w:sz w:val="17"/>
              </w:rPr>
              <w:t>Save Remaining</w:t>
            </w:r>
          </w:p>
        </w:tc>
        <w:tc>
          <w:tcPr>
            <w:tcW w:type="dxa" w:w="5112"/>
            <w:vAlign w:val="center"/>
          </w:tcPr>
          <w:p>
            <w:r/>
            <w:r>
              <w:rPr>
                <w:rFonts w:ascii="Aptos" w:hAnsi="Aptos"/>
                <w:b w:val="0"/>
                <w:sz w:val="17"/>
              </w:rPr>
              <w:t>Saves only unsaved batch candidates; must not duplicate previously saved items.</w:t>
            </w:r>
          </w:p>
        </w:tc>
      </w:tr>
      <w:tr>
        <w:tc>
          <w:tcPr>
            <w:tcW w:type="dxa" w:w="5112"/>
            <w:vAlign w:val="center"/>
          </w:tcPr>
          <w:p>
            <w:r/>
            <w:r>
              <w:rPr>
                <w:rFonts w:ascii="Aptos" w:hAnsi="Aptos"/>
                <w:b w:val="0"/>
                <w:sz w:val="17"/>
              </w:rPr>
              <w:t>Generate PDF / Report</w:t>
            </w:r>
          </w:p>
        </w:tc>
        <w:tc>
          <w:tcPr>
            <w:tcW w:type="dxa" w:w="5112"/>
            <w:vAlign w:val="center"/>
          </w:tcPr>
          <w:p>
            <w:r/>
            <w:r>
              <w:rPr>
                <w:rFonts w:ascii="Aptos" w:hAnsi="Aptos"/>
                <w:b w:val="0"/>
                <w:sz w:val="17"/>
              </w:rPr>
              <w:t>Uses stored/current assessment data; should not trigger a new AI assessment.</w:t>
            </w:r>
          </w:p>
        </w:tc>
      </w:tr>
      <w:tr>
        <w:tc>
          <w:tcPr>
            <w:tcW w:type="dxa" w:w="5112"/>
            <w:vAlign w:val="center"/>
          </w:tcPr>
          <w:p>
            <w:r/>
            <w:r>
              <w:rPr>
                <w:rFonts w:ascii="Aptos" w:hAnsi="Aptos"/>
                <w:b w:val="0"/>
                <w:sz w:val="17"/>
              </w:rPr>
              <w:t>View Candidate</w:t>
            </w:r>
          </w:p>
        </w:tc>
        <w:tc>
          <w:tcPr>
            <w:tcW w:type="dxa" w:w="5112"/>
            <w:vAlign w:val="center"/>
          </w:tcPr>
          <w:p>
            <w:r/>
            <w:r>
              <w:rPr>
                <w:rFonts w:ascii="Aptos" w:hAnsi="Aptos"/>
                <w:b w:val="0"/>
                <w:sz w:val="17"/>
              </w:rPr>
              <w:t>Opens Candidate Profile drawer; no OpenAI call.</w:t>
            </w:r>
          </w:p>
        </w:tc>
      </w:tr>
      <w:tr>
        <w:tc>
          <w:tcPr>
            <w:tcW w:type="dxa" w:w="5112"/>
            <w:vAlign w:val="center"/>
          </w:tcPr>
          <w:p>
            <w:r/>
            <w:r>
              <w:rPr>
                <w:rFonts w:ascii="Aptos" w:hAnsi="Aptos"/>
                <w:b w:val="0"/>
                <w:sz w:val="17"/>
              </w:rPr>
              <w:t>View/Download CV</w:t>
            </w:r>
          </w:p>
        </w:tc>
        <w:tc>
          <w:tcPr>
            <w:tcW w:type="dxa" w:w="5112"/>
            <w:vAlign w:val="center"/>
          </w:tcPr>
          <w:p>
            <w:r/>
            <w:r>
              <w:rPr>
                <w:rFonts w:ascii="Aptos" w:hAnsi="Aptos"/>
                <w:b w:val="0"/>
                <w:sz w:val="17"/>
              </w:rPr>
              <w:t>Opens candidate-level original CV; no OpenAI call.</w:t>
            </w:r>
          </w:p>
        </w:tc>
      </w:tr>
      <w:tr>
        <w:tc>
          <w:tcPr>
            <w:tcW w:type="dxa" w:w="5112"/>
            <w:vAlign w:val="center"/>
          </w:tcPr>
          <w:p>
            <w:r/>
            <w:r>
              <w:rPr>
                <w:rFonts w:ascii="Aptos" w:hAnsi="Aptos"/>
                <w:b w:val="0"/>
                <w:sz w:val="17"/>
              </w:rPr>
              <w:t>Profile lifecycle controls</w:t>
            </w:r>
          </w:p>
        </w:tc>
        <w:tc>
          <w:tcPr>
            <w:tcW w:type="dxa" w:w="5112"/>
            <w:vAlign w:val="center"/>
          </w:tcPr>
          <w:p>
            <w:r/>
            <w:r>
              <w:rPr>
                <w:rFonts w:ascii="Aptos" w:hAnsi="Aptos"/>
                <w:b w:val="0"/>
                <w:sz w:val="17"/>
              </w:rPr>
              <w:t>Recruiter changes operational stage/status; must not overwrite AI Decision.</w:t>
            </w:r>
          </w:p>
        </w:tc>
      </w:tr>
      <w:tr>
        <w:tc>
          <w:tcPr>
            <w:tcW w:type="dxa" w:w="5112"/>
            <w:vAlign w:val="center"/>
          </w:tcPr>
          <w:p>
            <w:r/>
            <w:r>
              <w:rPr>
                <w:rFonts w:ascii="Aptos" w:hAnsi="Aptos"/>
                <w:b w:val="0"/>
                <w:sz w:val="17"/>
              </w:rPr>
              <w:t>Close Profile</w:t>
            </w:r>
          </w:p>
        </w:tc>
        <w:tc>
          <w:tcPr>
            <w:tcW w:type="dxa" w:w="5112"/>
            <w:vAlign w:val="center"/>
          </w:tcPr>
          <w:p>
            <w:r/>
            <w:r>
              <w:rPr>
                <w:rFonts w:ascii="Aptos" w:hAnsi="Aptos"/>
                <w:b w:val="0"/>
                <w:sz w:val="17"/>
              </w:rPr>
              <w:t>Restores Candidate Database state/scroll.</w:t>
            </w:r>
          </w:p>
        </w:tc>
      </w:tr>
      <w:tr>
        <w:tc>
          <w:tcPr>
            <w:tcW w:type="dxa" w:w="5112"/>
            <w:vAlign w:val="center"/>
          </w:tcPr>
          <w:p>
            <w:r/>
            <w:r>
              <w:rPr>
                <w:rFonts w:ascii="Aptos" w:hAnsi="Aptos"/>
                <w:b w:val="0"/>
                <w:sz w:val="17"/>
              </w:rPr>
              <w:t>Dashboard/KPI cards</w:t>
            </w:r>
          </w:p>
        </w:tc>
        <w:tc>
          <w:tcPr>
            <w:tcW w:type="dxa" w:w="5112"/>
            <w:vAlign w:val="center"/>
          </w:tcPr>
          <w:p>
            <w:r/>
            <w:r>
              <w:rPr>
                <w:rFonts w:ascii="Aptos" w:hAnsi="Aptos"/>
                <w:b w:val="0"/>
                <w:sz w:val="17"/>
              </w:rPr>
              <w:t>Navigate/filter into relevant operational views; no AI call.</w:t>
            </w:r>
          </w:p>
        </w:tc>
      </w:tr>
    </w:tbl>
    <w:p/>
    <w:p>
      <w:pPr>
        <w:pStyle w:val="Heading1"/>
      </w:pPr>
      <w:r>
        <w:t>19. Data Integrity and Non-Negotiable Guardrails</w:t>
      </w:r>
    </w:p>
    <w:p>
      <w:pPr>
        <w:pStyle w:val="ListBullet"/>
        <w:spacing w:after="40"/>
      </w:pPr>
      <w:r>
        <w:t>Never fabricate candidate evidence, dates, education, employment, historical criterion scores or activity events.</w:t>
      </w:r>
    </w:p>
    <w:p>
      <w:pPr>
        <w:pStyle w:val="ListBullet"/>
        <w:spacing w:after="40"/>
      </w:pPr>
      <w:r>
        <w:t>Never convert blank historical criterion scores into 0/10.</w:t>
      </w:r>
    </w:p>
    <w:p>
      <w:pPr>
        <w:pStyle w:val="ListBullet"/>
        <w:spacing w:after="40"/>
      </w:pPr>
      <w:r>
        <w:t>Never overwrite AI Decision merely because recruiter lifecycle state changes.</w:t>
      </w:r>
    </w:p>
    <w:p>
      <w:pPr>
        <w:pStyle w:val="ListBullet"/>
        <w:spacing w:after="40"/>
      </w:pPr>
      <w:r>
        <w:t>Never globally reject/remove a candidate because one application is rejected.</w:t>
      </w:r>
    </w:p>
    <w:p>
      <w:pPr>
        <w:pStyle w:val="ListBullet"/>
        <w:spacing w:after="40"/>
      </w:pPr>
      <w:r>
        <w:t>Never create a second candidate master merely because the same person is assessed for another Ref #.</w:t>
      </w:r>
    </w:p>
    <w:p>
      <w:pPr>
        <w:pStyle w:val="ListBullet"/>
        <w:spacing w:after="40"/>
      </w:pPr>
      <w:r>
        <w:t>Never duplicate a master CV for every vacancy.</w:t>
      </w:r>
    </w:p>
    <w:p>
      <w:pPr>
        <w:pStyle w:val="ListBullet"/>
        <w:spacing w:after="40"/>
      </w:pPr>
      <w:r>
        <w:t>Never call OpenAI just to view stored data.</w:t>
      </w:r>
    </w:p>
    <w:p>
      <w:pPr>
        <w:pStyle w:val="ListBullet"/>
        <w:spacing w:after="40"/>
      </w:pPr>
      <w:r>
        <w:t>Never silently change locked JD criteria while assessing a candidate.</w:t>
      </w:r>
    </w:p>
    <w:p>
      <w:pPr>
        <w:pStyle w:val="ListBullet"/>
        <w:spacing w:after="40"/>
      </w:pPr>
      <w:r>
        <w:t>Do not mix master candidate profile data with vacancy-specific assessment history.</w:t>
      </w:r>
    </w:p>
    <w:p>
      <w:pPr>
        <w:pStyle w:val="ListBullet"/>
        <w:spacing w:after="40"/>
      </w:pPr>
      <w:r>
        <w:t>Do not expose candidate contact details in client-facing output where the report design requires them hidden.</w:t>
      </w:r>
    </w:p>
    <w:p>
      <w:pPr>
        <w:pStyle w:val="ListBullet"/>
        <w:spacing w:after="40"/>
      </w:pPr>
      <w:r>
        <w:t>Do not infer missing employment/education dates.</w:t>
      </w:r>
    </w:p>
    <w:p>
      <w:pPr>
        <w:pStyle w:val="ListBullet"/>
        <w:spacing w:after="40"/>
      </w:pPr>
      <w:r>
        <w:t>Preserve legacy candidate display compatibility during migration/data import.</w:t>
      </w:r>
    </w:p>
    <w:p>
      <w:pPr>
        <w:pStyle w:val="ListBullet"/>
        <w:spacing w:after="40"/>
      </w:pPr>
      <w:r>
        <w:t>Keep lifecycle, scoring and permission rules in services/domain logic, not scattered through Blazor components.</w:t>
      </w:r>
    </w:p>
    <w:p>
      <w:pPr>
        <w:pStyle w:val="Heading1"/>
      </w:pPr>
      <w:r>
        <w:t>20. UI Design Language to Preserve</w:t>
      </w:r>
    </w:p>
    <w:p>
      <w:pPr>
        <w:pStyle w:val="ListBullet"/>
        <w:spacing w:after="40"/>
      </w:pPr>
      <w:r>
        <w:t>Osynix brand: #175AFF primary blue, #1C1E66 secondary navy, white/light backgrounds.</w:t>
      </w:r>
    </w:p>
    <w:p>
      <w:pPr>
        <w:pStyle w:val="ListBullet"/>
        <w:spacing w:after="40"/>
      </w:pPr>
      <w:r>
        <w:t>Professional, modern, light interface; avoid dark-heavy layouts.</w:t>
      </w:r>
    </w:p>
    <w:p>
      <w:pPr>
        <w:pStyle w:val="ListBullet"/>
        <w:spacing w:after="40"/>
      </w:pPr>
      <w:r>
        <w:t>Clear cards, subtle borders/shadows, restrained blue accents.</w:t>
      </w:r>
    </w:p>
    <w:p>
      <w:pPr>
        <w:pStyle w:val="ListBullet"/>
        <w:spacing w:after="40"/>
      </w:pPr>
      <w:r>
        <w:t>Candidate Profile uses readable resume-style timelines and collapsible sections.</w:t>
      </w:r>
    </w:p>
    <w:p>
      <w:pPr>
        <w:pStyle w:val="ListBullet"/>
        <w:spacing w:after="40"/>
      </w:pPr>
      <w:r>
        <w:t>Sticky headers and practical table pagination/filters for recruiter productivity.</w:t>
      </w:r>
    </w:p>
    <w:p>
      <w:pPr>
        <w:pStyle w:val="ListBullet"/>
        <w:spacing w:after="40"/>
      </w:pPr>
      <w:r>
        <w:t>Traffic-light decision semantics: GREEN = Shortlist/positive; YELLOW = Partial/Consider/Hold/Interview; RED = Fail/Reject/Hold-not-preferred where appropriate. Do not rely on color alone; always show text labels.</w:t>
      </w:r>
    </w:p>
    <w:p>
      <w:pPr>
        <w:pStyle w:val="ListBullet"/>
        <w:spacing w:after="40"/>
      </w:pPr>
      <w:r>
        <w:t>Keep screens decision-oriented rather than exposing raw database structure.</w:t>
      </w:r>
    </w:p>
    <w:p>
      <w:pPr>
        <w:pStyle w:val="ListBullet"/>
        <w:spacing w:after="40"/>
      </w:pPr>
      <w:r>
        <w:t>Responsive behavior should preserve usability, but desktop recruiter workflow is the primary reference for current locked layouts.</w:t>
      </w:r>
    </w:p>
    <w:p>
      <w:pPr>
        <w:pStyle w:val="Heading1"/>
      </w:pPr>
      <w:r>
        <w:t>21. Migration Guidance: Preserve Behavior, Replace Implementation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5AFF"/>
          </w:tcPr>
          <w:p>
            <w:r/>
            <w:r>
              <w:rPr>
                <w:rFonts w:ascii="Aptos" w:hAnsi="Aptos"/>
                <w:b/>
                <w:color w:val="FFFFFF"/>
                <w:sz w:val="17"/>
              </w:rPr>
              <w:t>Apps Script / Sheets concern</w:t>
            </w:r>
          </w:p>
        </w:tc>
        <w:tc>
          <w:tcPr>
            <w:tcW w:type="dxa" w:w="5112"/>
            <w:vAlign w:val="center"/>
            <w:shd w:fill="175AFF"/>
          </w:tcPr>
          <w:p>
            <w:r/>
            <w:r>
              <w:rPr>
                <w:rFonts w:ascii="Aptos" w:hAnsi="Aptos"/>
                <w:b/>
                <w:color w:val="FFFFFF"/>
                <w:sz w:val="17"/>
              </w:rPr>
              <w:t>Migration principle</w:t>
            </w:r>
          </w:p>
        </w:tc>
      </w:tr>
      <w:tr>
        <w:tc>
          <w:tcPr>
            <w:tcW w:type="dxa" w:w="5112"/>
            <w:vAlign w:val="center"/>
          </w:tcPr>
          <w:p>
            <w:r/>
            <w:r>
              <w:rPr>
                <w:rFonts w:ascii="Aptos" w:hAnsi="Aptos"/>
                <w:b w:val="0"/>
                <w:sz w:val="17"/>
              </w:rPr>
              <w:t>Sheet headers and column lookups</w:t>
            </w:r>
          </w:p>
        </w:tc>
        <w:tc>
          <w:tcPr>
            <w:tcW w:type="dxa" w:w="5112"/>
            <w:vAlign w:val="center"/>
          </w:tcPr>
          <w:p>
            <w:r/>
            <w:r>
              <w:rPr>
                <w:rFonts w:ascii="Aptos" w:hAnsi="Aptos"/>
                <w:b w:val="0"/>
                <w:sz w:val="17"/>
              </w:rPr>
              <w:t>Replace with typed application/domain models and persistence mappings.</w:t>
            </w:r>
          </w:p>
        </w:tc>
      </w:tr>
      <w:tr>
        <w:tc>
          <w:tcPr>
            <w:tcW w:type="dxa" w:w="5112"/>
            <w:vAlign w:val="center"/>
          </w:tcPr>
          <w:p>
            <w:r/>
            <w:r>
              <w:rPr>
                <w:rFonts w:ascii="Aptos" w:hAnsi="Aptos"/>
                <w:b w:val="0"/>
                <w:sz w:val="17"/>
              </w:rPr>
              <w:t>Serialized JSON in cells</w:t>
            </w:r>
          </w:p>
        </w:tc>
        <w:tc>
          <w:tcPr>
            <w:tcW w:type="dxa" w:w="5112"/>
            <w:vAlign w:val="center"/>
          </w:tcPr>
          <w:p>
            <w:r/>
            <w:r>
              <w:rPr>
                <w:rFonts w:ascii="Aptos" w:hAnsi="Aptos"/>
                <w:b w:val="0"/>
                <w:sz w:val="17"/>
              </w:rPr>
              <w:t>Normalize/model structured data appropriately; retain import compatibility.</w:t>
            </w:r>
          </w:p>
        </w:tc>
      </w:tr>
      <w:tr>
        <w:tc>
          <w:tcPr>
            <w:tcW w:type="dxa" w:w="5112"/>
            <w:vAlign w:val="center"/>
          </w:tcPr>
          <w:p>
            <w:r/>
            <w:r>
              <w:rPr>
                <w:rFonts w:ascii="Aptos" w:hAnsi="Aptos"/>
                <w:b w:val="0"/>
                <w:sz w:val="17"/>
              </w:rPr>
              <w:t>UrlFetchApp OpenAI calls</w:t>
            </w:r>
          </w:p>
        </w:tc>
        <w:tc>
          <w:tcPr>
            <w:tcW w:type="dxa" w:w="5112"/>
            <w:vAlign w:val="center"/>
          </w:tcPr>
          <w:p>
            <w:r/>
            <w:r>
              <w:rPr>
                <w:rFonts w:ascii="Aptos" w:hAnsi="Aptos"/>
                <w:b w:val="0"/>
                <w:sz w:val="17"/>
              </w:rPr>
              <w:t>Move behind an OpenAI/AI assessment service interface.</w:t>
            </w:r>
          </w:p>
        </w:tc>
      </w:tr>
      <w:tr>
        <w:tc>
          <w:tcPr>
            <w:tcW w:type="dxa" w:w="5112"/>
            <w:vAlign w:val="center"/>
          </w:tcPr>
          <w:p>
            <w:r/>
            <w:r>
              <w:rPr>
                <w:rFonts w:ascii="Aptos" w:hAnsi="Aptos"/>
                <w:b w:val="0"/>
                <w:sz w:val="17"/>
              </w:rPr>
              <w:t>Google Drive CV storage</w:t>
            </w:r>
          </w:p>
        </w:tc>
        <w:tc>
          <w:tcPr>
            <w:tcW w:type="dxa" w:w="5112"/>
            <w:vAlign w:val="center"/>
          </w:tcPr>
          <w:p>
            <w:r/>
            <w:r>
              <w:rPr>
                <w:rFonts w:ascii="Aptos" w:hAnsi="Aptos"/>
                <w:b w:val="0"/>
                <w:sz w:val="17"/>
              </w:rPr>
              <w:t>Move behind a file-storage abstraction.</w:t>
            </w:r>
          </w:p>
        </w:tc>
      </w:tr>
      <w:tr>
        <w:tc>
          <w:tcPr>
            <w:tcW w:type="dxa" w:w="5112"/>
            <w:vAlign w:val="center"/>
          </w:tcPr>
          <w:p>
            <w:r/>
            <w:r>
              <w:rPr>
                <w:rFonts w:ascii="Aptos" w:hAnsi="Aptos"/>
                <w:b w:val="0"/>
                <w:sz w:val="17"/>
              </w:rPr>
              <w:t>Session tokens / trusted-device sheets</w:t>
            </w:r>
          </w:p>
        </w:tc>
        <w:tc>
          <w:tcPr>
            <w:tcW w:type="dxa" w:w="5112"/>
            <w:vAlign w:val="center"/>
          </w:tcPr>
          <w:p>
            <w:r/>
            <w:r>
              <w:rPr>
                <w:rFonts w:ascii="Aptos" w:hAnsi="Aptos"/>
                <w:b w:val="0"/>
                <w:sz w:val="17"/>
              </w:rPr>
              <w:t>Use ASP.NET Core Identity/authentication/session/security patterns while preserving access rules and auditability.</w:t>
            </w:r>
          </w:p>
        </w:tc>
      </w:tr>
      <w:tr>
        <w:tc>
          <w:tcPr>
            <w:tcW w:type="dxa" w:w="5112"/>
            <w:vAlign w:val="center"/>
          </w:tcPr>
          <w:p>
            <w:r/>
            <w:r>
              <w:rPr>
                <w:rFonts w:ascii="Aptos" w:hAnsi="Aptos"/>
                <w:b w:val="0"/>
                <w:sz w:val="17"/>
              </w:rPr>
              <w:t>HTML/JS page logic</w:t>
            </w:r>
          </w:p>
        </w:tc>
        <w:tc>
          <w:tcPr>
            <w:tcW w:type="dxa" w:w="5112"/>
            <w:vAlign w:val="center"/>
          </w:tcPr>
          <w:p>
            <w:r/>
            <w:r>
              <w:rPr>
                <w:rFonts w:ascii="Aptos" w:hAnsi="Aptos"/>
                <w:b w:val="0"/>
                <w:sz w:val="17"/>
              </w:rPr>
              <w:t>Move to Blazor components/services while preserving locked workflows and UI behavior.</w:t>
            </w:r>
          </w:p>
        </w:tc>
      </w:tr>
      <w:tr>
        <w:tc>
          <w:tcPr>
            <w:tcW w:type="dxa" w:w="5112"/>
            <w:vAlign w:val="center"/>
          </w:tcPr>
          <w:p>
            <w:r/>
            <w:r>
              <w:rPr>
                <w:rFonts w:ascii="Aptos" w:hAnsi="Aptos"/>
                <w:b w:val="0"/>
                <w:sz w:val="17"/>
              </w:rPr>
              <w:t>Spreadsheet validation lists</w:t>
            </w:r>
          </w:p>
        </w:tc>
        <w:tc>
          <w:tcPr>
            <w:tcW w:type="dxa" w:w="5112"/>
            <w:vAlign w:val="center"/>
          </w:tcPr>
          <w:p>
            <w:r/>
            <w:r>
              <w:rPr>
                <w:rFonts w:ascii="Aptos" w:hAnsi="Aptos"/>
                <w:b w:val="0"/>
                <w:sz w:val="17"/>
              </w:rPr>
              <w:t>Move to controlled reference/configuration data and server-side validation.</w:t>
            </w:r>
          </w:p>
        </w:tc>
      </w:tr>
      <w:tr>
        <w:tc>
          <w:tcPr>
            <w:tcW w:type="dxa" w:w="5112"/>
            <w:vAlign w:val="center"/>
          </w:tcPr>
          <w:p>
            <w:r/>
            <w:r>
              <w:rPr>
                <w:rFonts w:ascii="Aptos" w:hAnsi="Aptos"/>
                <w:b w:val="0"/>
                <w:sz w:val="17"/>
              </w:rPr>
              <w:t>Apps Script PDF generation</w:t>
            </w:r>
          </w:p>
        </w:tc>
        <w:tc>
          <w:tcPr>
            <w:tcW w:type="dxa" w:w="5112"/>
            <w:vAlign w:val="center"/>
          </w:tcPr>
          <w:p>
            <w:r/>
            <w:r>
              <w:rPr>
                <w:rFonts w:ascii="Aptos" w:hAnsi="Aptos"/>
                <w:b w:val="0"/>
                <w:sz w:val="17"/>
              </w:rPr>
              <w:t>Move to a report-generation service with equivalent client-facing output.</w:t>
            </w:r>
          </w:p>
        </w:tc>
      </w:tr>
      <w:tr>
        <w:tc>
          <w:tcPr>
            <w:tcW w:type="dxa" w:w="5112"/>
            <w:vAlign w:val="center"/>
          </w:tcPr>
          <w:p>
            <w:r/>
            <w:r>
              <w:rPr>
                <w:rFonts w:ascii="Aptos" w:hAnsi="Aptos"/>
                <w:b w:val="0"/>
                <w:sz w:val="17"/>
              </w:rPr>
              <w:t>Dashboard helper sheets</w:t>
            </w:r>
          </w:p>
        </w:tc>
        <w:tc>
          <w:tcPr>
            <w:tcW w:type="dxa" w:w="5112"/>
            <w:vAlign w:val="center"/>
          </w:tcPr>
          <w:p>
            <w:r/>
            <w:r>
              <w:rPr>
                <w:rFonts w:ascii="Aptos" w:hAnsi="Aptos"/>
                <w:b w:val="0"/>
                <w:sz w:val="17"/>
              </w:rPr>
              <w:t>Replace with application queries/aggregations; do not persist presentation-only spreadsheet mechanics unless useful.</w:t>
            </w:r>
          </w:p>
        </w:tc>
      </w:tr>
    </w:tbl>
    <w:p/>
    <w:p>
      <w:pPr>
        <w:pStyle w:val="Heading1"/>
      </w:pPr>
      <w:r>
        <w:t>22. Migration Acceptance Criteria</w:t>
      </w:r>
    </w:p>
    <w:p>
      <w:pPr>
        <w:pStyle w:val="ListBullet"/>
        <w:spacing w:after="40"/>
      </w:pPr>
      <w:r>
        <w:t>A migrated candidate retains one identity across multiple applications.</w:t>
      </w:r>
    </w:p>
    <w:p>
      <w:pPr>
        <w:pStyle w:val="ListBullet"/>
        <w:spacing w:after="40"/>
      </w:pPr>
      <w:r>
        <w:t>Duplicate detection prevents same-person duplication and same Ref # duplication.</w:t>
      </w:r>
    </w:p>
    <w:p>
      <w:pPr>
        <w:pStyle w:val="ListBullet"/>
        <w:spacing w:after="40"/>
      </w:pPr>
      <w:r>
        <w:t>Position/JD criteria remain locked and weighted correctly.</w:t>
      </w:r>
    </w:p>
    <w:p>
      <w:pPr>
        <w:pStyle w:val="ListBullet"/>
        <w:spacing w:after="40"/>
      </w:pPr>
      <w:r>
        <w:t>A first CV assessment produces both vacancy assessment and reusable candidate master intelligence.</w:t>
      </w:r>
    </w:p>
    <w:p>
      <w:pPr>
        <w:pStyle w:val="ListBullet"/>
        <w:spacing w:after="40"/>
      </w:pPr>
      <w:r>
        <w:t>Criterion-level results persist and reopen without a new OpenAI call.</w:t>
      </w:r>
    </w:p>
    <w:p>
      <w:pPr>
        <w:pStyle w:val="ListBullet"/>
        <w:spacing w:after="40"/>
      </w:pPr>
      <w:r>
        <w:t>Structured employment and education render correctly.</w:t>
      </w:r>
    </w:p>
    <w:p>
      <w:pPr>
        <w:pStyle w:val="ListBullet"/>
        <w:spacing w:after="40"/>
      </w:pPr>
      <w:r>
        <w:t>Current role/company resolve correctly from employment evidence.</w:t>
      </w:r>
    </w:p>
    <w:p>
      <w:pPr>
        <w:pStyle w:val="ListBullet"/>
        <w:spacing w:after="40"/>
      </w:pPr>
      <w:r>
        <w:t>Batch assessment preserves CV-to-result mapping and saved/unsaved state.</w:t>
      </w:r>
    </w:p>
    <w:p>
      <w:pPr>
        <w:pStyle w:val="ListBullet"/>
        <w:spacing w:after="40"/>
      </w:pPr>
      <w:r>
        <w:t>CV remains candidate-level and is not duplicated per Ref #.</w:t>
      </w:r>
    </w:p>
    <w:p>
      <w:pPr>
        <w:pStyle w:val="ListBullet"/>
        <w:spacing w:after="40"/>
      </w:pPr>
      <w:r>
        <w:t>Candidate lifecycle changes do not mutate AI Decision.</w:t>
      </w:r>
    </w:p>
    <w:p>
      <w:pPr>
        <w:pStyle w:val="ListBullet"/>
        <w:spacing w:after="40"/>
      </w:pPr>
      <w:r>
        <w:t>KPI lifecycle classification follows the approved priority rules.</w:t>
      </w:r>
    </w:p>
    <w:p>
      <w:pPr>
        <w:pStyle w:val="ListBullet"/>
        <w:spacing w:after="40"/>
      </w:pPr>
      <w:r>
        <w:t>Reports can be generated from stored assessment data.</w:t>
      </w:r>
    </w:p>
    <w:p>
      <w:pPr>
        <w:pStyle w:val="ListBullet"/>
        <w:spacing w:after="40"/>
      </w:pPr>
      <w:r>
        <w:t>Candidate Profile opens without an AI call and preserves Candidate Database context on close.</w:t>
      </w:r>
    </w:p>
    <w:p>
      <w:pPr>
        <w:pStyle w:val="ListBullet"/>
        <w:spacing w:after="40"/>
      </w:pPr>
      <w:r>
        <w:t>Authorization prevents unauthorized operations and meaningful actions are audited.</w:t>
      </w:r>
    </w:p>
    <w:p>
      <w:pPr>
        <w:pStyle w:val="ListBullet"/>
        <w:spacing w:after="40"/>
      </w:pPr>
      <w:r>
        <w:t>SQLite can later be replaced by a full RDBMS without redesigning business workflows.</w:t>
      </w:r>
    </w:p>
    <w:p>
      <w:pPr>
        <w:pStyle w:val="ListBullet"/>
        <w:spacing w:after="40"/>
      </w:pPr>
      <w:r>
        <w:t>No WhatsApp or MCP connector functionality is coupled into the ATS migration.</w:t>
      </w:r>
    </w:p>
    <w:p>
      <w:pPr>
        <w:pStyle w:val="Heading1"/>
      </w:pPr>
      <w:r>
        <w:t>23. Pending Roadmap / Next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5AFF"/>
          </w:tcPr>
          <w:p>
            <w:r/>
            <w:r>
              <w:rPr>
                <w:rFonts w:ascii="Aptos" w:hAnsi="Aptos"/>
                <w:b/>
                <w:color w:val="FFFFFF"/>
                <w:sz w:val="17"/>
              </w:rPr>
              <w:t>Priority</w:t>
            </w:r>
          </w:p>
        </w:tc>
        <w:tc>
          <w:tcPr>
            <w:tcW w:type="dxa" w:w="3408"/>
            <w:vAlign w:val="center"/>
            <w:shd w:fill="175AFF"/>
          </w:tcPr>
          <w:p>
            <w:r/>
            <w:r>
              <w:rPr>
                <w:rFonts w:ascii="Aptos" w:hAnsi="Aptos"/>
                <w:b/>
                <w:color w:val="FFFFFF"/>
                <w:sz w:val="17"/>
              </w:rPr>
              <w:t>Module / work</w:t>
            </w:r>
          </w:p>
        </w:tc>
        <w:tc>
          <w:tcPr>
            <w:tcW w:type="dxa" w:w="3408"/>
            <w:vAlign w:val="center"/>
            <w:shd w:fill="175AFF"/>
          </w:tcPr>
          <w:p>
            <w:r/>
            <w:r>
              <w:rPr>
                <w:rFonts w:ascii="Aptos" w:hAnsi="Aptos"/>
                <w:b/>
                <w:color w:val="FFFFFF"/>
                <w:sz w:val="17"/>
              </w:rPr>
              <w:t>Status / intent</w:t>
            </w:r>
          </w:p>
        </w:tc>
      </w:tr>
      <w:tr>
        <w:tc>
          <w:tcPr>
            <w:tcW w:type="dxa" w:w="3408"/>
            <w:vAlign w:val="center"/>
          </w:tcPr>
          <w:p>
            <w:r/>
            <w:r>
              <w:rPr>
                <w:rFonts w:ascii="Aptos" w:hAnsi="Aptos"/>
                <w:b w:val="0"/>
                <w:sz w:val="17"/>
              </w:rPr>
              <w:t>1</w:t>
            </w:r>
          </w:p>
        </w:tc>
        <w:tc>
          <w:tcPr>
            <w:tcW w:type="dxa" w:w="3408"/>
            <w:vAlign w:val="center"/>
          </w:tcPr>
          <w:p>
            <w:r/>
            <w:r>
              <w:rPr>
                <w:rFonts w:ascii="Aptos" w:hAnsi="Aptos"/>
                <w:b w:val="0"/>
                <w:sz w:val="17"/>
              </w:rPr>
              <w:t>Candidate lifecycle management review</w:t>
            </w:r>
          </w:p>
        </w:tc>
        <w:tc>
          <w:tcPr>
            <w:tcW w:type="dxa" w:w="3408"/>
            <w:vAlign w:val="center"/>
          </w:tcPr>
          <w:p>
            <w:r/>
            <w:r>
              <w:rPr>
                <w:rFonts w:ascii="Aptos" w:hAnsi="Aptos"/>
                <w:b w:val="0"/>
                <w:sz w:val="17"/>
              </w:rPr>
              <w:t>Decide final recruiter UX for changing Recruitment Stage, Interview Status and Client Status; confirm Candidate Database as primary operational home versus position-level shortcuts.</w:t>
            </w:r>
          </w:p>
        </w:tc>
      </w:tr>
      <w:tr>
        <w:tc>
          <w:tcPr>
            <w:tcW w:type="dxa" w:w="3408"/>
            <w:vAlign w:val="center"/>
          </w:tcPr>
          <w:p>
            <w:r/>
            <w:r>
              <w:rPr>
                <w:rFonts w:ascii="Aptos" w:hAnsi="Aptos"/>
                <w:b w:val="0"/>
                <w:sz w:val="17"/>
              </w:rPr>
              <w:t>2</w:t>
            </w:r>
          </w:p>
        </w:tc>
        <w:tc>
          <w:tcPr>
            <w:tcW w:type="dxa" w:w="3408"/>
            <w:vAlign w:val="center"/>
          </w:tcPr>
          <w:p>
            <w:r/>
            <w:r>
              <w:rPr>
                <w:rFonts w:ascii="Aptos" w:hAnsi="Aptos"/>
                <w:b w:val="0"/>
                <w:sz w:val="17"/>
              </w:rPr>
              <w:t>Existing-candidate reassessment</w:t>
            </w:r>
          </w:p>
        </w:tc>
        <w:tc>
          <w:tcPr>
            <w:tcW w:type="dxa" w:w="3408"/>
            <w:vAlign w:val="center"/>
          </w:tcPr>
          <w:p>
            <w:r/>
            <w:r>
              <w:rPr>
                <w:rFonts w:ascii="Aptos" w:hAnsi="Aptos"/>
                <w:b w:val="0"/>
                <w:sz w:val="17"/>
              </w:rPr>
              <w:t>Implement approved stored-profile/stored-evidence reassessment against a new Ref # without repeatedly reprocessing the original CV.</w:t>
            </w:r>
          </w:p>
        </w:tc>
      </w:tr>
      <w:tr>
        <w:tc>
          <w:tcPr>
            <w:tcW w:type="dxa" w:w="3408"/>
            <w:vAlign w:val="center"/>
          </w:tcPr>
          <w:p>
            <w:r/>
            <w:r>
              <w:rPr>
                <w:rFonts w:ascii="Aptos" w:hAnsi="Aptos"/>
                <w:b w:val="0"/>
                <w:sz w:val="17"/>
              </w:rPr>
              <w:t>3</w:t>
            </w:r>
          </w:p>
        </w:tc>
        <w:tc>
          <w:tcPr>
            <w:tcW w:type="dxa" w:w="3408"/>
            <w:vAlign w:val="center"/>
          </w:tcPr>
          <w:p>
            <w:r/>
            <w:r>
              <w:rPr>
                <w:rFonts w:ascii="Aptos" w:hAnsi="Aptos"/>
                <w:b w:val="0"/>
                <w:sz w:val="17"/>
              </w:rPr>
              <w:t>Manage Positions consolidation</w:t>
            </w:r>
          </w:p>
        </w:tc>
        <w:tc>
          <w:tcPr>
            <w:tcW w:type="dxa" w:w="3408"/>
            <w:vAlign w:val="center"/>
          </w:tcPr>
          <w:p>
            <w:r/>
            <w:r>
              <w:rPr>
                <w:rFonts w:ascii="Aptos" w:hAnsi="Aptos"/>
                <w:b w:val="0"/>
                <w:sz w:val="17"/>
              </w:rPr>
              <w:t>Move Create Position inside Manage Positions; create one coherent position workspace.</w:t>
            </w:r>
          </w:p>
        </w:tc>
      </w:tr>
      <w:tr>
        <w:tc>
          <w:tcPr>
            <w:tcW w:type="dxa" w:w="3408"/>
            <w:vAlign w:val="center"/>
          </w:tcPr>
          <w:p>
            <w:r/>
            <w:r>
              <w:rPr>
                <w:rFonts w:ascii="Aptos" w:hAnsi="Aptos"/>
                <w:b w:val="0"/>
                <w:sz w:val="17"/>
              </w:rPr>
              <w:t>4</w:t>
            </w:r>
          </w:p>
        </w:tc>
        <w:tc>
          <w:tcPr>
            <w:tcW w:type="dxa" w:w="3408"/>
            <w:vAlign w:val="center"/>
          </w:tcPr>
          <w:p>
            <w:r/>
            <w:r>
              <w:rPr>
                <w:rFonts w:ascii="Aptos" w:hAnsi="Aptos"/>
                <w:b w:val="0"/>
                <w:sz w:val="17"/>
              </w:rPr>
              <w:t>Client Master module</w:t>
            </w:r>
          </w:p>
        </w:tc>
        <w:tc>
          <w:tcPr>
            <w:tcW w:type="dxa" w:w="3408"/>
            <w:vAlign w:val="center"/>
          </w:tcPr>
          <w:p>
            <w:r/>
            <w:r>
              <w:rPr>
                <w:rFonts w:ascii="Aptos" w:hAnsi="Aptos"/>
                <w:b w:val="0"/>
                <w:sz w:val="17"/>
              </w:rPr>
              <w:t>Create/Manage Clients, contacts and client-position relationships for commercial product.</w:t>
            </w:r>
          </w:p>
        </w:tc>
      </w:tr>
      <w:tr>
        <w:tc>
          <w:tcPr>
            <w:tcW w:type="dxa" w:w="3408"/>
            <w:vAlign w:val="center"/>
          </w:tcPr>
          <w:p>
            <w:r/>
            <w:r>
              <w:rPr>
                <w:rFonts w:ascii="Aptos" w:hAnsi="Aptos"/>
                <w:b w:val="0"/>
                <w:sz w:val="17"/>
              </w:rPr>
              <w:t>5</w:t>
            </w:r>
          </w:p>
        </w:tc>
        <w:tc>
          <w:tcPr>
            <w:tcW w:type="dxa" w:w="3408"/>
            <w:vAlign w:val="center"/>
          </w:tcPr>
          <w:p>
            <w:r/>
            <w:r>
              <w:rPr>
                <w:rFonts w:ascii="Aptos" w:hAnsi="Aptos"/>
                <w:b w:val="0"/>
                <w:sz w:val="17"/>
              </w:rPr>
              <w:t>Candidate Profile Notes tab</w:t>
            </w:r>
          </w:p>
        </w:tc>
        <w:tc>
          <w:tcPr>
            <w:tcW w:type="dxa" w:w="3408"/>
            <w:vAlign w:val="center"/>
          </w:tcPr>
          <w:p>
            <w:r/>
            <w:r>
              <w:rPr>
                <w:rFonts w:ascii="Aptos" w:hAnsi="Aptos"/>
                <w:b w:val="0"/>
                <w:sz w:val="17"/>
              </w:rPr>
              <w:t>Implement recruiter notes/history with correct candidate/application context.</w:t>
            </w:r>
          </w:p>
        </w:tc>
      </w:tr>
      <w:tr>
        <w:tc>
          <w:tcPr>
            <w:tcW w:type="dxa" w:w="3408"/>
            <w:vAlign w:val="center"/>
          </w:tcPr>
          <w:p>
            <w:r/>
            <w:r>
              <w:rPr>
                <w:rFonts w:ascii="Aptos" w:hAnsi="Aptos"/>
                <w:b w:val="0"/>
                <w:sz w:val="17"/>
              </w:rPr>
              <w:t>6</w:t>
            </w:r>
          </w:p>
        </w:tc>
        <w:tc>
          <w:tcPr>
            <w:tcW w:type="dxa" w:w="3408"/>
            <w:vAlign w:val="center"/>
          </w:tcPr>
          <w:p>
            <w:r/>
            <w:r>
              <w:rPr>
                <w:rFonts w:ascii="Aptos" w:hAnsi="Aptos"/>
                <w:b w:val="0"/>
                <w:sz w:val="17"/>
              </w:rPr>
              <w:t>Candidate Profile Activity tab</w:t>
            </w:r>
          </w:p>
        </w:tc>
        <w:tc>
          <w:tcPr>
            <w:tcW w:type="dxa" w:w="3408"/>
            <w:vAlign w:val="center"/>
          </w:tcPr>
          <w:p>
            <w:r/>
            <w:r>
              <w:rPr>
                <w:rFonts w:ascii="Aptos" w:hAnsi="Aptos"/>
                <w:b w:val="0"/>
                <w:sz w:val="17"/>
              </w:rPr>
              <w:t>Show real assessment/lifecycle/status/note events only.</w:t>
            </w:r>
          </w:p>
        </w:tc>
      </w:tr>
      <w:tr>
        <w:tc>
          <w:tcPr>
            <w:tcW w:type="dxa" w:w="3408"/>
            <w:vAlign w:val="center"/>
          </w:tcPr>
          <w:p>
            <w:r/>
            <w:r>
              <w:rPr>
                <w:rFonts w:ascii="Aptos" w:hAnsi="Aptos"/>
                <w:b w:val="0"/>
                <w:sz w:val="17"/>
              </w:rPr>
              <w:t>7</w:t>
            </w:r>
          </w:p>
        </w:tc>
        <w:tc>
          <w:tcPr>
            <w:tcW w:type="dxa" w:w="3408"/>
            <w:vAlign w:val="center"/>
          </w:tcPr>
          <w:p>
            <w:r/>
            <w:r>
              <w:rPr>
                <w:rFonts w:ascii="Aptos" w:hAnsi="Aptos"/>
                <w:b w:val="0"/>
                <w:sz w:val="17"/>
              </w:rPr>
              <w:t>Lifecycle + KPI end-to-end testing</w:t>
            </w:r>
          </w:p>
        </w:tc>
        <w:tc>
          <w:tcPr>
            <w:tcW w:type="dxa" w:w="3408"/>
            <w:vAlign w:val="center"/>
          </w:tcPr>
          <w:p>
            <w:r/>
            <w:r>
              <w:rPr>
                <w:rFonts w:ascii="Aptos" w:hAnsi="Aptos"/>
                <w:b w:val="0"/>
                <w:sz w:val="17"/>
              </w:rPr>
              <w:t>Validate Shortlisted → Interview → Pending Decision → Offer → Hired/Rejected and resolve Consider KPI classification.</w:t>
            </w:r>
          </w:p>
        </w:tc>
      </w:tr>
      <w:tr>
        <w:tc>
          <w:tcPr>
            <w:tcW w:type="dxa" w:w="3408"/>
            <w:vAlign w:val="center"/>
          </w:tcPr>
          <w:p>
            <w:r/>
            <w:r>
              <w:rPr>
                <w:rFonts w:ascii="Aptos" w:hAnsi="Aptos"/>
                <w:b w:val="0"/>
                <w:sz w:val="17"/>
              </w:rPr>
              <w:t>8</w:t>
            </w:r>
          </w:p>
        </w:tc>
        <w:tc>
          <w:tcPr>
            <w:tcW w:type="dxa" w:w="3408"/>
            <w:vAlign w:val="center"/>
          </w:tcPr>
          <w:p>
            <w:r/>
            <w:r>
              <w:rPr>
                <w:rFonts w:ascii="Aptos" w:hAnsi="Aptos"/>
                <w:b w:val="0"/>
                <w:sz w:val="17"/>
              </w:rPr>
              <w:t>Broader CV-format regression testing</w:t>
            </w:r>
          </w:p>
        </w:tc>
        <w:tc>
          <w:tcPr>
            <w:tcW w:type="dxa" w:w="3408"/>
            <w:vAlign w:val="center"/>
          </w:tcPr>
          <w:p>
            <w:r/>
            <w:r>
              <w:rPr>
                <w:rFonts w:ascii="Aptos" w:hAnsi="Aptos"/>
                <w:b w:val="0"/>
                <w:sz w:val="17"/>
              </w:rPr>
              <w:t>Test additional CV layouts to validate structured extraction beyond the confirmed Abbas/Khan cases.</w:t>
            </w:r>
          </w:p>
        </w:tc>
      </w:tr>
      <w:tr>
        <w:tc>
          <w:tcPr>
            <w:tcW w:type="dxa" w:w="3408"/>
            <w:vAlign w:val="center"/>
          </w:tcPr>
          <w:p>
            <w:r/>
            <w:r>
              <w:rPr>
                <w:rFonts w:ascii="Aptos" w:hAnsi="Aptos"/>
                <w:b w:val="0"/>
                <w:sz w:val="17"/>
              </w:rPr>
              <w:t>9</w:t>
            </w:r>
          </w:p>
        </w:tc>
        <w:tc>
          <w:tcPr>
            <w:tcW w:type="dxa" w:w="3408"/>
            <w:vAlign w:val="center"/>
          </w:tcPr>
          <w:p>
            <w:r/>
            <w:r>
              <w:rPr>
                <w:rFonts w:ascii="Aptos" w:hAnsi="Aptos"/>
                <w:b w:val="0"/>
                <w:sz w:val="17"/>
              </w:rPr>
              <w:t>Role/permission expansion</w:t>
            </w:r>
          </w:p>
        </w:tc>
        <w:tc>
          <w:tcPr>
            <w:tcW w:type="dxa" w:w="3408"/>
            <w:vAlign w:val="center"/>
          </w:tcPr>
          <w:p>
            <w:r/>
            <w:r>
              <w:rPr>
                <w:rFonts w:ascii="Aptos" w:hAnsi="Aptos"/>
                <w:b w:val="0"/>
                <w:sz w:val="17"/>
              </w:rPr>
              <w:t>Implement commercial permission model and future-ready roles.</w:t>
            </w:r>
          </w:p>
        </w:tc>
      </w:tr>
      <w:tr>
        <w:tc>
          <w:tcPr>
            <w:tcW w:type="dxa" w:w="3408"/>
            <w:vAlign w:val="center"/>
          </w:tcPr>
          <w:p>
            <w:r/>
            <w:r>
              <w:rPr>
                <w:rFonts w:ascii="Aptos" w:hAnsi="Aptos"/>
                <w:b w:val="0"/>
                <w:sz w:val="17"/>
              </w:rPr>
              <w:t>10</w:t>
            </w:r>
          </w:p>
        </w:tc>
        <w:tc>
          <w:tcPr>
            <w:tcW w:type="dxa" w:w="3408"/>
            <w:vAlign w:val="center"/>
          </w:tcPr>
          <w:p>
            <w:r/>
            <w:r>
              <w:rPr>
                <w:rFonts w:ascii="Aptos" w:hAnsi="Aptos"/>
                <w:b w:val="0"/>
                <w:sz w:val="17"/>
              </w:rPr>
              <w:t>Client-facing portal/report access</w:t>
            </w:r>
          </w:p>
        </w:tc>
        <w:tc>
          <w:tcPr>
            <w:tcW w:type="dxa" w:w="3408"/>
            <w:vAlign w:val="center"/>
          </w:tcPr>
          <w:p>
            <w:r/>
            <w:r>
              <w:rPr>
                <w:rFonts w:ascii="Aptos" w:hAnsi="Aptos"/>
                <w:b w:val="0"/>
                <w:sz w:val="17"/>
              </w:rPr>
              <w:t>Restricted client access to authorized positions/candidates/reports.</w:t>
            </w:r>
          </w:p>
        </w:tc>
      </w:tr>
      <w:tr>
        <w:tc>
          <w:tcPr>
            <w:tcW w:type="dxa" w:w="3408"/>
            <w:vAlign w:val="center"/>
          </w:tcPr>
          <w:p>
            <w:r/>
            <w:r>
              <w:rPr>
                <w:rFonts w:ascii="Aptos" w:hAnsi="Aptos"/>
                <w:b w:val="0"/>
                <w:sz w:val="17"/>
              </w:rPr>
              <w:t>11</w:t>
            </w:r>
          </w:p>
        </w:tc>
        <w:tc>
          <w:tcPr>
            <w:tcW w:type="dxa" w:w="3408"/>
            <w:vAlign w:val="center"/>
          </w:tcPr>
          <w:p>
            <w:r/>
            <w:r>
              <w:rPr>
                <w:rFonts w:ascii="Aptos" w:hAnsi="Aptos"/>
                <w:b w:val="0"/>
                <w:sz w:val="17"/>
              </w:rPr>
              <w:t>Roadmap/project tracking</w:t>
            </w:r>
          </w:p>
        </w:tc>
        <w:tc>
          <w:tcPr>
            <w:tcW w:type="dxa" w:w="3408"/>
            <w:vAlign w:val="center"/>
          </w:tcPr>
          <w:p>
            <w:r/>
            <w:r>
              <w:rPr>
                <w:rFonts w:ascii="Aptos" w:hAnsi="Aptos"/>
                <w:b w:val="0"/>
                <w:sz w:val="17"/>
              </w:rPr>
              <w:t>Update development roadmap as modules are migrated and validated in .NET.</w:t>
            </w:r>
          </w:p>
        </w:tc>
      </w:tr>
    </w:tbl>
    <w:p/>
    <w:p>
      <w:pPr>
        <w:pStyle w:val="Heading1"/>
      </w:pPr>
      <w:r>
        <w:t>24. Recommended Development Sequence for the New .NET Chat</w:t>
      </w:r>
    </w:p>
    <w:p>
      <w:pPr>
        <w:pStyle w:val="ListNumber"/>
        <w:spacing w:after="40"/>
      </w:pPr>
      <w:r>
        <w:t>Treat this document and the working Apps Script behavior as the functional baseline.</w:t>
      </w:r>
    </w:p>
    <w:p>
      <w:pPr>
        <w:pStyle w:val="ListNumber"/>
        <w:spacing w:after="40"/>
      </w:pPr>
      <w:r>
        <w:t>Inventory the existing source/screens only to verify behavior; do not copy Apps Script architecture blindly.</w:t>
      </w:r>
    </w:p>
    <w:p>
      <w:pPr>
        <w:pStyle w:val="ListNumber"/>
        <w:spacing w:after="40"/>
      </w:pPr>
      <w:r>
        <w:t>Define .NET solution boundaries and domain/application services.</w:t>
      </w:r>
    </w:p>
    <w:p>
      <w:pPr>
        <w:pStyle w:val="ListNumber"/>
        <w:spacing w:after="40"/>
      </w:pPr>
      <w:r>
        <w:t>Design the relational model separately, mapping the business concepts in this document.</w:t>
      </w:r>
    </w:p>
    <w:p>
      <w:pPr>
        <w:pStyle w:val="ListNumber"/>
        <w:spacing w:after="40"/>
      </w:pPr>
      <w:r>
        <w:t>Implement authentication/authorization and audit foundation.</w:t>
      </w:r>
    </w:p>
    <w:p>
      <w:pPr>
        <w:pStyle w:val="ListNumber"/>
        <w:spacing w:after="40"/>
      </w:pPr>
      <w:r>
        <w:t>Implement Client + Position + JD Criteria management.</w:t>
      </w:r>
    </w:p>
    <w:p>
      <w:pPr>
        <w:pStyle w:val="ListNumber"/>
        <w:spacing w:after="40"/>
      </w:pPr>
      <w:r>
        <w:t>Implement Talent Pool candidate master and duplicate resolution.</w:t>
      </w:r>
    </w:p>
    <w:p>
      <w:pPr>
        <w:pStyle w:val="ListNumber"/>
        <w:spacing w:after="40"/>
      </w:pPr>
      <w:r>
        <w:t>Implement single assessment with OpenAI service abstraction and deterministic scoring/decision logic.</w:t>
      </w:r>
    </w:p>
    <w:p>
      <w:pPr>
        <w:pStyle w:val="ListNumber"/>
        <w:spacing w:after="40"/>
      </w:pPr>
      <w:r>
        <w:t>Implement Candidate+Ref application history and criterion persistence.</w:t>
      </w:r>
    </w:p>
    <w:p>
      <w:pPr>
        <w:pStyle w:val="ListNumber"/>
        <w:spacing w:after="40"/>
      </w:pPr>
      <w:r>
        <w:t>Implement CV storage abstraction.</w:t>
      </w:r>
    </w:p>
    <w:p>
      <w:pPr>
        <w:pStyle w:val="ListNumber"/>
        <w:spacing w:after="40"/>
      </w:pPr>
      <w:r>
        <w:t>Implement Candidate Database and Candidate Profile locked UX.</w:t>
      </w:r>
    </w:p>
    <w:p>
      <w:pPr>
        <w:pStyle w:val="ListNumber"/>
        <w:spacing w:after="40"/>
      </w:pPr>
      <w:r>
        <w:t>Implement lifecycle services and KPI classification.</w:t>
      </w:r>
    </w:p>
    <w:p>
      <w:pPr>
        <w:pStyle w:val="ListNumber"/>
        <w:spacing w:after="40"/>
      </w:pPr>
      <w:r>
        <w:t>Implement batch assessment and report generation.</w:t>
      </w:r>
    </w:p>
    <w:p>
      <w:pPr>
        <w:pStyle w:val="ListNumber"/>
        <w:spacing w:after="40"/>
      </w:pPr>
      <w:r>
        <w:t>Implement stored-profile reassessment.</w:t>
      </w:r>
    </w:p>
    <w:p>
      <w:pPr>
        <w:pStyle w:val="ListNumber"/>
        <w:spacing w:after="40"/>
      </w:pPr>
      <w:r>
        <w:t>Implement Notes/Activity, expanded roles and client-facing access.</w:t>
      </w:r>
    </w:p>
    <w:p>
      <w:pPr>
        <w:pStyle w:val="ListNumber"/>
        <w:spacing w:after="40"/>
      </w:pPr>
      <w:r>
        <w:t>Import/migrate existing live data only after mappings and validation rules are proven.</w:t>
      </w:r>
    </w:p>
    <w:p>
      <w:pPr>
        <w:pStyle w:val="Heading1"/>
      </w:pPr>
      <w:r>
        <w:t>25. Known Decisions That Must Not Be Reopened Accidentally</w:t>
      </w:r>
    </w:p>
    <w:p>
      <w:pPr>
        <w:pStyle w:val="ListBullet"/>
        <w:spacing w:after="40"/>
      </w:pPr>
      <w:r>
        <w:t>Talent Pool is a permanent reusable person repository; Candidates/Application history is Ref-specific.</w:t>
      </w:r>
    </w:p>
    <w:p>
      <w:pPr>
        <w:pStyle w:val="ListBullet"/>
        <w:spacing w:after="40"/>
      </w:pPr>
      <w:r>
        <w:t>Candidate ID follows the person across vacancies.</w:t>
      </w:r>
    </w:p>
    <w:p>
      <w:pPr>
        <w:pStyle w:val="ListBullet"/>
        <w:spacing w:after="40"/>
      </w:pPr>
      <w:r>
        <w:t>Same person + same Ref updates; same person + different Ref creates a new application under the same Candidate ID.</w:t>
      </w:r>
    </w:p>
    <w:p>
      <w:pPr>
        <w:pStyle w:val="ListBullet"/>
        <w:spacing w:after="40"/>
      </w:pPr>
      <w:r>
        <w:t>AI Decision and recruiter lifecycle are separate.</w:t>
      </w:r>
    </w:p>
    <w:p>
      <w:pPr>
        <w:pStyle w:val="ListBullet"/>
        <w:spacing w:after="40"/>
      </w:pPr>
      <w:r>
        <w:t>Criterion results must be persisted; old missing results are not fabricated.</w:t>
      </w:r>
    </w:p>
    <w:p>
      <w:pPr>
        <w:pStyle w:val="ListBullet"/>
        <w:spacing w:after="40"/>
      </w:pPr>
      <w:r>
        <w:t>CV is candidate-level and should not be duplicated per vacancy.</w:t>
      </w:r>
    </w:p>
    <w:p>
      <w:pPr>
        <w:pStyle w:val="ListBullet"/>
        <w:spacing w:after="40"/>
      </w:pPr>
      <w:r>
        <w:t>Opening a profile does not call OpenAI.</w:t>
      </w:r>
    </w:p>
    <w:p>
      <w:pPr>
        <w:pStyle w:val="ListBullet"/>
        <w:spacing w:after="40"/>
      </w:pPr>
      <w:r>
        <w:t>First CV assessment should also populate reusable Talent Pool intelligence.</w:t>
      </w:r>
    </w:p>
    <w:p>
      <w:pPr>
        <w:pStyle w:val="ListBullet"/>
        <w:spacing w:after="40"/>
      </w:pPr>
      <w:r>
        <w:t>Future reassessment should use stored candidate intelligence to avoid unnecessary CV/API processing.</w:t>
      </w:r>
    </w:p>
    <w:p>
      <w:pPr>
        <w:pStyle w:val="ListBullet"/>
        <w:spacing w:after="40"/>
      </w:pPr>
      <w:r>
        <w:t>Employment and Education are concise structured data; detailed responsibilities/certifications/projects remain in the original CV.</w:t>
      </w:r>
    </w:p>
    <w:p>
      <w:pPr>
        <w:pStyle w:val="ListBullet"/>
        <w:spacing w:after="40"/>
      </w:pPr>
      <w:r>
        <w:t>Create Position belongs inside Manage Positions in the new navigation.</w:t>
      </w:r>
    </w:p>
    <w:p>
      <w:pPr>
        <w:pStyle w:val="ListBullet"/>
        <w:spacing w:after="40"/>
      </w:pPr>
      <w:r>
        <w:t>Candidate Database is the leading candidate lifecycle workspace, subject to the planned final lifecycle UX review.</w:t>
      </w:r>
    </w:p>
    <w:p>
      <w:pPr>
        <w:pStyle w:val="ListBullet"/>
        <w:spacing w:after="40"/>
      </w:pPr>
      <w:r>
        <w:t>Client becomes a proper master module in the commercial .NET product.</w:t>
      </w:r>
    </w:p>
    <w:p>
      <w:pPr>
        <w:pStyle w:val="ListBullet"/>
        <w:spacing w:after="40"/>
      </w:pPr>
      <w:r>
        <w:t>Authorization must be future-ready and permission-based.</w:t>
      </w:r>
    </w:p>
    <w:p>
      <w:pPr>
        <w:pStyle w:val="ListBullet"/>
        <w:spacing w:after="40"/>
      </w:pPr>
      <w:r>
        <w:t>Client-facing portal/report access is in commercial product scope.</w:t>
      </w:r>
    </w:p>
    <w:p>
      <w:pPr>
        <w:pStyle w:val="ListBullet"/>
        <w:spacing w:after="40"/>
      </w:pPr>
      <w:r>
        <w:t>File storage must be abstracted from Google Drive.</w:t>
      </w:r>
    </w:p>
    <w:p>
      <w:pPr>
        <w:pStyle w:val="ListBullet"/>
        <w:spacing w:after="40"/>
      </w:pPr>
      <w:r>
        <w:t>WhatsApp and MCP/ChatGPT connector work remain separate and excluded.</w:t>
      </w:r>
    </w:p>
    <w:p>
      <w:pPr>
        <w:pStyle w:val="Heading1"/>
      </w:pPr>
      <w:r>
        <w:t>26. Handoff Note</w:t>
      </w:r>
    </w:p>
    <w:p>
      <w:pPr>
        <w:spacing w:after="100"/>
      </w:pPr>
      <w:r>
        <w:t>The next development chat should use this specification to design the .NET 10 implementation. It should distinguish current verified behavior from approved future rules and pending modules. Where a business rule is explicit here, preserve it. Where this document deliberately leaves database structure or technical implementation open, the new design may choose the most appropriate .NET/EF Core architecture without changing the business outcome.</w:t>
      </w:r>
    </w:p>
    <w:p>
      <w:pPr>
        <w:spacing w:after="100"/>
      </w:pPr>
      <w:r>
        <w:t>Before coding a module, compare its proposed behavior with the corresponding section of this document and with the working reference UI. Migration success is behavioral equivalence plus architectural improvement—not a literal port of Google Sheets or Apps Script.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82"/>
        <w:sz w:val="14"/>
      </w:rPr>
      <w:t>Osynix ATS — Functional, Business Logic &amp; Migration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E6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5A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E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