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b/>
          <w:color w:val="464646"/>
          <w:sz w:val="32"/>
        </w:rPr>
        <w:t>Data Science &amp; Visualization (24ADI204)</w:t>
        <w:br/>
      </w:r>
      <w:r>
        <w:rPr>
          <w:b/>
          <w:color w:val="1F4E79"/>
          <w:sz w:val="52"/>
        </w:rPr>
        <w:t>WEEK 5 REPORT</w:t>
        <w:br/>
      </w:r>
      <w:r>
        <w:rPr>
          <w:i/>
          <w:color w:val="2B5C8F"/>
          <w:sz w:val="36"/>
        </w:rPr>
        <w:t>Mid-Review: Data Audit &amp; Initial Statistical Findings</w:t>
        <w:br/>
      </w:r>
    </w:p>
    <w:p>
      <w:pPr>
        <w:spacing w:before="2880" w:after="480"/>
        <w:jc w:val="center"/>
      </w:pPr>
      <w:r>
        <w:rPr>
          <w:color w:val="646464"/>
          <w:sz w:val="24"/>
        </w:rPr>
        <w:t>Team 8</w:t>
        <w:br/>
        <w:t>Academic Year 2026</w:t>
        <w:br/>
        <w:t>Course Code: 24ADI204</w:t>
        <w:br/>
        <w:t>Dataset: Ames Housing Dataset (Iowa, USA)</w:t>
      </w:r>
    </w:p>
    <w:p>
      <w:r>
        <w:br w:type="page"/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1. Introduction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This Week 5 report presents the Mid-Review Data Audit and Initial Statistical Findings for the Ames Housing dataset project under course 24ADI204 (Data Science &amp; Visualization). Building upon the cleaning methodology established in Week 3, this report performs a rigorous audit of data quality, evaluates descriptive statistics, compares central tendency measures (mean vs. median), measures attribute dispersion and skewness, and identifies key numerical predictors of property sale prices.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2. Dataset Overview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The Ames Housing dataset contains comprehensive assessment records of residential properties in Ames, Iowa. The cleaned dataset evaluated in Week 5 consists of exactly 2,930 observations across 82 attributes (39 numerical and 43 categorical features). The target variable of interest is SalePrice ($).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3. Data Audit &amp; Quality Verification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A systematic data audit was conducted to confirm dataset completeness, structural integrity, and proper formatting following the Week 3 cleaning sprint. The results are summarized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>
              <w:rPr>
                <w:b/>
                <w:color w:val="FFFFFF"/>
              </w:rPr>
              <w:t>Audit Metric / Check</w:t>
            </w:r>
          </w:p>
        </w:tc>
        <w:tc>
          <w:tcPr>
            <w:tcW w:type="dxa" w:w="4680"/>
            <w:shd w:fill="1F4E79"/>
          </w:tcPr>
          <w:p>
            <w:r>
              <w:rPr>
                <w:b/>
                <w:color w:val="FFFFFF"/>
              </w:rPr>
              <w:t>Actual Calculated Result</w:t>
            </w:r>
          </w:p>
        </w:tc>
      </w:tr>
      <w:tr>
        <w:tc>
          <w:tcPr>
            <w:tcW w:type="dxa" w:w="4680"/>
            <w:shd w:fill="F2F2F2"/>
          </w:tcPr>
          <w:p>
            <w:r>
              <w:t>Total Rows (Observations)</w:t>
            </w:r>
          </w:p>
        </w:tc>
        <w:tc>
          <w:tcPr>
            <w:tcW w:type="dxa" w:w="4680"/>
            <w:shd w:fill="F2F2F2"/>
          </w:tcPr>
          <w:p>
            <w:r>
              <w:t>2,930</w:t>
            </w:r>
          </w:p>
        </w:tc>
      </w:tr>
      <w:tr>
        <w:tc>
          <w:tcPr>
            <w:tcW w:type="dxa" w:w="4680"/>
            <w:shd w:fill="FFFFFF"/>
          </w:tcPr>
          <w:p>
            <w:r>
              <w:t>Total Columns (Attributes)</w:t>
            </w:r>
          </w:p>
        </w:tc>
        <w:tc>
          <w:tcPr>
            <w:tcW w:type="dxa" w:w="4680"/>
            <w:shd w:fill="FFFFFF"/>
          </w:tcPr>
          <w:p>
            <w:r>
              <w:t>82</w:t>
            </w:r>
          </w:p>
        </w:tc>
      </w:tr>
      <w:tr>
        <w:tc>
          <w:tcPr>
            <w:tcW w:type="dxa" w:w="4680"/>
            <w:shd w:fill="F2F2F2"/>
          </w:tcPr>
          <w:p>
            <w:r>
              <w:t>Duplicate Rows</w:t>
            </w:r>
          </w:p>
        </w:tc>
        <w:tc>
          <w:tcPr>
            <w:tcW w:type="dxa" w:w="4680"/>
            <w:shd w:fill="F2F2F2"/>
          </w:tcPr>
          <w:p>
            <w:r>
              <w:t>0</w:t>
            </w:r>
          </w:p>
        </w:tc>
      </w:tr>
      <w:tr>
        <w:tc>
          <w:tcPr>
            <w:tcW w:type="dxa" w:w="4680"/>
            <w:shd w:fill="FFFFFF"/>
          </w:tcPr>
          <w:p>
            <w:r>
              <w:t>Missing Values (Post-Cleaning)</w:t>
            </w:r>
          </w:p>
        </w:tc>
        <w:tc>
          <w:tcPr>
            <w:tcW w:type="dxa" w:w="4680"/>
            <w:shd w:fill="FFFFFF"/>
          </w:tcPr>
          <w:p>
            <w:r>
              <w:t>0</w:t>
            </w:r>
          </w:p>
        </w:tc>
      </w:tr>
      <w:tr>
        <w:tc>
          <w:tcPr>
            <w:tcW w:type="dxa" w:w="4680"/>
            <w:shd w:fill="F2F2F2"/>
          </w:tcPr>
          <w:p>
            <w:r>
              <w:t>Numerical Features</w:t>
            </w:r>
          </w:p>
        </w:tc>
        <w:tc>
          <w:tcPr>
            <w:tcW w:type="dxa" w:w="4680"/>
            <w:shd w:fill="F2F2F2"/>
          </w:tcPr>
          <w:p>
            <w:r>
              <w:t>39</w:t>
            </w:r>
          </w:p>
        </w:tc>
      </w:tr>
      <w:tr>
        <w:tc>
          <w:tcPr>
            <w:tcW w:type="dxa" w:w="4680"/>
            <w:shd w:fill="FFFFFF"/>
          </w:tcPr>
          <w:p>
            <w:r>
              <w:t>Categorical Features</w:t>
            </w:r>
          </w:p>
        </w:tc>
        <w:tc>
          <w:tcPr>
            <w:tcW w:type="dxa" w:w="4680"/>
            <w:shd w:fill="FFFFFF"/>
          </w:tcPr>
          <w:p>
            <w:r>
              <w:t>43</w:t>
            </w:r>
          </w:p>
        </w:tc>
      </w:tr>
    </w:tbl>
    <w:p>
      <w:pPr>
        <w:spacing w:before="0" w:after="240" w:line="276" w:lineRule="auto"/>
      </w:pP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4. Missing Value and Duplicate Analysis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Following the domain-specific imputation applied in Week 3 (replacing amenity missingness such as no garage, pool, or basement with 'None' for categorical features and 0 for numerical dimensions, and imputing Lot Frontage via median), the Week 5 audit verified 0 remaining missing values across all 240,260 cells. Additionally, zero duplicate rows were detected.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5. Descriptive Statistics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Key continuous and discrete features were audited for central tendency, dispersion, quartiles, and interquartile range (IQR). Table 5.1 provides the empirical descriptive statistics: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9"/>
              </w:rPr>
              <w:t>Mean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9"/>
              </w:rPr>
              <w:t>Std Dev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9"/>
              </w:rPr>
              <w:t>Q1 (25%)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9"/>
              </w:rPr>
              <w:t>Median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9"/>
              </w:rPr>
              <w:t>Q3 (75%)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9"/>
              </w:rPr>
              <w:t>Max</w:t>
            </w:r>
          </w:p>
        </w:tc>
        <w:tc>
          <w:tcPr>
            <w:tcW w:type="dxa" w:w="1040"/>
            <w:shd w:fill="1F4E79"/>
          </w:tcPr>
          <w:p>
            <w:r>
              <w:rPr>
                <w:b/>
                <w:color w:val="FFFFFF"/>
                <w:sz w:val="19"/>
              </w:rPr>
              <w:t>IQR</w:t>
            </w:r>
          </w:p>
        </w:tc>
      </w:tr>
      <w:tr>
        <w:tc>
          <w:tcPr>
            <w:tcW w:type="dxa" w:w="1040"/>
            <w:shd w:fill="F2F2F2"/>
          </w:tcPr>
          <w:p>
            <w:r>
              <w:rPr>
                <w:sz w:val="18"/>
              </w:rPr>
              <w:t>SalePrice ($)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180,796.06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79,886.69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12,789.00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129,500.00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160,000.00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213,500.00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755,000.00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84,000.00</w:t>
            </w:r>
          </w:p>
        </w:tc>
      </w:tr>
      <w:tr>
        <w:tc>
          <w:tcPr>
            <w:tcW w:type="dxa" w:w="1040"/>
            <w:shd w:fill="FFFFFF"/>
          </w:tcPr>
          <w:p>
            <w:r>
              <w:rPr>
                <w:sz w:val="18"/>
              </w:rPr>
              <w:t>Gr Liv Area (sq ft)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1,499.69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505.51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334.00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1,126.00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1,442.00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1,742.75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5,642.00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616.75</w:t>
            </w:r>
          </w:p>
        </w:tc>
      </w:tr>
      <w:tr>
        <w:tc>
          <w:tcPr>
            <w:tcW w:type="dxa" w:w="1040"/>
            <w:shd w:fill="F2F2F2"/>
          </w:tcPr>
          <w:p>
            <w:r>
              <w:rPr>
                <w:sz w:val="18"/>
              </w:rPr>
              <w:t>Overall Qual (1-10)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6.09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1.41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6.00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7.00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10.00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2.00</w:t>
            </w:r>
          </w:p>
        </w:tc>
      </w:tr>
      <w:tr>
        <w:tc>
          <w:tcPr>
            <w:tcW w:type="dxa" w:w="1040"/>
            <w:shd w:fill="FFFFFF"/>
          </w:tcPr>
          <w:p>
            <w:r>
              <w:rPr>
                <w:sz w:val="18"/>
              </w:rPr>
              <w:t>Year Built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1,971.36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30.25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1,872.00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1,954.00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1,973.00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2,001.00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2,010.00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47.00</w:t>
            </w:r>
          </w:p>
        </w:tc>
      </w:tr>
      <w:tr>
        <w:tc>
          <w:tcPr>
            <w:tcW w:type="dxa" w:w="1040"/>
            <w:shd w:fill="F2F2F2"/>
          </w:tcPr>
          <w:p>
            <w:r>
              <w:rPr>
                <w:sz w:val="18"/>
              </w:rPr>
              <w:t>Total Bsmt SF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1,051.26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440.97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793.00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990.00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1,301.50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6,110.00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508.50</w:t>
            </w:r>
          </w:p>
        </w:tc>
      </w:tr>
      <w:tr>
        <w:tc>
          <w:tcPr>
            <w:tcW w:type="dxa" w:w="1040"/>
            <w:shd w:fill="FFFFFF"/>
          </w:tcPr>
          <w:p>
            <w:r>
              <w:rPr>
                <w:sz w:val="18"/>
              </w:rPr>
              <w:t>Garage Cars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1.77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2.00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2.00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040"/>
            <w:shd w:fill="F2F2F2"/>
          </w:tcPr>
          <w:p>
            <w:r>
              <w:rPr>
                <w:sz w:val="18"/>
              </w:rPr>
              <w:t>Garage Area (sq ft)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472.66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215.19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320.00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480.00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576.00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1,488.00</w:t>
            </w:r>
          </w:p>
        </w:tc>
        <w:tc>
          <w:tcPr>
            <w:tcW w:type="dxa" w:w="1040"/>
            <w:shd w:fill="F2F2F2"/>
          </w:tcPr>
          <w:p>
            <w:r>
              <w:rPr>
                <w:sz w:val="18"/>
              </w:rPr>
              <w:t>256.00</w:t>
            </w:r>
          </w:p>
        </w:tc>
      </w:tr>
      <w:tr>
        <w:tc>
          <w:tcPr>
            <w:tcW w:type="dxa" w:w="1040"/>
            <w:shd w:fill="FFFFFF"/>
          </w:tcPr>
          <w:p>
            <w:r>
              <w:rPr>
                <w:sz w:val="18"/>
              </w:rPr>
              <w:t>1st Flr SF (sq ft)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1,159.56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391.89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334.00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876.25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1,084.00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1,384.00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5,095.00</w:t>
            </w:r>
          </w:p>
        </w:tc>
        <w:tc>
          <w:tcPr>
            <w:tcW w:type="dxa" w:w="1040"/>
            <w:shd w:fill="FFFFFF"/>
          </w:tcPr>
          <w:p>
            <w:r>
              <w:rPr>
                <w:sz w:val="18"/>
              </w:rPr>
              <w:t>507.75</w:t>
            </w:r>
          </w:p>
        </w:tc>
      </w:tr>
    </w:tbl>
    <w:p>
      <w:pPr>
        <w:spacing w:before="0" w:after="240" w:line="276" w:lineRule="auto"/>
      </w:pP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6. Mean, Median and Variability Analysis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Comparing mean and median provides critical insight into distribution symmetry. SalePrice has a mean of $180,796.06 and a median of $160,000.00. The mean exceeds the median by $20,796.06, demonstrating substantial positive (right) skewness caused by high-end luxury properties pulling the mean upward. In contrast, Overall Qual (mean 6.09 vs median 6.00) exhibits high symmetry.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7. Skewness Analysis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Skewness measures the degree of asymmetry in a feature's probability distribution: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  <w:t>• SalePrice (Skewness = +1.74): Strongly right-skewed, requiring log transformation during feature engineering.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  <w:t>• Gr Liv Area (Skewness = +1.27): Moderately right-skewed with high living area properties.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  <w:t>• 1st Flr SF (Skewness = +1.47): Positively skewed continuous area measurement.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  <w:t>• Lot Area (Skewness = +12.78): Extremely right-skewed due to massive acreage lots.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8. Correlation Analysis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Pearson correlation coefficients were computed across all numerical variables to determine primary linear predictors of property value: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>
              <w:rPr>
                <w:b/>
                <w:color w:val="FFFFFF"/>
              </w:rPr>
              <w:t>Housing Feature</w:t>
            </w:r>
          </w:p>
        </w:tc>
        <w:tc>
          <w:tcPr>
            <w:tcW w:type="dxa" w:w="4680"/>
            <w:shd w:fill="1F4E79"/>
          </w:tcPr>
          <w:p>
            <w:r>
              <w:rPr>
                <w:b/>
                <w:color w:val="FFFFFF"/>
              </w:rPr>
              <w:t>Pearson Correlation (r) with SalePrice</w:t>
            </w:r>
          </w:p>
        </w:tc>
      </w:tr>
      <w:tr>
        <w:tc>
          <w:tcPr>
            <w:tcW w:type="dxa" w:w="4680"/>
            <w:shd w:fill="F2F2F2"/>
          </w:tcPr>
          <w:p>
            <w:r>
              <w:t>Overall Qual (Overall Material &amp; Finish Quality)</w:t>
            </w:r>
          </w:p>
        </w:tc>
        <w:tc>
          <w:tcPr>
            <w:tcW w:type="dxa" w:w="4680"/>
            <w:shd w:fill="F2F2F2"/>
          </w:tcPr>
          <w:p>
            <w:r>
              <w:t>+0.799</w:t>
            </w:r>
          </w:p>
        </w:tc>
      </w:tr>
      <w:tr>
        <w:tc>
          <w:tcPr>
            <w:tcW w:type="dxa" w:w="4680"/>
            <w:shd w:fill="FFFFFF"/>
          </w:tcPr>
          <w:p>
            <w:r>
              <w:t>Gr Liv Area (Above Grade Living Area sq ft)</w:t>
            </w:r>
          </w:p>
        </w:tc>
        <w:tc>
          <w:tcPr>
            <w:tcW w:type="dxa" w:w="4680"/>
            <w:shd w:fill="FFFFFF"/>
          </w:tcPr>
          <w:p>
            <w:r>
              <w:t>+0.707</w:t>
            </w:r>
          </w:p>
        </w:tc>
      </w:tr>
      <w:tr>
        <w:tc>
          <w:tcPr>
            <w:tcW w:type="dxa" w:w="4680"/>
            <w:shd w:fill="F2F2F2"/>
          </w:tcPr>
          <w:p>
            <w:r>
              <w:t>Garage Cars (Garage Car Capacity)</w:t>
            </w:r>
          </w:p>
        </w:tc>
        <w:tc>
          <w:tcPr>
            <w:tcW w:type="dxa" w:w="4680"/>
            <w:shd w:fill="F2F2F2"/>
          </w:tcPr>
          <w:p>
            <w:r>
              <w:t>+0.648</w:t>
            </w:r>
          </w:p>
        </w:tc>
      </w:tr>
      <w:tr>
        <w:tc>
          <w:tcPr>
            <w:tcW w:type="dxa" w:w="4680"/>
            <w:shd w:fill="FFFFFF"/>
          </w:tcPr>
          <w:p>
            <w:r>
              <w:t>Garage Area (Garage Area sq ft)</w:t>
            </w:r>
          </w:p>
        </w:tc>
        <w:tc>
          <w:tcPr>
            <w:tcW w:type="dxa" w:w="4680"/>
            <w:shd w:fill="FFFFFF"/>
          </w:tcPr>
          <w:p>
            <w:r>
              <w:t>+0.640</w:t>
            </w:r>
          </w:p>
        </w:tc>
      </w:tr>
      <w:tr>
        <w:tc>
          <w:tcPr>
            <w:tcW w:type="dxa" w:w="4680"/>
            <w:shd w:fill="F2F2F2"/>
          </w:tcPr>
          <w:p>
            <w:r>
              <w:t>Total Bsmt SF (Total Basement Area sq ft)</w:t>
            </w:r>
          </w:p>
        </w:tc>
        <w:tc>
          <w:tcPr>
            <w:tcW w:type="dxa" w:w="4680"/>
            <w:shd w:fill="F2F2F2"/>
          </w:tcPr>
          <w:p>
            <w:r>
              <w:t>+0.633</w:t>
            </w:r>
          </w:p>
        </w:tc>
      </w:tr>
      <w:tr>
        <w:tc>
          <w:tcPr>
            <w:tcW w:type="dxa" w:w="4680"/>
            <w:shd w:fill="FFFFFF"/>
          </w:tcPr>
          <w:p>
            <w:r>
              <w:t>1st Flr SF (First Floor Area sq ft)</w:t>
            </w:r>
          </w:p>
        </w:tc>
        <w:tc>
          <w:tcPr>
            <w:tcW w:type="dxa" w:w="4680"/>
            <w:shd w:fill="FFFFFF"/>
          </w:tcPr>
          <w:p>
            <w:r>
              <w:t>+0.622</w:t>
            </w:r>
          </w:p>
        </w:tc>
      </w:tr>
      <w:tr>
        <w:tc>
          <w:tcPr>
            <w:tcW w:type="dxa" w:w="4680"/>
            <w:shd w:fill="F2F2F2"/>
          </w:tcPr>
          <w:p>
            <w:r>
              <w:t>Year Built (Original Construction Year)</w:t>
            </w:r>
          </w:p>
        </w:tc>
        <w:tc>
          <w:tcPr>
            <w:tcW w:type="dxa" w:w="4680"/>
            <w:shd w:fill="F2F2F2"/>
          </w:tcPr>
          <w:p>
            <w:r>
              <w:t>+0.558</w:t>
            </w:r>
          </w:p>
        </w:tc>
      </w:tr>
      <w:tr>
        <w:tc>
          <w:tcPr>
            <w:tcW w:type="dxa" w:w="4680"/>
            <w:shd w:fill="FFFFFF"/>
          </w:tcPr>
          <w:p>
            <w:r>
              <w:t>Full Bath (Full Bathrooms Above Grade)</w:t>
            </w:r>
          </w:p>
        </w:tc>
        <w:tc>
          <w:tcPr>
            <w:tcW w:type="dxa" w:w="4680"/>
            <w:shd w:fill="FFFFFF"/>
          </w:tcPr>
          <w:p>
            <w:r>
              <w:t>+0.546</w:t>
            </w:r>
          </w:p>
        </w:tc>
      </w:tr>
      <w:tr>
        <w:tc>
          <w:tcPr>
            <w:tcW w:type="dxa" w:w="4680"/>
            <w:shd w:fill="F2F2F2"/>
          </w:tcPr>
          <w:p>
            <w:r>
              <w:t>Year Remod/Add (Remodel / Addition Year)</w:t>
            </w:r>
          </w:p>
        </w:tc>
        <w:tc>
          <w:tcPr>
            <w:tcW w:type="dxa" w:w="4680"/>
            <w:shd w:fill="F2F2F2"/>
          </w:tcPr>
          <w:p>
            <w:r>
              <w:t>+0.533</w:t>
            </w:r>
          </w:p>
        </w:tc>
      </w:tr>
      <w:tr>
        <w:tc>
          <w:tcPr>
            <w:tcW w:type="dxa" w:w="4680"/>
            <w:shd w:fill="FFFFFF"/>
          </w:tcPr>
          <w:p>
            <w:r>
              <w:t>Mas Vnr Area (Masonry Veneer Area sq ft)</w:t>
            </w:r>
          </w:p>
        </w:tc>
        <w:tc>
          <w:tcPr>
            <w:tcW w:type="dxa" w:w="4680"/>
            <w:shd w:fill="FFFFFF"/>
          </w:tcPr>
          <w:p>
            <w:r>
              <w:t>+0.502</w:t>
            </w:r>
          </w:p>
        </w:tc>
      </w:tr>
    </w:tbl>
    <w:p>
      <w:pPr>
        <w:spacing w:before="0" w:after="240" w:line="276" w:lineRule="auto"/>
      </w:pP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9. Initial Statistical Findings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1. Target Distribution Asymmetry: SalePrice exhibits strong right skewness (+1.74) with a $20,796.06 gap between mean and median, reflecting market concentration in entry/mid-tier homes and heavy positive tails.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2. Material Quality Dominance: Overall Qual is the single strongest predictor of SalePrice (r = +0.799), showing non-linear price appreciation at quality levels 8, 9, and 10.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3. Spatial Scale Impact: Gr Liv Area is the dominant spatial predictor (r = +0.707). Each additional square foot of living space contributes positive market value.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4. Vehicle &amp; Amenity Influence: Garage capacity (r = +0.648) and basement area (r = +0.633) serve as major structural value determinants.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5. Construction Modernity: Year Built (r = +0.558) confirms that newer construction commands significant market premiums over older homes.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6. Clean Dataset Readiness: The dataset contains exactly 2,930 clean records with zero missing entries and zero duplicates, ready for feature engineering.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10. Important Visualizations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Figure 10.1 displays the distribution of SalePrice alongside mean and median lines:</w:t>
      </w:r>
    </w:p>
    <w:p>
      <w:r>
        <w:drawing>
          <wp:inline xmlns:a="http://schemas.openxmlformats.org/drawingml/2006/main" xmlns:pic="http://schemas.openxmlformats.org/drawingml/2006/picture">
            <wp:extent cx="5029200" cy="279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Pric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10.1: SalePrice Histogram with KDE, Mean, and Median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Figure 10.2 displays the correlation strength of top numerical attributes: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Price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10.2: Top Positive Correlations with SalePrice</w:t>
      </w:r>
    </w:p>
    <w:p>
      <w:pPr>
        <w:keepNext/>
        <w:spacing w:before="240" w:after="120"/>
      </w:pPr>
      <w:r>
        <w:rPr>
          <w:rFonts w:ascii="Calibri" w:hAnsi="Calibri"/>
          <w:b/>
          <w:color w:val="1F4E79"/>
          <w:sz w:val="36"/>
        </w:rPr>
        <w:t>11. Conclusion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The Week 5 Data Audit successfully verified the cleanliness and statistical structure of the 2,930 property records. Key relationships, skewness characteristics, and correlations have been calculated and documented. This statistical audit sets a clean foundation for Week 6 Feature Engineering, where scaling, log transformations, and categorical encodings will be performed.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