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240"/>
        <w:jc w:val="center"/>
      </w:pPr>
      <w:r>
        <w:rPr>
          <w:b/>
          <w:color w:val="464646"/>
          <w:sz w:val="32"/>
        </w:rPr>
        <w:t>Data Science &amp; Visualization (24ADI204)</w:t>
        <w:br/>
      </w:r>
      <w:r>
        <w:rPr>
          <w:b/>
          <w:color w:val="1F4E79"/>
          <w:sz w:val="52"/>
        </w:rPr>
        <w:t>WEEK 6 REPORT</w:t>
        <w:br/>
      </w:r>
      <w:r>
        <w:rPr>
          <w:i/>
          <w:color w:val="2B5C8F"/>
          <w:sz w:val="36"/>
        </w:rPr>
        <w:t>Feature Engineering, Normalization, Scaling and Encoding</w:t>
        <w:br/>
      </w:r>
    </w:p>
    <w:p>
      <w:pPr>
        <w:spacing w:before="2880" w:after="480"/>
        <w:jc w:val="center"/>
      </w:pPr>
      <w:r>
        <w:rPr>
          <w:color w:val="646464"/>
          <w:sz w:val="24"/>
        </w:rPr>
        <w:t>Team 8</w:t>
        <w:br/>
        <w:t>Academic Year 2026</w:t>
        <w:br/>
        <w:t>Course Code: 24ADI204</w:t>
        <w:br/>
        <w:t>Dataset: Ames Housing Dataset (Iowa, USA)</w:t>
      </w:r>
    </w:p>
    <w:p>
      <w:r>
        <w:br w:type="page"/>
      </w:r>
    </w:p>
    <w:p>
      <w:pPr>
        <w:keepNext/>
        <w:spacing w:before="240" w:after="120"/>
      </w:pPr>
      <w:r>
        <w:rPr>
          <w:rFonts w:ascii="Calibri" w:hAnsi="Calibri"/>
          <w:b/>
          <w:color w:val="1F4E79"/>
          <w:sz w:val="36"/>
        </w:rPr>
        <w:t>1. Introduction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This Week 6 report covers Feature Engineering, Normalization, Scaling, and Categorical Encoding for the Ames Housing dataset under course 24ADI204 (Data Science &amp; Visualization). Continuing from the clean Week 5 dataset (2,930 rows x 82 columns), this milestone constructs domain-specific features, mitigates target skewness via log transformation, evaluates and compares three major feature scaling techniques, encodes ordinal and nominal categorical variables, and exports the final matrix (2,930 rows x 293 columns).</w:t>
      </w:r>
    </w:p>
    <w:p>
      <w:pPr>
        <w:keepNext/>
        <w:spacing w:before="240" w:after="120"/>
      </w:pPr>
      <w:r>
        <w:rPr>
          <w:rFonts w:ascii="Calibri" w:hAnsi="Calibri"/>
          <w:b/>
          <w:color w:val="1F4E79"/>
          <w:sz w:val="36"/>
        </w:rPr>
        <w:t>2. Dataset Used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The input dataset for Week 6 is Cleaned_AmesHousing_Week5.csv, containing 2,930 verified records and zero missing values across 82 attributes. All original rows and columns were preserved prior to feature transformations.</w:t>
      </w:r>
    </w:p>
    <w:p>
      <w:pPr>
        <w:keepNext/>
        <w:spacing w:before="240" w:after="120"/>
      </w:pPr>
      <w:r>
        <w:rPr>
          <w:rFonts w:ascii="Calibri" w:hAnsi="Calibri"/>
          <w:b/>
          <w:color w:val="1F4E79"/>
          <w:sz w:val="36"/>
        </w:rPr>
        <w:t>3. Feature Classification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Attributes were categorized into three operational classes: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1. Numerical Features (39): Continuous physical measurements (e.g., Gr Liv Area, Total Bsmt SF) and discrete counts (e.g., Garage Cars, Bedroom AbvGr).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2. Nominal Categorical Features (33): Unordered categories (e.g., Neighborhood, House Style, MS Zoning, Sale Condition).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3. Ordinal Categorical Features (10): Inherently ordered ratings (e.g., Exter Qual, Kitchen Qual, Bsmt Qual, Heating QC).</w:t>
      </w:r>
    </w:p>
    <w:p>
      <w:pPr>
        <w:keepNext/>
        <w:spacing w:before="240" w:after="120"/>
      </w:pPr>
      <w:r>
        <w:rPr>
          <w:rFonts w:ascii="Calibri" w:hAnsi="Calibri"/>
          <w:b/>
          <w:color w:val="1F4E79"/>
          <w:sz w:val="36"/>
        </w:rPr>
        <w:t>4. Feature Engineering (Domain Creation)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Five new domain-specific features were engineered to capture combined architectural and temporal effects: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• HouseAge = Yr Sold - Year Built (Age of property at time of sale)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• RemodAge = Yr Sold - Year Remod/Add (Years since last remodeling)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• TotalBathrooms = Full Bath + (0.5 * Half Bath) + Bsmt Full Bath + (0.5 * Bsmt Half Bath) (Combined bathroom capacity)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• TotalPorchArea = Open Porch SF + Enclosed Porch + 3Ssn Porch + Screen Porch + Wood Deck SF (Total outdoor living area)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• TotalHouseArea = Gr Liv Area + Total Bsmt SF (Total combined indoor square footage)</w:t>
      </w:r>
    </w:p>
    <w:p>
      <w:pPr>
        <w:keepNext/>
        <w:spacing w:before="240" w:after="120"/>
      </w:pPr>
      <w:r>
        <w:rPr>
          <w:rFonts w:ascii="Calibri" w:hAnsi="Calibri"/>
          <w:b/>
          <w:color w:val="1F4E79"/>
          <w:sz w:val="36"/>
        </w:rPr>
        <w:t>5. Skewness and Transformation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Right-skewed target variable SalePrice (skewness = +1.74) was transformed using log1p(x) = log(1 + x). The log-transformed target SalePrice_Log reduced skewness to +0.12, achieving an approximately normal bell-curve distribution required for parametric modeling.</w:t>
      </w:r>
    </w:p>
    <w:p>
      <w:pPr>
        <w:keepNext/>
        <w:spacing w:before="240" w:after="120"/>
      </w:pPr>
      <w:r>
        <w:rPr>
          <w:rFonts w:ascii="Calibri" w:hAnsi="Calibri"/>
          <w:b/>
          <w:color w:val="1F4E79"/>
          <w:sz w:val="36"/>
        </w:rPr>
        <w:t>6. Feature Scaling Methods &amp; Comparison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Three scaling algorithms were evaluated on key numerical features: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1. Min-Max Normalization: X' = (X - X_min) / (X_max - X_min). Bounds features strictly within [0, 1].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2. Standardization (Z-Score): Z = (X - mu) / sigma. Centers features at mean = 0 with standard deviation = 1.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3. Robust Scaling: X' = (X - median) / IQR. Uses median and IQR, making it robust against extreme outliers.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shd w:fill="1F4E79"/>
          </w:tcPr>
          <w:p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1040"/>
            <w:shd w:fill="1F4E79"/>
          </w:tcPr>
          <w:p>
            <w:r>
              <w:rPr>
                <w:b/>
                <w:color w:val="FFFFFF"/>
                <w:sz w:val="18"/>
              </w:rPr>
              <w:t>Orig Mean</w:t>
            </w:r>
          </w:p>
        </w:tc>
        <w:tc>
          <w:tcPr>
            <w:tcW w:type="dxa" w:w="1040"/>
            <w:shd w:fill="1F4E79"/>
          </w:tcPr>
          <w:p>
            <w:r>
              <w:rPr>
                <w:b/>
                <w:color w:val="FFFFFF"/>
                <w:sz w:val="18"/>
              </w:rPr>
              <w:t>Orig Std</w:t>
            </w:r>
          </w:p>
        </w:tc>
        <w:tc>
          <w:tcPr>
            <w:tcW w:type="dxa" w:w="1040"/>
            <w:shd w:fill="1F4E79"/>
          </w:tcPr>
          <w:p>
            <w:r>
              <w:rPr>
                <w:b/>
                <w:color w:val="FFFFFF"/>
                <w:sz w:val="18"/>
              </w:rPr>
              <w:t>MinMax Mean</w:t>
            </w:r>
          </w:p>
        </w:tc>
        <w:tc>
          <w:tcPr>
            <w:tcW w:type="dxa" w:w="1040"/>
            <w:shd w:fill="1F4E79"/>
          </w:tcPr>
          <w:p>
            <w:r>
              <w:rPr>
                <w:b/>
                <w:color w:val="FFFFFF"/>
                <w:sz w:val="18"/>
              </w:rPr>
              <w:t>MinMax Std</w:t>
            </w:r>
          </w:p>
        </w:tc>
        <w:tc>
          <w:tcPr>
            <w:tcW w:type="dxa" w:w="1040"/>
            <w:shd w:fill="1F4E79"/>
          </w:tcPr>
          <w:p>
            <w:r>
              <w:rPr>
                <w:b/>
                <w:color w:val="FFFFFF"/>
                <w:sz w:val="18"/>
              </w:rPr>
              <w:t>StdScaler Mean</w:t>
            </w:r>
          </w:p>
        </w:tc>
        <w:tc>
          <w:tcPr>
            <w:tcW w:type="dxa" w:w="1040"/>
            <w:shd w:fill="1F4E79"/>
          </w:tcPr>
          <w:p>
            <w:r>
              <w:rPr>
                <w:b/>
                <w:color w:val="FFFFFF"/>
                <w:sz w:val="18"/>
              </w:rPr>
              <w:t>StdScaler Std</w:t>
            </w:r>
          </w:p>
        </w:tc>
        <w:tc>
          <w:tcPr>
            <w:tcW w:type="dxa" w:w="1040"/>
            <w:shd w:fill="1F4E79"/>
          </w:tcPr>
          <w:p>
            <w:r>
              <w:rPr>
                <w:b/>
                <w:color w:val="FFFFFF"/>
                <w:sz w:val="18"/>
              </w:rPr>
              <w:t>Robust Mean</w:t>
            </w:r>
          </w:p>
        </w:tc>
        <w:tc>
          <w:tcPr>
            <w:tcW w:type="dxa" w:w="1040"/>
            <w:shd w:fill="1F4E79"/>
          </w:tcPr>
          <w:p>
            <w:r>
              <w:rPr>
                <w:b/>
                <w:color w:val="FFFFFF"/>
                <w:sz w:val="18"/>
              </w:rPr>
              <w:t>Robust Std</w:t>
            </w:r>
          </w:p>
        </w:tc>
      </w:tr>
      <w:tr>
        <w:tc>
          <w:tcPr>
            <w:tcW w:type="dxa" w:w="1040"/>
            <w:shd w:fill="F2F2F2"/>
          </w:tcPr>
          <w:p>
            <w:r>
              <w:rPr>
                <w:sz w:val="17"/>
              </w:rPr>
              <w:t>Gr Liv Area</w:t>
            </w:r>
          </w:p>
        </w:tc>
        <w:tc>
          <w:tcPr>
            <w:tcW w:type="dxa" w:w="1040"/>
            <w:shd w:fill="F2F2F2"/>
          </w:tcPr>
          <w:p>
            <w:r>
              <w:rPr>
                <w:sz w:val="17"/>
              </w:rPr>
              <w:t>1,499.69</w:t>
            </w:r>
          </w:p>
        </w:tc>
        <w:tc>
          <w:tcPr>
            <w:tcW w:type="dxa" w:w="1040"/>
            <w:shd w:fill="F2F2F2"/>
          </w:tcPr>
          <w:p>
            <w:r>
              <w:rPr>
                <w:sz w:val="17"/>
              </w:rPr>
              <w:t>505.51</w:t>
            </w:r>
          </w:p>
        </w:tc>
        <w:tc>
          <w:tcPr>
            <w:tcW w:type="dxa" w:w="1040"/>
            <w:shd w:fill="F2F2F2"/>
          </w:tcPr>
          <w:p>
            <w:r>
              <w:rPr>
                <w:sz w:val="17"/>
              </w:rPr>
              <w:t>0.2196</w:t>
            </w:r>
          </w:p>
        </w:tc>
        <w:tc>
          <w:tcPr>
            <w:tcW w:type="dxa" w:w="1040"/>
            <w:shd w:fill="F2F2F2"/>
          </w:tcPr>
          <w:p>
            <w:r>
              <w:rPr>
                <w:sz w:val="17"/>
              </w:rPr>
              <w:t>0.0952</w:t>
            </w:r>
          </w:p>
        </w:tc>
        <w:tc>
          <w:tcPr>
            <w:tcW w:type="dxa" w:w="1040"/>
            <w:shd w:fill="F2F2F2"/>
          </w:tcPr>
          <w:p>
            <w:r>
              <w:rPr>
                <w:sz w:val="17"/>
              </w:rPr>
              <w:t>0.0000</w:t>
            </w:r>
          </w:p>
        </w:tc>
        <w:tc>
          <w:tcPr>
            <w:tcW w:type="dxa" w:w="1040"/>
            <w:shd w:fill="F2F2F2"/>
          </w:tcPr>
          <w:p>
            <w:r>
              <w:rPr>
                <w:sz w:val="17"/>
              </w:rPr>
              <w:t>1.0000</w:t>
            </w:r>
          </w:p>
        </w:tc>
        <w:tc>
          <w:tcPr>
            <w:tcW w:type="dxa" w:w="1040"/>
            <w:shd w:fill="F2F2F2"/>
          </w:tcPr>
          <w:p>
            <w:r>
              <w:rPr>
                <w:sz w:val="17"/>
              </w:rPr>
              <w:t>0.0935</w:t>
            </w:r>
          </w:p>
        </w:tc>
        <w:tc>
          <w:tcPr>
            <w:tcW w:type="dxa" w:w="1040"/>
            <w:shd w:fill="F2F2F2"/>
          </w:tcPr>
          <w:p>
            <w:r>
              <w:rPr>
                <w:sz w:val="17"/>
              </w:rPr>
              <w:t>0.8195</w:t>
            </w:r>
          </w:p>
        </w:tc>
      </w:tr>
      <w:tr>
        <w:tc>
          <w:tcPr>
            <w:tcW w:type="dxa" w:w="1040"/>
            <w:shd w:fill="FFFFFF"/>
          </w:tcPr>
          <w:p>
            <w:r>
              <w:rPr>
                <w:sz w:val="17"/>
              </w:rPr>
              <w:t>Total Bsmt SF</w:t>
            </w:r>
          </w:p>
        </w:tc>
        <w:tc>
          <w:tcPr>
            <w:tcW w:type="dxa" w:w="1040"/>
            <w:shd w:fill="FFFFFF"/>
          </w:tcPr>
          <w:p>
            <w:r>
              <w:rPr>
                <w:sz w:val="17"/>
              </w:rPr>
              <w:t>1,051.26</w:t>
            </w:r>
          </w:p>
        </w:tc>
        <w:tc>
          <w:tcPr>
            <w:tcW w:type="dxa" w:w="1040"/>
            <w:shd w:fill="FFFFFF"/>
          </w:tcPr>
          <w:p>
            <w:r>
              <w:rPr>
                <w:sz w:val="17"/>
              </w:rPr>
              <w:t>440.97</w:t>
            </w:r>
          </w:p>
        </w:tc>
        <w:tc>
          <w:tcPr>
            <w:tcW w:type="dxa" w:w="1040"/>
            <w:shd w:fill="FFFFFF"/>
          </w:tcPr>
          <w:p>
            <w:r>
              <w:rPr>
                <w:sz w:val="17"/>
              </w:rPr>
              <w:t>0.1721</w:t>
            </w:r>
          </w:p>
        </w:tc>
        <w:tc>
          <w:tcPr>
            <w:tcW w:type="dxa" w:w="1040"/>
            <w:shd w:fill="FFFFFF"/>
          </w:tcPr>
          <w:p>
            <w:r>
              <w:rPr>
                <w:sz w:val="17"/>
              </w:rPr>
              <w:t>0.0722</w:t>
            </w:r>
          </w:p>
        </w:tc>
        <w:tc>
          <w:tcPr>
            <w:tcW w:type="dxa" w:w="1040"/>
            <w:shd w:fill="FFFFFF"/>
          </w:tcPr>
          <w:p>
            <w:r>
              <w:rPr>
                <w:sz w:val="17"/>
              </w:rPr>
              <w:t>0.0000</w:t>
            </w:r>
          </w:p>
        </w:tc>
        <w:tc>
          <w:tcPr>
            <w:tcW w:type="dxa" w:w="1040"/>
            <w:shd w:fill="FFFFFF"/>
          </w:tcPr>
          <w:p>
            <w:r>
              <w:rPr>
                <w:sz w:val="17"/>
              </w:rPr>
              <w:t>1.0000</w:t>
            </w:r>
          </w:p>
        </w:tc>
        <w:tc>
          <w:tcPr>
            <w:tcW w:type="dxa" w:w="1040"/>
            <w:shd w:fill="FFFFFF"/>
          </w:tcPr>
          <w:p>
            <w:r>
              <w:rPr>
                <w:sz w:val="17"/>
              </w:rPr>
              <w:t>0.1205</w:t>
            </w:r>
          </w:p>
        </w:tc>
        <w:tc>
          <w:tcPr>
            <w:tcW w:type="dxa" w:w="1040"/>
            <w:shd w:fill="FFFFFF"/>
          </w:tcPr>
          <w:p>
            <w:r>
              <w:rPr>
                <w:sz w:val="17"/>
              </w:rPr>
              <w:t>0.8670</w:t>
            </w:r>
          </w:p>
        </w:tc>
      </w:tr>
      <w:tr>
        <w:tc>
          <w:tcPr>
            <w:tcW w:type="dxa" w:w="1040"/>
            <w:shd w:fill="F2F2F2"/>
          </w:tcPr>
          <w:p>
            <w:r>
              <w:rPr>
                <w:sz w:val="17"/>
              </w:rPr>
              <w:t>Garage Area</w:t>
            </w:r>
          </w:p>
        </w:tc>
        <w:tc>
          <w:tcPr>
            <w:tcW w:type="dxa" w:w="1040"/>
            <w:shd w:fill="F2F2F2"/>
          </w:tcPr>
          <w:p>
            <w:r>
              <w:rPr>
                <w:sz w:val="17"/>
              </w:rPr>
              <w:t>472.66</w:t>
            </w:r>
          </w:p>
        </w:tc>
        <w:tc>
          <w:tcPr>
            <w:tcW w:type="dxa" w:w="1040"/>
            <w:shd w:fill="F2F2F2"/>
          </w:tcPr>
          <w:p>
            <w:r>
              <w:rPr>
                <w:sz w:val="17"/>
              </w:rPr>
              <w:t>215.19</w:t>
            </w:r>
          </w:p>
        </w:tc>
        <w:tc>
          <w:tcPr>
            <w:tcW w:type="dxa" w:w="1040"/>
            <w:shd w:fill="F2F2F2"/>
          </w:tcPr>
          <w:p>
            <w:r>
              <w:rPr>
                <w:sz w:val="17"/>
              </w:rPr>
              <w:t>0.3176</w:t>
            </w:r>
          </w:p>
        </w:tc>
        <w:tc>
          <w:tcPr>
            <w:tcW w:type="dxa" w:w="1040"/>
            <w:shd w:fill="F2F2F2"/>
          </w:tcPr>
          <w:p>
            <w:r>
              <w:rPr>
                <w:sz w:val="17"/>
              </w:rPr>
              <w:t>0.1446</w:t>
            </w:r>
          </w:p>
        </w:tc>
        <w:tc>
          <w:tcPr>
            <w:tcW w:type="dxa" w:w="1040"/>
            <w:shd w:fill="F2F2F2"/>
          </w:tcPr>
          <w:p>
            <w:r>
              <w:rPr>
                <w:sz w:val="17"/>
              </w:rPr>
              <w:t>0.0000</w:t>
            </w:r>
          </w:p>
        </w:tc>
        <w:tc>
          <w:tcPr>
            <w:tcW w:type="dxa" w:w="1040"/>
            <w:shd w:fill="F2F2F2"/>
          </w:tcPr>
          <w:p>
            <w:r>
              <w:rPr>
                <w:sz w:val="17"/>
              </w:rPr>
              <w:t>1.0000</w:t>
            </w:r>
          </w:p>
        </w:tc>
        <w:tc>
          <w:tcPr>
            <w:tcW w:type="dxa" w:w="1040"/>
            <w:shd w:fill="F2F2F2"/>
          </w:tcPr>
          <w:p>
            <w:r>
              <w:rPr>
                <w:sz w:val="17"/>
              </w:rPr>
              <w:t>-0.0287</w:t>
            </w:r>
          </w:p>
        </w:tc>
        <w:tc>
          <w:tcPr>
            <w:tcW w:type="dxa" w:w="1040"/>
            <w:shd w:fill="F2F2F2"/>
          </w:tcPr>
          <w:p>
            <w:r>
              <w:rPr>
                <w:sz w:val="17"/>
              </w:rPr>
              <w:t>0.8404</w:t>
            </w:r>
          </w:p>
        </w:tc>
      </w:tr>
      <w:tr>
        <w:tc>
          <w:tcPr>
            <w:tcW w:type="dxa" w:w="1040"/>
            <w:shd w:fill="FFFFFF"/>
          </w:tcPr>
          <w:p>
            <w:r>
              <w:rPr>
                <w:sz w:val="17"/>
              </w:rPr>
              <w:t>HouseAge</w:t>
            </w:r>
          </w:p>
        </w:tc>
        <w:tc>
          <w:tcPr>
            <w:tcW w:type="dxa" w:w="1040"/>
            <w:shd w:fill="FFFFFF"/>
          </w:tcPr>
          <w:p>
            <w:r>
              <w:rPr>
                <w:sz w:val="17"/>
              </w:rPr>
              <w:t>36.43</w:t>
            </w:r>
          </w:p>
        </w:tc>
        <w:tc>
          <w:tcPr>
            <w:tcW w:type="dxa" w:w="1040"/>
            <w:shd w:fill="FFFFFF"/>
          </w:tcPr>
          <w:p>
            <w:r>
              <w:rPr>
                <w:sz w:val="17"/>
              </w:rPr>
              <w:t>30.29</w:t>
            </w:r>
          </w:p>
        </w:tc>
        <w:tc>
          <w:tcPr>
            <w:tcW w:type="dxa" w:w="1040"/>
            <w:shd w:fill="FFFFFF"/>
          </w:tcPr>
          <w:p>
            <w:r>
              <w:rPr>
                <w:sz w:val="17"/>
              </w:rPr>
              <w:t>0.2732</w:t>
            </w:r>
          </w:p>
        </w:tc>
        <w:tc>
          <w:tcPr>
            <w:tcW w:type="dxa" w:w="1040"/>
            <w:shd w:fill="FFFFFF"/>
          </w:tcPr>
          <w:p>
            <w:r>
              <w:rPr>
                <w:sz w:val="17"/>
              </w:rPr>
              <w:t>0.2211</w:t>
            </w:r>
          </w:p>
        </w:tc>
        <w:tc>
          <w:tcPr>
            <w:tcW w:type="dxa" w:w="1040"/>
            <w:shd w:fill="FFFFFF"/>
          </w:tcPr>
          <w:p>
            <w:r>
              <w:rPr>
                <w:sz w:val="17"/>
              </w:rPr>
              <w:t>0.0000</w:t>
            </w:r>
          </w:p>
        </w:tc>
        <w:tc>
          <w:tcPr>
            <w:tcW w:type="dxa" w:w="1040"/>
            <w:shd w:fill="FFFFFF"/>
          </w:tcPr>
          <w:p>
            <w:r>
              <w:rPr>
                <w:sz w:val="17"/>
              </w:rPr>
              <w:t>1.0000</w:t>
            </w:r>
          </w:p>
        </w:tc>
        <w:tc>
          <w:tcPr>
            <w:tcW w:type="dxa" w:w="1040"/>
            <w:shd w:fill="FFFFFF"/>
          </w:tcPr>
          <w:p>
            <w:r>
              <w:rPr>
                <w:sz w:val="17"/>
              </w:rPr>
              <w:t>0.0518</w:t>
            </w:r>
          </w:p>
        </w:tc>
        <w:tc>
          <w:tcPr>
            <w:tcW w:type="dxa" w:w="1040"/>
            <w:shd w:fill="FFFFFF"/>
          </w:tcPr>
          <w:p>
            <w:r>
              <w:rPr>
                <w:sz w:val="17"/>
              </w:rPr>
              <w:t>0.6444</w:t>
            </w:r>
          </w:p>
        </w:tc>
      </w:tr>
      <w:tr>
        <w:tc>
          <w:tcPr>
            <w:tcW w:type="dxa" w:w="1040"/>
            <w:shd w:fill="F2F2F2"/>
          </w:tcPr>
          <w:p>
            <w:r>
              <w:rPr>
                <w:sz w:val="17"/>
              </w:rPr>
              <w:t>TotalHouseArea</w:t>
            </w:r>
          </w:p>
        </w:tc>
        <w:tc>
          <w:tcPr>
            <w:tcW w:type="dxa" w:w="1040"/>
            <w:shd w:fill="F2F2F2"/>
          </w:tcPr>
          <w:p>
            <w:r>
              <w:rPr>
                <w:sz w:val="17"/>
              </w:rPr>
              <w:t>2,550.95</w:t>
            </w:r>
          </w:p>
        </w:tc>
        <w:tc>
          <w:tcPr>
            <w:tcW w:type="dxa" w:w="1040"/>
            <w:shd w:fill="F2F2F2"/>
          </w:tcPr>
          <w:p>
            <w:r>
              <w:rPr>
                <w:sz w:val="17"/>
              </w:rPr>
              <w:t>805.25</w:t>
            </w:r>
          </w:p>
        </w:tc>
        <w:tc>
          <w:tcPr>
            <w:tcW w:type="dxa" w:w="1040"/>
            <w:shd w:fill="F2F2F2"/>
          </w:tcPr>
          <w:p>
            <w:r>
              <w:rPr>
                <w:sz w:val="17"/>
              </w:rPr>
              <w:t>0.1942</w:t>
            </w:r>
          </w:p>
        </w:tc>
        <w:tc>
          <w:tcPr>
            <w:tcW w:type="dxa" w:w="1040"/>
            <w:shd w:fill="F2F2F2"/>
          </w:tcPr>
          <w:p>
            <w:r>
              <w:rPr>
                <w:sz w:val="17"/>
              </w:rPr>
              <w:t>0.0705</w:t>
            </w:r>
          </w:p>
        </w:tc>
        <w:tc>
          <w:tcPr>
            <w:tcW w:type="dxa" w:w="1040"/>
            <w:shd w:fill="F2F2F2"/>
          </w:tcPr>
          <w:p>
            <w:r>
              <w:rPr>
                <w:sz w:val="17"/>
              </w:rPr>
              <w:t>0.0000</w:t>
            </w:r>
          </w:p>
        </w:tc>
        <w:tc>
          <w:tcPr>
            <w:tcW w:type="dxa" w:w="1040"/>
            <w:shd w:fill="F2F2F2"/>
          </w:tcPr>
          <w:p>
            <w:r>
              <w:rPr>
                <w:sz w:val="17"/>
              </w:rPr>
              <w:t>1.0000</w:t>
            </w:r>
          </w:p>
        </w:tc>
        <w:tc>
          <w:tcPr>
            <w:tcW w:type="dxa" w:w="1040"/>
            <w:shd w:fill="F2F2F2"/>
          </w:tcPr>
          <w:p>
            <w:r>
              <w:rPr>
                <w:sz w:val="17"/>
              </w:rPr>
              <w:t>0.0999</w:t>
            </w:r>
          </w:p>
        </w:tc>
        <w:tc>
          <w:tcPr>
            <w:tcW w:type="dxa" w:w="1040"/>
            <w:shd w:fill="F2F2F2"/>
          </w:tcPr>
          <w:p>
            <w:r>
              <w:rPr>
                <w:sz w:val="17"/>
              </w:rPr>
              <w:t>0.8128</w:t>
            </w:r>
          </w:p>
        </w:tc>
      </w:tr>
    </w:tbl>
    <w:p>
      <w:pPr>
        <w:spacing w:before="0" w:after="240" w:line="276" w:lineRule="auto"/>
      </w:pPr>
    </w:p>
    <w:p>
      <w:pPr>
        <w:keepNext/>
        <w:spacing w:before="240" w:after="120"/>
      </w:pPr>
      <w:r>
        <w:rPr>
          <w:rFonts w:ascii="Calibri" w:hAnsi="Calibri"/>
          <w:b/>
          <w:color w:val="1F4E79"/>
          <w:sz w:val="36"/>
        </w:rPr>
        <w:t>7. Categorical Encoding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Categorical variables were encoded based on their structural property: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• Ordinal Encoding: 10 quality ratings (e.g., Exter Qual, Kitchen Qual) were mapped to integer ranks (None:0, Po:1, Fa:2, TA:3, Gd:4, Ex:5) to preserve rank order.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• One-Hot Encoding: 33 nominal attributes (e.g., Neighborhood, House Style, MS Zoning) were expanded into binary dummy columns, creating 211 binary features without imposing false numeric ordering.</w:t>
      </w:r>
    </w:p>
    <w:p>
      <w:pPr>
        <w:keepNext/>
        <w:spacing w:before="240" w:after="120"/>
      </w:pPr>
      <w:r>
        <w:rPr>
          <w:rFonts w:ascii="Calibri" w:hAnsi="Calibri"/>
          <w:b/>
          <w:color w:val="1F4E79"/>
          <w:sz w:val="36"/>
        </w:rPr>
        <w:t>8. Final Feature-Engineered Dataset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The processed data was exported to Feature_Engineered_AmesHousing.csv. The output matrix consists of 2,930 rows and 293 columns, fully numerical, scaled, and encoded.</w:t>
      </w:r>
    </w:p>
    <w:p>
      <w:pPr>
        <w:keepNext/>
        <w:spacing w:before="240" w:after="120"/>
      </w:pPr>
      <w:r>
        <w:rPr>
          <w:rFonts w:ascii="Calibri" w:hAnsi="Calibri"/>
          <w:b/>
          <w:color w:val="1F4E79"/>
          <w:sz w:val="36"/>
        </w:rPr>
        <w:t>9. Key Findings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1. Domain Feature Value: New features like TotalHouseArea (r = +0.813) and HouseAge (r = -0.558) show stronger correlation with price than isolated raw variables.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2. Normalization Success: log1p transformation successfully reduced target skewness from +1.74 to +0.12.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3. Scaling Appropriateness: MinMaxScaler is suited for bounded neural networks, StandardScaler for linear models, and RobustScaler for outlier-prone spatial features.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4. Dimensional Expansion: One-hot encoding expanded dataset dimensions from 82 to 293 numerical columns.</w:t>
      </w:r>
    </w:p>
    <w:p>
      <w:pPr>
        <w:keepNext/>
        <w:spacing w:before="240" w:after="120"/>
      </w:pPr>
      <w:r>
        <w:rPr>
          <w:rFonts w:ascii="Calibri" w:hAnsi="Calibri"/>
          <w:b/>
          <w:color w:val="1F4E79"/>
          <w:sz w:val="36"/>
        </w:rPr>
        <w:t>10. Important Visualizations</w:t>
      </w:r>
    </w:p>
    <w:p>
      <w:r>
        <w:drawing>
          <wp:inline xmlns:a="http://schemas.openxmlformats.org/drawingml/2006/main" xmlns:pic="http://schemas.openxmlformats.org/drawingml/2006/picture">
            <wp:extent cx="5029200" cy="19343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ewness_Before_Af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34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10.1: SalePrice Distribution Before and After Log Transformation</w:t>
      </w:r>
    </w:p>
    <w:p>
      <w:r>
        <w:drawing>
          <wp:inline xmlns:a="http://schemas.openxmlformats.org/drawingml/2006/main" xmlns:pic="http://schemas.openxmlformats.org/drawingml/2006/picture">
            <wp:extent cx="5029200" cy="3771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ling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10.2: Visual Comparison of Feature Scaling Methods (Gr Liv Area)</w:t>
      </w:r>
    </w:p>
    <w:p>
      <w:pPr>
        <w:keepNext/>
        <w:spacing w:before="240" w:after="120"/>
      </w:pPr>
      <w:r>
        <w:rPr>
          <w:rFonts w:ascii="Calibri" w:hAnsi="Calibri"/>
          <w:b/>
          <w:color w:val="1F4E79"/>
          <w:sz w:val="36"/>
        </w:rPr>
        <w:t>11. Conclusion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Week 6 Feature Engineering successfully transformed the Ames Housing dataset into a high-dimensional, normalized numerical matrix. All categorical attributes are encoded, missing values remain zero, and scaling is validated. This dataset (Feature_Engineered_AmesHousing.csv) is now prepared for Week 7: Dimensionality Reduction – Feature Selection and PCA (note: full PCA is deferred to Week 7).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