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E79"/>
          <w:sz w:val="30"/>
        </w:rPr>
        <w:t>Data Science &amp; Visualization (24ADI204)</w:t>
      </w:r>
    </w:p>
    <w:p>
      <w:pPr>
        <w:jc w:val="center"/>
      </w:pPr>
      <w:r>
        <w:rPr>
          <w:rFonts w:ascii="Calibri" w:hAnsi="Calibri"/>
          <w:b/>
          <w:i w:val="0"/>
          <w:color w:val="1F4E79"/>
          <w:sz w:val="36"/>
        </w:rPr>
        <w:t>WEEK 7 REPORT</w:t>
        <w:br/>
        <w:t>Dimensionality Reduction: Feature Selection and PCA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2"/>
        </w:rPr>
        <w:t>Unit 4 – Syllabus Mapping | Academic Year 2026</w:t>
        <w:br/>
        <w:t>Team 8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Course Code &amp; Title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24ADI204 – Data Science &amp; Visualization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Milestone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Week 7: Dimensionality Reduction &amp; PCA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Syllabus Unit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Unit 4 (Dimensionality Reduction &amp; Feature Selection)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Dataset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Ames Housing Dataset (Iowa, USA)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Team Members (Team 8)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Tarun (25BAD123), Santhosh P (25BAD101), Siva Chandran (25BAD108), Santhosh M (25BAD100)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1. Introduction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This Week 7 report documents the practical execution and analytical findings for Dimensionality Reduction on the Ames Housing dataset, mapped directly to Unit 4 of the 24ADI204 course syllabus. After completing thorough data cleaning (Weeks 1–3), exploratory analysis (Weeks 4–5), and feature engineering, scaling, and categorical encoding (Week 6), the feature space expanded into a high-dimensional representation of 293 total columns. While feature engineering created expressive representations, high dimensionality introduces risks of overfitting, the curse of dimensionality, computational inefficiency, and high multicollinearity. Week 7 addresses these challenges by implementing systematic Feature Selection algorithms alongside unsupervised Principal Component Analysis (PCA) and thorough variance visualization.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2. Dataset Description &amp; Preprocessing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primary input dataset for this milestone is Feature_Engineered_AmesHousing.csv (produced in Week 6), containing 2,930 observations and 293 attributes. The preprocessing steps prior to dimensionality reduction include: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1. Identifier Separation: </w:t>
      </w:r>
      <w:r>
        <w:rPr>
          <w:rFonts w:ascii="Calibri" w:hAnsi="Calibri"/>
          <w:b w:val="0"/>
          <w:i w:val="0"/>
          <w:color w:val="262626"/>
          <w:sz w:val="21"/>
        </w:rPr>
        <w:t>Removal of non-predictive administrative identifiers: Order and PID were isolated to prevent false spurious associations.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2. Target Isolation: </w:t>
      </w:r>
      <w:r>
        <w:rPr>
          <w:rFonts w:ascii="Calibri" w:hAnsi="Calibri"/>
          <w:b w:val="0"/>
          <w:i w:val="0"/>
          <w:color w:val="262626"/>
          <w:sz w:val="21"/>
        </w:rPr>
        <w:t>Separation of primary target variables: SalePrice (raw) and SalePrice_Log (log1p transformed).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3. Redundant Column Filtering: </w:t>
      </w:r>
      <w:r>
        <w:rPr>
          <w:rFonts w:ascii="Calibri" w:hAnsi="Calibri"/>
          <w:b w:val="0"/>
          <w:i w:val="0"/>
          <w:color w:val="262626"/>
          <w:sz w:val="21"/>
        </w:rPr>
        <w:t>Removal of the 10 redundant raw categorical text columns (e.g., Exter Qual, Kitchen Qual) whose integer-encoded variants (_Enc) were generated during Week 6 ordinal encoding.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4. Numeric Matrix Verification: </w:t>
      </w:r>
      <w:r>
        <w:rPr>
          <w:rFonts w:ascii="Calibri" w:hAnsi="Calibri"/>
          <w:b w:val="0"/>
          <w:i w:val="0"/>
          <w:color w:val="262626"/>
          <w:sz w:val="21"/>
        </w:rPr>
        <w:t>Conversion of all remaining 279 feature columns into standard floating-point numerical vectors with zero remaining missing values.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3. Feature Selection Methodology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Feature selection reduces dimensionality by identifying and keeping only the most informative subset of original features, preserving domain interpretability. Four complementary selection strategies were implemented: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62626"/>
          <w:sz w:val="23"/>
        </w:rPr>
        <w:t>3.1 Low-Variance Threshold Filter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Sparse one-hot dummy variables where over 99% of observations belong to a single category (variance &lt; 0.01) provide negligible discriminative value. Applying VarianceThreshold(threshold=0.01) dropped 88 low-variance columns while retaining 191 active predictive features, pruning 31.5% of the initial feature pool without sacrificing essential continuous attributes.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62626"/>
          <w:sz w:val="23"/>
        </w:rPr>
        <w:t>3.2 Correlation Analysis &amp; Multicollinearity Pruning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Pearson correlation with SalePrice_Log identified the top positive individual predictors: Overall Qual (r = 0.8256), TotalHouseArea (r = 0.7794), Gr Liv Area (r = 0.6959), Exter Qual_Enc (r = 0.6848), Kitchen Qual_Enc (r = 0.6750), Garage Cars (r = 0.6749), and TotalBathrooms (r = 0.6558). Furthermore, severe collinear pairs (such as Gr Liv Area vs. TotalHouseArea, or Garage Cars vs. Garage Area with r &gt; 0.88) were evaluated to eliminate redundant predictor copies.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62626"/>
          <w:sz w:val="23"/>
        </w:rPr>
        <w:t>3.3 Univariate Feature Selection (ANOVA F-Regression)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Using SelectKBest with f_regression, each candidate feature was scored based on the F-statistic of its linear relationship with the log target. Continuous physical dimensions and composite quality scores achieved dominant F-scores exceeding 5,000.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62626"/>
          <w:sz w:val="23"/>
        </w:rPr>
        <w:t>3.4 Model-Based Importance (Random Forest Regressor)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A Random Forest ensemble (100 estimators) was fitted to capture non-linear relationships and feature interactions. Gini impurity importances confirmed that Overall Qual (49.73%) and TotalHouseArea (28.05%) account for over 77% of total tree splitting power, followed by TotalBathrooms, Gr Liv Area, Lot Area, and Garage Area.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62626"/>
          <w:sz w:val="23"/>
        </w:rPr>
        <w:t>3.5 Curated Selected Feature Matrix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top 40 non-collinear features from Random Forest importance and F-regression were exported into Selected_Features_AmesHousing.csv (2,930 rows x 44 columns including identifiers and target values).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4. Principal Component Analysis (PCA)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Principal Component Analysis is an unsupervised linear transformation technique that maps the 279-dimensional feature space onto an orthogonal set of principal components ordered by the variance they capture.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62626"/>
          <w:sz w:val="23"/>
        </w:rPr>
        <w:t>4.1 Mathematical Foundation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Given standardized data matrix Z with zero mean and unit variance, PCA performs eigenvalue decomposition on the sample covariance matrix C = (1 / n) * Z^T * Z. The eigenvectors w_i determine the principal directions, and the eigenvalues lambda_i represent the variance explained by each component. Each principal component PC_i is a linear combination of all original features: PC_i = Z * w_i.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262626"/>
          <w:sz w:val="23"/>
        </w:rPr>
        <w:t>4.2 Mandatory Feature Standardization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StandardScaler was applied to transform all 279 features into mean = 0.0 and standard deviation = 1.0. Without standardization, large-scale measurements such as Lot Area (ranging into tens of thousands of square feet) would arbitrarily dominate eigenvector calculation over compact scales like overall rating (1–10) or bathroom count (1–6).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5. Visualizing Variance (Unit 4 Core Requirement)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To determine the optimal number of principal components to retain, Scree plot analysis and cumulative variance thresholds were evaluated: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• Individual Component Breakdown: </w:t>
      </w:r>
      <w:r>
        <w:rPr>
          <w:rFonts w:ascii="Calibri" w:hAnsi="Calibri"/>
          <w:b w:val="0"/>
          <w:i w:val="0"/>
          <w:color w:val="262626"/>
          <w:sz w:val="21"/>
        </w:rPr>
        <w:t>PC1 accounts for 6.90% of total variance, PC2 captures 2.89%, and PC3 captures 2.37%. The top two components jointly capture 9.79% of dataset variance.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• Elbow Criterion: </w:t>
      </w:r>
      <w:r>
        <w:rPr>
          <w:rFonts w:ascii="Calibri" w:hAnsi="Calibri"/>
          <w:b w:val="0"/>
          <w:i w:val="0"/>
          <w:color w:val="262626"/>
          <w:sz w:val="21"/>
        </w:rPr>
        <w:t>The Scree plot displays a visible elbow between PC1 and PC5, indicating that the most potent structural variance is concentrated in the earliest projection axes.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• 80% Retention Threshold: </w:t>
      </w:r>
      <w:r>
        <w:rPr>
          <w:rFonts w:ascii="Calibri" w:hAnsi="Calibri"/>
          <w:b w:val="0"/>
          <w:i w:val="0"/>
          <w:color w:val="262626"/>
          <w:sz w:val="21"/>
        </w:rPr>
        <w:t>80% of total variance is preserved using 117 principal components (58.1% dimensionality compression).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• 90% Retention Threshold: </w:t>
      </w:r>
      <w:r>
        <w:rPr>
          <w:rFonts w:ascii="Calibri" w:hAnsi="Calibri"/>
          <w:b w:val="0"/>
          <w:i w:val="0"/>
          <w:color w:val="262626"/>
          <w:sz w:val="21"/>
        </w:rPr>
        <w:t>90% of total variance is preserved using 152 principal components (45.5% compression).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• 95% Retention Threshold: </w:t>
      </w:r>
      <w:r>
        <w:rPr>
          <w:rFonts w:ascii="Calibri" w:hAnsi="Calibri"/>
          <w:b w:val="0"/>
          <w:i w:val="0"/>
          <w:color w:val="262626"/>
          <w:sz w:val="21"/>
        </w:rPr>
        <w:t>95% of total variance is preserved using 175 principal components (37.3% compression from 279 to 175).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6. 2D Projection &amp; Principal Component Interpretation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Projecting the 2,930 records onto the first two principal axes provides geometric insight into property valuation distributions: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• PC1 Interpretation: </w:t>
      </w:r>
      <w:r>
        <w:rPr>
          <w:rFonts w:ascii="Calibri" w:hAnsi="Calibri"/>
          <w:b w:val="0"/>
          <w:i w:val="0"/>
          <w:color w:val="262626"/>
          <w:sz w:val="21"/>
        </w:rPr>
        <w:t>Loadings show positive weights for TotalHouseArea (+0.182), Overall Qual (+0.174), Gr Liv Area (+0.168), TotalBathrooms (+0.155), and negative weight for HouseAge (-0.141). PC1 serves as an overall 'Size, Modernity &amp; Construction Quality' index.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• PC2 Interpretation: </w:t>
      </w:r>
      <w:r>
        <w:rPr>
          <w:rFonts w:ascii="Calibri" w:hAnsi="Calibri"/>
          <w:b w:val="0"/>
          <w:i w:val="0"/>
          <w:color w:val="262626"/>
          <w:sz w:val="21"/>
        </w:rPr>
        <w:t>Loadings feature high positive weights on MS SubClass, Bldg Type, and House Style, differentiating multi-story townhouses from traditional single-family ranches. PC2 captures 'Architectural Structure &amp; Property Typology'.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• Continuous Price Separation: </w:t>
      </w:r>
      <w:r>
        <w:rPr>
          <w:rFonts w:ascii="Calibri" w:hAnsi="Calibri"/>
          <w:b w:val="0"/>
          <w:i w:val="0"/>
          <w:color w:val="262626"/>
          <w:sz w:val="21"/>
        </w:rPr>
        <w:t>When scatter points in the PC1 vs. PC2 plane are shaded by SalePrice, a continuous, coherent color gradient emerges along the PC1 axis, verifying that the first principal component directly separates luxury properties from entry-level residences.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7. Comparative Evaluation: Feature Selection vs. PCA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table below summarizes the trade-offs between supervised Feature Selection and unsupervised PCA dimensionality reduction on the Ames Housing dataset: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9EEF4"/>
          </w:tcPr>
          <w:p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Dimension / Attribute</w:t>
            </w:r>
          </w:p>
        </w:tc>
        <w:tc>
          <w:tcPr>
            <w:tcW w:type="dxa" w:w="2340"/>
            <w:shd w:fill="E9EEF4"/>
          </w:tcPr>
          <w:p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Initial Features</w:t>
            </w:r>
          </w:p>
        </w:tc>
        <w:tc>
          <w:tcPr>
            <w:tcW w:type="dxa" w:w="2340"/>
            <w:shd w:fill="E9EEF4"/>
          </w:tcPr>
          <w:p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Feature Selection (Curated)</w:t>
            </w:r>
          </w:p>
        </w:tc>
        <w:tc>
          <w:tcPr>
            <w:tcW w:type="dxa" w:w="2340"/>
            <w:shd w:fill="E9EEF4"/>
          </w:tcPr>
          <w:p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PCA (95% Variance)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Number of Predictors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279 numeric features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40 selected features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175 principal components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Dimensionality Reduction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0% (Baseline)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85.7% reduction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37.3% reduction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Interpretability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High (Direct original terms)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Very High (Preserves domain names)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Low (Linear combinations of 279 vars)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Multicollinearity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High pairwise collinearity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Substantially reduced via pruning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Zero (Orthogonal uncorrelated PCs)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Information Retained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100% of raw features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Primary drivers of target variance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95.0% of total feature variance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Calibri" w:hAnsi="Calibri"/>
                <w:b/>
                <w:i w:val="0"/>
                <w:color w:val="262626"/>
                <w:sz w:val="18"/>
              </w:rPr>
              <w:t>Recommended Downstream Use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Feature exploration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Interpretable regression / Linear models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Regularized regression, SVD, Clustering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8. Important Visualizations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following figures illustrate the variance distributions, feature importance profiles, and geometric projections generated during Week 7: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Explained_Sc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1: Scree Plot and Cumulative Explained Variance Curve (Unit 4 Variance Visualization)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2D_Proj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2: 2D Principal Component Projection (PC1 vs. PC2) Colored by Property SalePrice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3: Feature Importance Comparison (Random Forest Gini vs. Univariate F-Regression)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Reduc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4: Correlation Matrix Heatmap Before and After Feature Selection Pruning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Loadings_Bi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95959"/>
          <w:sz w:val="18"/>
        </w:rPr>
        <w:t>Figure 5: Principal Component Loadings on PC1 and PC2 (Eigenvector Contributions)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9. Final Saved Datasets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outputs of Week 7 were exported as reproducible CSV datasets in the repository: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1. Selected_Features_AmesHousing.csv: </w:t>
      </w:r>
      <w:r>
        <w:rPr>
          <w:rFonts w:ascii="Calibri" w:hAnsi="Calibri"/>
          <w:b w:val="0"/>
          <w:i w:val="0"/>
          <w:color w:val="262626"/>
          <w:sz w:val="21"/>
        </w:rPr>
        <w:t>Contains 2,930 rows and 44 columns (Order, PID, 40 top curated features, SalePrice, SalePrice_Log). Optimally suited for transparent, interpretable regression modeling.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262626"/>
          <w:sz w:val="21"/>
        </w:rPr>
        <w:t xml:space="preserve">2. PCA_Transformed_AmesHousing.csv: </w:t>
      </w:r>
      <w:r>
        <w:rPr>
          <w:rFonts w:ascii="Calibri" w:hAnsi="Calibri"/>
          <w:b w:val="0"/>
          <w:i w:val="0"/>
          <w:color w:val="262626"/>
          <w:sz w:val="21"/>
        </w:rPr>
        <w:t>Contains 2,930 rows and 179 columns (Order, PID, 175 orthogonal PCs preserving 95% variance, SalePrice, SalePrice_Log). Guarantees zero multicollinearity for high-capacity learning algorithms.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F4E79"/>
          <w:sz w:val="26"/>
        </w:rPr>
        <w:t>10. Conclusion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Week 7 successfully accomplished the Dimensionality Reduction milestone for Unit 4 of the 24ADI204 curriculum. Both supervised feature selection and unsupervised Principal Component Analysis were methodically applied to the feature-engineered Ames Housing dataset. The variance structure was visualized via Scree and cumulative variance curves, identifying optimal reduction cutoffs (80%, 90%, 95%). The resulting datasets eliminate severe collinearity, decrease computational burden, and establish robust feature spaces ready for model training in subsequent coursework milestones.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