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EFC68" w14:textId="30EEC320" w:rsidR="00F303C9" w:rsidRPr="00F303C9" w:rsidRDefault="00F303C9" w:rsidP="00F303C9">
      <w:pPr>
        <w:jc w:val="center"/>
        <w:rPr>
          <w:sz w:val="36"/>
          <w:szCs w:val="36"/>
        </w:rPr>
      </w:pPr>
      <w:proofErr w:type="spellStart"/>
      <w:r w:rsidRPr="00F303C9">
        <w:rPr>
          <w:sz w:val="36"/>
          <w:szCs w:val="36"/>
        </w:rPr>
        <w:t>Literaturrecherche</w:t>
      </w:r>
      <w:proofErr w:type="spellEnd"/>
      <w:r w:rsidRPr="00F303C9">
        <w:rPr>
          <w:sz w:val="36"/>
          <w:szCs w:val="36"/>
        </w:rPr>
        <w:t xml:space="preserve"> </w:t>
      </w:r>
      <w:proofErr w:type="spellStart"/>
      <w:r w:rsidRPr="00F303C9">
        <w:rPr>
          <w:sz w:val="36"/>
          <w:szCs w:val="36"/>
        </w:rPr>
        <w:t>Spanien</w:t>
      </w:r>
      <w:proofErr w:type="spellEnd"/>
    </w:p>
    <w:p w14:paraId="5D055730" w14:textId="3BD5C587" w:rsidR="00F303C9" w:rsidRPr="00F303C9" w:rsidRDefault="00F303C9" w:rsidP="00F303C9">
      <w:pPr>
        <w:jc w:val="center"/>
      </w:pPr>
      <w:proofErr w:type="spellStart"/>
      <w:r w:rsidRPr="00F303C9">
        <w:t>Alois</w:t>
      </w:r>
      <w:proofErr w:type="spellEnd"/>
      <w:r w:rsidRPr="00F303C9">
        <w:t xml:space="preserve"> Braid</w:t>
      </w:r>
    </w:p>
    <w:p w14:paraId="52C071AC" w14:textId="1307910E" w:rsidR="00F303C9" w:rsidRPr="00F303C9" w:rsidRDefault="00F303C9" w:rsidP="00F303C9">
      <w:pPr>
        <w:jc w:val="center"/>
      </w:pPr>
      <w:r w:rsidRPr="00F303C9">
        <w:t xml:space="preserve">Barbara </w:t>
      </w:r>
      <w:proofErr w:type="spellStart"/>
      <w:r w:rsidRPr="00F303C9">
        <w:t>Stacherl</w:t>
      </w:r>
      <w:proofErr w:type="spellEnd"/>
    </w:p>
    <w:p w14:paraId="6B85D448" w14:textId="77777777" w:rsidR="00F303C9" w:rsidRPr="00F303C9" w:rsidRDefault="00F303C9" w:rsidP="00D62B67">
      <w:pPr>
        <w:jc w:val="both"/>
      </w:pPr>
    </w:p>
    <w:p w14:paraId="082DB855" w14:textId="77777777" w:rsidR="00F303C9" w:rsidRDefault="00F303C9" w:rsidP="00D62B67">
      <w:pPr>
        <w:jc w:val="both"/>
      </w:pPr>
    </w:p>
    <w:p w14:paraId="2D3063D5" w14:textId="0AA10223" w:rsidR="001E295B" w:rsidRDefault="007F5F05" w:rsidP="00D62B67">
      <w:pPr>
        <w:pStyle w:val="Listenabsatz"/>
        <w:numPr>
          <w:ilvl w:val="0"/>
          <w:numId w:val="1"/>
        </w:numPr>
        <w:jc w:val="both"/>
      </w:pPr>
      <w:r>
        <w:t xml:space="preserve">Eva </w:t>
      </w:r>
      <w:proofErr w:type="spellStart"/>
      <w:r>
        <w:t>Sierminska</w:t>
      </w:r>
      <w:proofErr w:type="spellEnd"/>
      <w:r>
        <w:t xml:space="preserve">, </w:t>
      </w:r>
      <w:proofErr w:type="spellStart"/>
      <w:r>
        <w:t>Marton</w:t>
      </w:r>
      <w:proofErr w:type="spellEnd"/>
      <w:r>
        <w:t xml:space="preserve"> </w:t>
      </w:r>
      <w:proofErr w:type="spellStart"/>
      <w:r>
        <w:t>Medgyesi</w:t>
      </w:r>
      <w:proofErr w:type="spellEnd"/>
      <w:r>
        <w:t xml:space="preserve"> (2013):</w:t>
      </w:r>
      <w:r w:rsidR="00D62B67">
        <w:t xml:space="preserve"> </w:t>
      </w:r>
      <w:r w:rsidR="007D03CC" w:rsidRPr="001E295B">
        <w:t>The distribution of wealth</w:t>
      </w:r>
      <w:r w:rsidR="00570254" w:rsidRPr="001E295B">
        <w:t xml:space="preserve"> between households</w:t>
      </w:r>
      <w:r w:rsidR="00F17D91" w:rsidRPr="001E295B">
        <w:t xml:space="preserve"> – Research Note </w:t>
      </w:r>
    </w:p>
    <w:p w14:paraId="3472BA73" w14:textId="77777777" w:rsidR="00E4717A" w:rsidRDefault="00E4717A" w:rsidP="00D62B67">
      <w:pPr>
        <w:jc w:val="both"/>
      </w:pPr>
    </w:p>
    <w:p w14:paraId="30679915" w14:textId="77777777" w:rsidR="00E4717A" w:rsidRDefault="00E4717A" w:rsidP="00D62B67">
      <w:pPr>
        <w:jc w:val="both"/>
        <w:rPr>
          <w:lang w:val="de-AT"/>
        </w:rPr>
      </w:pPr>
      <w:r w:rsidRPr="00E4717A">
        <w:rPr>
          <w:lang w:val="de-AT"/>
        </w:rPr>
        <w:t xml:space="preserve">Die Angeführte Quelle zeigt einen Report der über Ungleichheiten berichtet. Wichtig für unser Projekt ist, dass hier auf die </w:t>
      </w:r>
      <w:proofErr w:type="spellStart"/>
      <w:r w:rsidRPr="00E4717A">
        <w:rPr>
          <w:lang w:val="de-AT"/>
        </w:rPr>
        <w:t>Methology</w:t>
      </w:r>
      <w:proofErr w:type="spellEnd"/>
      <w:r w:rsidRPr="00E4717A">
        <w:rPr>
          <w:lang w:val="de-AT"/>
        </w:rPr>
        <w:t xml:space="preserve"> gut eingegangen wird und der EU-SILC Datensatz mit dem </w:t>
      </w:r>
      <w:r>
        <w:rPr>
          <w:lang w:val="de-AT"/>
        </w:rPr>
        <w:t xml:space="preserve">HFCS Survey </w:t>
      </w:r>
      <w:proofErr w:type="spellStart"/>
      <w:r>
        <w:rPr>
          <w:lang w:val="de-AT"/>
        </w:rPr>
        <w:t>gematched</w:t>
      </w:r>
      <w:proofErr w:type="spellEnd"/>
      <w:r>
        <w:rPr>
          <w:lang w:val="de-AT"/>
        </w:rPr>
        <w:t xml:space="preserve"> wird. Es wird auf Probleme beim zusammenführen der beiden Datensätze eingegangen, falls wir in Erwägung ziehen das zu machen. </w:t>
      </w:r>
      <w:r w:rsidR="003B5D11">
        <w:rPr>
          <w:lang w:val="de-AT"/>
        </w:rPr>
        <w:t>Auch wird darauf hingewiesen welche Jahre man zusammenführt und das so einfache Dinge wie die „richtigen“ Löhne zu verschmelzen gar nicht so einfach ist, wenn die Daten in falschen Einheiten angegeben sind (Brutto- mit Nettolöhnen vergleichen) oder wie die Samples gesammelt werden.</w:t>
      </w:r>
    </w:p>
    <w:p w14:paraId="1168832A" w14:textId="77777777" w:rsidR="003B5D11" w:rsidRDefault="003B5D11" w:rsidP="00D62B67">
      <w:pPr>
        <w:jc w:val="both"/>
        <w:rPr>
          <w:lang w:val="de-AT"/>
        </w:rPr>
      </w:pPr>
    </w:p>
    <w:p w14:paraId="717C8F23" w14:textId="77777777" w:rsidR="007F5F05" w:rsidRPr="007F5F05" w:rsidRDefault="00077987" w:rsidP="00D62B67">
      <w:pPr>
        <w:pStyle w:val="Listenabsatz"/>
        <w:numPr>
          <w:ilvl w:val="0"/>
          <w:numId w:val="1"/>
        </w:numPr>
        <w:jc w:val="both"/>
        <w:rPr>
          <w:lang w:val="de-DE"/>
        </w:rPr>
      </w:pPr>
      <w:r w:rsidRPr="00077987">
        <w:rPr>
          <w:lang w:val="de-AT"/>
        </w:rPr>
        <w:t xml:space="preserve">Facundo </w:t>
      </w:r>
      <w:proofErr w:type="spellStart"/>
      <w:r w:rsidRPr="00077987">
        <w:rPr>
          <w:lang w:val="de-AT"/>
        </w:rPr>
        <w:t>Alvaredo</w:t>
      </w:r>
      <w:proofErr w:type="spellEnd"/>
      <w:r w:rsidRPr="00077987">
        <w:rPr>
          <w:lang w:val="de-AT"/>
        </w:rPr>
        <w:t xml:space="preserve">, Emmanuel </w:t>
      </w:r>
      <w:proofErr w:type="spellStart"/>
      <w:r w:rsidRPr="00077987">
        <w:rPr>
          <w:lang w:val="de-AT"/>
        </w:rPr>
        <w:t>Saez</w:t>
      </w:r>
      <w:proofErr w:type="spellEnd"/>
      <w:r w:rsidRPr="00077987">
        <w:rPr>
          <w:lang w:val="de-AT"/>
        </w:rPr>
        <w:t xml:space="preserve"> (2009): Income </w:t>
      </w:r>
      <w:proofErr w:type="spellStart"/>
      <w:r w:rsidRPr="00077987">
        <w:rPr>
          <w:lang w:val="de-AT"/>
        </w:rPr>
        <w:t>and</w:t>
      </w:r>
      <w:proofErr w:type="spellEnd"/>
      <w:r w:rsidRPr="00077987">
        <w:rPr>
          <w:lang w:val="de-AT"/>
        </w:rPr>
        <w:t xml:space="preserve"> </w:t>
      </w:r>
      <w:proofErr w:type="spellStart"/>
      <w:r w:rsidRPr="00077987">
        <w:rPr>
          <w:lang w:val="de-AT"/>
        </w:rPr>
        <w:t>wealth</w:t>
      </w:r>
      <w:proofErr w:type="spellEnd"/>
      <w:r w:rsidRPr="00077987">
        <w:rPr>
          <w:lang w:val="de-AT"/>
        </w:rPr>
        <w:t xml:space="preserve"> </w:t>
      </w:r>
      <w:proofErr w:type="spellStart"/>
      <w:r w:rsidRPr="00077987">
        <w:rPr>
          <w:lang w:val="de-AT"/>
        </w:rPr>
        <w:t>concentration</w:t>
      </w:r>
      <w:proofErr w:type="spellEnd"/>
      <w:r w:rsidRPr="00077987">
        <w:rPr>
          <w:lang w:val="de-AT"/>
        </w:rPr>
        <w:t xml:space="preserve"> in </w:t>
      </w:r>
      <w:proofErr w:type="spellStart"/>
      <w:r w:rsidRPr="00077987">
        <w:rPr>
          <w:lang w:val="de-AT"/>
        </w:rPr>
        <w:t>spain</w:t>
      </w:r>
      <w:proofErr w:type="spellEnd"/>
      <w:r w:rsidRPr="00077987">
        <w:rPr>
          <w:lang w:val="de-AT"/>
        </w:rPr>
        <w:t xml:space="preserve"> </w:t>
      </w:r>
      <w:proofErr w:type="spellStart"/>
      <w:r w:rsidRPr="00077987">
        <w:rPr>
          <w:lang w:val="de-AT"/>
        </w:rPr>
        <w:t>from</w:t>
      </w:r>
      <w:proofErr w:type="spellEnd"/>
      <w:r w:rsidRPr="00077987">
        <w:rPr>
          <w:lang w:val="de-AT"/>
        </w:rPr>
        <w:t xml:space="preserve"> a </w:t>
      </w:r>
      <w:proofErr w:type="spellStart"/>
      <w:r w:rsidRPr="00077987">
        <w:rPr>
          <w:lang w:val="de-AT"/>
        </w:rPr>
        <w:t>historical</w:t>
      </w:r>
      <w:proofErr w:type="spellEnd"/>
      <w:r w:rsidRPr="00077987">
        <w:rPr>
          <w:lang w:val="de-AT"/>
        </w:rPr>
        <w:t xml:space="preserve"> </w:t>
      </w:r>
      <w:proofErr w:type="spellStart"/>
      <w:r w:rsidRPr="00077987">
        <w:rPr>
          <w:lang w:val="de-AT"/>
        </w:rPr>
        <w:t>and</w:t>
      </w:r>
      <w:proofErr w:type="spellEnd"/>
      <w:r w:rsidRPr="00077987">
        <w:rPr>
          <w:lang w:val="de-AT"/>
        </w:rPr>
        <w:t xml:space="preserve"> </w:t>
      </w:r>
      <w:proofErr w:type="spellStart"/>
      <w:r w:rsidRPr="00077987">
        <w:rPr>
          <w:lang w:val="de-AT"/>
        </w:rPr>
        <w:t>fiscal</w:t>
      </w:r>
      <w:proofErr w:type="spellEnd"/>
      <w:r w:rsidRPr="00077987">
        <w:rPr>
          <w:lang w:val="de-AT"/>
        </w:rPr>
        <w:t xml:space="preserve"> </w:t>
      </w:r>
      <w:proofErr w:type="spellStart"/>
      <w:r w:rsidRPr="00077987">
        <w:rPr>
          <w:lang w:val="de-AT"/>
        </w:rPr>
        <w:t>perspective</w:t>
      </w:r>
      <w:proofErr w:type="spellEnd"/>
      <w:r>
        <w:rPr>
          <w:lang w:val="de-AT"/>
        </w:rPr>
        <w:t xml:space="preserve">. Journal oft he European </w:t>
      </w:r>
      <w:proofErr w:type="spellStart"/>
      <w:r>
        <w:rPr>
          <w:lang w:val="de-AT"/>
        </w:rPr>
        <w:t>Economic</w:t>
      </w:r>
      <w:proofErr w:type="spellEnd"/>
      <w:r>
        <w:rPr>
          <w:lang w:val="de-AT"/>
        </w:rPr>
        <w:t xml:space="preserve"> </w:t>
      </w:r>
      <w:proofErr w:type="spellStart"/>
      <w:r>
        <w:rPr>
          <w:lang w:val="de-AT"/>
        </w:rPr>
        <w:t>Association</w:t>
      </w:r>
      <w:proofErr w:type="spellEnd"/>
      <w:r>
        <w:rPr>
          <w:lang w:val="de-AT"/>
        </w:rPr>
        <w:t>: 1140-1167</w:t>
      </w:r>
    </w:p>
    <w:p w14:paraId="423EEC7B" w14:textId="77777777" w:rsidR="00D62B67" w:rsidRDefault="00D62B67" w:rsidP="00D62B67">
      <w:pPr>
        <w:jc w:val="both"/>
        <w:rPr>
          <w:lang w:val="de-DE"/>
        </w:rPr>
      </w:pPr>
    </w:p>
    <w:p w14:paraId="528C2A59" w14:textId="77777777" w:rsidR="00077987" w:rsidRDefault="00077987" w:rsidP="00D62B67">
      <w:pPr>
        <w:jc w:val="both"/>
        <w:rPr>
          <w:lang w:val="de-DE"/>
        </w:rPr>
      </w:pPr>
      <w:r>
        <w:rPr>
          <w:lang w:val="de-DE"/>
        </w:rPr>
        <w:t xml:space="preserve">Wie wird Wohlstand in Spanien assoziiert ist es rein ein Land, in </w:t>
      </w:r>
      <w:proofErr w:type="gramStart"/>
      <w:r>
        <w:rPr>
          <w:lang w:val="de-DE"/>
        </w:rPr>
        <w:t>dem Immobilien</w:t>
      </w:r>
      <w:proofErr w:type="gramEnd"/>
      <w:r>
        <w:rPr>
          <w:lang w:val="de-DE"/>
        </w:rPr>
        <w:t xml:space="preserve"> oder der Lohn für Arbeit oder doch der Kapitalertrag aus Finanzprodukten wie Aktien. In diesem Paper wird darauf eingegangen um. Mit welchen Steuern wurde das Land in den letzten Jahren konfrontiert, gibt es Steuererleichterungen die nur für bestimmte Gruppen wirken, sind das mögliche Gründe die unsere Ergebnisse verzerren? Steuervermeidung die ebenso die Daten falsch interpretieren lässt werden hier abgedeckt.</w:t>
      </w:r>
    </w:p>
    <w:p w14:paraId="66418341" w14:textId="77777777" w:rsidR="00077987" w:rsidRDefault="00077987" w:rsidP="00D62B67">
      <w:pPr>
        <w:jc w:val="both"/>
        <w:rPr>
          <w:lang w:val="de-DE"/>
        </w:rPr>
      </w:pPr>
    </w:p>
    <w:p w14:paraId="7A55362B" w14:textId="77777777" w:rsidR="007F5F05" w:rsidRDefault="007F5F05" w:rsidP="00D62B67">
      <w:pPr>
        <w:pStyle w:val="Listenabsatz"/>
        <w:numPr>
          <w:ilvl w:val="0"/>
          <w:numId w:val="1"/>
        </w:numPr>
        <w:jc w:val="both"/>
        <w:rPr>
          <w:lang w:val="de-DE"/>
        </w:rPr>
      </w:pPr>
      <w:r>
        <w:rPr>
          <w:lang w:val="de-DE"/>
        </w:rPr>
        <w:t xml:space="preserve">Miguel </w:t>
      </w:r>
      <w:proofErr w:type="spellStart"/>
      <w:r>
        <w:rPr>
          <w:lang w:val="de-DE"/>
        </w:rPr>
        <w:t>Artola</w:t>
      </w:r>
      <w:proofErr w:type="spellEnd"/>
      <w:r>
        <w:rPr>
          <w:lang w:val="de-DE"/>
        </w:rPr>
        <w:t xml:space="preserve"> Blanco, Luis E. </w:t>
      </w:r>
      <w:proofErr w:type="spellStart"/>
      <w:r>
        <w:rPr>
          <w:lang w:val="de-DE"/>
        </w:rPr>
        <w:t>Bauluz</w:t>
      </w:r>
      <w:proofErr w:type="spellEnd"/>
      <w:r>
        <w:rPr>
          <w:lang w:val="de-DE"/>
        </w:rPr>
        <w:t>, Clara Martinez-</w:t>
      </w:r>
      <w:proofErr w:type="spellStart"/>
      <w:r>
        <w:rPr>
          <w:lang w:val="de-DE"/>
        </w:rPr>
        <w:t>Toledano</w:t>
      </w:r>
      <w:proofErr w:type="spellEnd"/>
      <w:r>
        <w:rPr>
          <w:lang w:val="de-DE"/>
        </w:rPr>
        <w:t xml:space="preserve"> (2018</w:t>
      </w:r>
      <w:proofErr w:type="gramStart"/>
      <w:r>
        <w:rPr>
          <w:lang w:val="de-DE"/>
        </w:rPr>
        <w:t>).</w:t>
      </w:r>
      <w:proofErr w:type="spellStart"/>
      <w:r>
        <w:rPr>
          <w:lang w:val="de-DE"/>
        </w:rPr>
        <w:t>Wealth</w:t>
      </w:r>
      <w:proofErr w:type="spellEnd"/>
      <w:proofErr w:type="gramEnd"/>
      <w:r>
        <w:rPr>
          <w:lang w:val="de-DE"/>
        </w:rPr>
        <w:t xml:space="preserve"> in Spain, 1900 – 2014 A Country </w:t>
      </w:r>
      <w:proofErr w:type="spellStart"/>
      <w:r>
        <w:rPr>
          <w:lang w:val="de-DE"/>
        </w:rPr>
        <w:t>of</w:t>
      </w:r>
      <w:proofErr w:type="spellEnd"/>
      <w:r>
        <w:rPr>
          <w:lang w:val="de-DE"/>
        </w:rPr>
        <w:t xml:space="preserve"> </w:t>
      </w:r>
      <w:proofErr w:type="spellStart"/>
      <w:r>
        <w:rPr>
          <w:lang w:val="de-DE"/>
        </w:rPr>
        <w:t>two</w:t>
      </w:r>
      <w:proofErr w:type="spellEnd"/>
      <w:r>
        <w:rPr>
          <w:lang w:val="de-DE"/>
        </w:rPr>
        <w:t xml:space="preserve"> </w:t>
      </w:r>
      <w:proofErr w:type="spellStart"/>
      <w:r>
        <w:rPr>
          <w:lang w:val="de-DE"/>
        </w:rPr>
        <w:t>lands</w:t>
      </w:r>
      <w:proofErr w:type="spellEnd"/>
      <w:r>
        <w:rPr>
          <w:lang w:val="de-DE"/>
        </w:rPr>
        <w:t>.</w:t>
      </w:r>
    </w:p>
    <w:p w14:paraId="0302F3D1" w14:textId="77777777" w:rsidR="00D62B67" w:rsidRDefault="00D62B67" w:rsidP="00D62B67">
      <w:pPr>
        <w:jc w:val="both"/>
        <w:rPr>
          <w:lang w:val="de-DE"/>
        </w:rPr>
      </w:pPr>
    </w:p>
    <w:p w14:paraId="320BFC7E" w14:textId="77777777" w:rsidR="007F5F05" w:rsidRDefault="007F5F05" w:rsidP="00D62B67">
      <w:pPr>
        <w:jc w:val="both"/>
        <w:rPr>
          <w:lang w:val="de-DE"/>
        </w:rPr>
      </w:pPr>
      <w:r>
        <w:rPr>
          <w:lang w:val="de-DE"/>
        </w:rPr>
        <w:t xml:space="preserve">URL: </w:t>
      </w:r>
      <w:hyperlink r:id="rId5" w:history="1">
        <w:r w:rsidRPr="00444CE7">
          <w:rPr>
            <w:rStyle w:val="Link"/>
            <w:lang w:val="de-DE"/>
          </w:rPr>
          <w:t>https://wid.world/document/wealth-spain-1900-2014-country-two-lands-wid-world-working-paper-2018-5/</w:t>
        </w:r>
      </w:hyperlink>
      <w:r>
        <w:rPr>
          <w:lang w:val="de-DE"/>
        </w:rPr>
        <w:t xml:space="preserve"> (Stand 13.11.2018)</w:t>
      </w:r>
    </w:p>
    <w:p w14:paraId="10E244C5" w14:textId="77777777" w:rsidR="007F5F05" w:rsidRDefault="00E302BF" w:rsidP="00D62B67">
      <w:pPr>
        <w:jc w:val="both"/>
        <w:rPr>
          <w:lang w:val="de-DE"/>
        </w:rPr>
      </w:pPr>
      <w:r>
        <w:rPr>
          <w:lang w:val="de-DE"/>
        </w:rPr>
        <w:t xml:space="preserve">In dieser wissenschaftlichen Arbeit werden viele Themen aufgegriffen wie historische Ereignisse zum Beispiel die Immobilienblase die ca. im Jahr 1985 begann und bis 2008 andauerte. </w:t>
      </w:r>
      <w:r w:rsidR="00A4067E">
        <w:rPr>
          <w:lang w:val="de-DE"/>
        </w:rPr>
        <w:t>Es wird auf Offshore Vermögen eingegangen und wie es berechnet wird.</w:t>
      </w:r>
    </w:p>
    <w:p w14:paraId="5374E89F" w14:textId="77777777" w:rsidR="00A4067E" w:rsidRDefault="00A4067E" w:rsidP="00D62B67">
      <w:pPr>
        <w:jc w:val="both"/>
        <w:rPr>
          <w:lang w:val="de-DE"/>
        </w:rPr>
      </w:pPr>
      <w:r>
        <w:rPr>
          <w:lang w:val="de-DE"/>
        </w:rPr>
        <w:t>Wie kommen wir zu genaueren Beträgen zu Immobilienwerten werden wir genauer beschrieben. Andere Vermögenswerte werden hier auch gut nachvollziehbar erläutert.</w:t>
      </w:r>
    </w:p>
    <w:p w14:paraId="470CF84C" w14:textId="77777777" w:rsidR="007F5F05" w:rsidRDefault="007F5F05" w:rsidP="00D62B67">
      <w:pPr>
        <w:jc w:val="both"/>
        <w:rPr>
          <w:lang w:val="de-DE"/>
        </w:rPr>
      </w:pPr>
    </w:p>
    <w:p w14:paraId="579E61F6" w14:textId="77777777" w:rsidR="00077987" w:rsidRDefault="007F5F05" w:rsidP="00D62B67">
      <w:pPr>
        <w:pStyle w:val="Listenabsatz"/>
        <w:numPr>
          <w:ilvl w:val="0"/>
          <w:numId w:val="1"/>
        </w:numPr>
        <w:jc w:val="both"/>
        <w:rPr>
          <w:lang w:val="de-DE"/>
        </w:rPr>
      </w:pPr>
      <w:r w:rsidRPr="007F5F05">
        <w:rPr>
          <w:lang w:val="de-DE"/>
        </w:rPr>
        <w:t xml:space="preserve">Thomas </w:t>
      </w:r>
      <w:proofErr w:type="spellStart"/>
      <w:r w:rsidRPr="007F5F05">
        <w:rPr>
          <w:lang w:val="de-DE"/>
        </w:rPr>
        <w:t>Pketty</w:t>
      </w:r>
      <w:proofErr w:type="spellEnd"/>
      <w:r w:rsidRPr="007F5F05">
        <w:rPr>
          <w:lang w:val="de-DE"/>
        </w:rPr>
        <w:t xml:space="preserve">, Gabriel </w:t>
      </w:r>
      <w:proofErr w:type="spellStart"/>
      <w:r w:rsidRPr="007F5F05">
        <w:rPr>
          <w:lang w:val="de-DE"/>
        </w:rPr>
        <w:t>Zucman</w:t>
      </w:r>
      <w:proofErr w:type="spellEnd"/>
      <w:r w:rsidRPr="007F5F05">
        <w:rPr>
          <w:lang w:val="de-DE"/>
        </w:rPr>
        <w:t xml:space="preserve"> (2014): Capital </w:t>
      </w:r>
      <w:proofErr w:type="spellStart"/>
      <w:r w:rsidRPr="007F5F05">
        <w:rPr>
          <w:lang w:val="de-DE"/>
        </w:rPr>
        <w:t>is</w:t>
      </w:r>
      <w:proofErr w:type="spellEnd"/>
      <w:r w:rsidRPr="007F5F05">
        <w:rPr>
          <w:lang w:val="de-DE"/>
        </w:rPr>
        <w:t xml:space="preserve"> Back: </w:t>
      </w:r>
      <w:proofErr w:type="spellStart"/>
      <w:r w:rsidRPr="007F5F05">
        <w:rPr>
          <w:lang w:val="de-DE"/>
        </w:rPr>
        <w:t>Wealth</w:t>
      </w:r>
      <w:proofErr w:type="spellEnd"/>
      <w:r w:rsidRPr="007F5F05">
        <w:rPr>
          <w:lang w:val="de-DE"/>
        </w:rPr>
        <w:t xml:space="preserve">-Income </w:t>
      </w:r>
      <w:proofErr w:type="spellStart"/>
      <w:r w:rsidRPr="007F5F05">
        <w:rPr>
          <w:lang w:val="de-DE"/>
        </w:rPr>
        <w:t>Ratios</w:t>
      </w:r>
      <w:proofErr w:type="spellEnd"/>
      <w:r w:rsidRPr="007F5F05">
        <w:rPr>
          <w:lang w:val="de-DE"/>
        </w:rPr>
        <w:t xml:space="preserve"> in Rich Countries 1700-2010. The Quarterly Journal </w:t>
      </w:r>
      <w:proofErr w:type="spellStart"/>
      <w:r w:rsidRPr="007F5F05">
        <w:rPr>
          <w:lang w:val="de-DE"/>
        </w:rPr>
        <w:t>of</w:t>
      </w:r>
      <w:proofErr w:type="spellEnd"/>
      <w:r w:rsidRPr="007F5F05">
        <w:rPr>
          <w:lang w:val="de-DE"/>
        </w:rPr>
        <w:t xml:space="preserve"> Economics</w:t>
      </w:r>
    </w:p>
    <w:p w14:paraId="23505731" w14:textId="77777777" w:rsidR="00D62B67" w:rsidRDefault="00D62B67" w:rsidP="00D62B67">
      <w:pPr>
        <w:jc w:val="both"/>
        <w:rPr>
          <w:lang w:val="de-DE"/>
        </w:rPr>
      </w:pPr>
    </w:p>
    <w:p w14:paraId="44DA636C" w14:textId="5974A7B7" w:rsidR="00FD66B7" w:rsidRDefault="00A4067E" w:rsidP="00D62B67">
      <w:pPr>
        <w:jc w:val="both"/>
        <w:rPr>
          <w:lang w:val="de-DE"/>
        </w:rPr>
      </w:pPr>
      <w:r>
        <w:rPr>
          <w:lang w:val="de-DE"/>
        </w:rPr>
        <w:t xml:space="preserve">Hier wird die Frage behandelt wie sich der aggregierte Wohlstand über einen längeren Zeitraum entwickelt hat für verschiedene Länder. Die Autoren verwenden das </w:t>
      </w:r>
      <w:proofErr w:type="spellStart"/>
      <w:r>
        <w:rPr>
          <w:lang w:val="de-DE"/>
        </w:rPr>
        <w:t>Harrod</w:t>
      </w:r>
      <w:proofErr w:type="spellEnd"/>
      <w:r>
        <w:rPr>
          <w:lang w:val="de-DE"/>
        </w:rPr>
        <w:t>-</w:t>
      </w:r>
      <w:proofErr w:type="spellStart"/>
      <w:r>
        <w:rPr>
          <w:lang w:val="de-DE"/>
        </w:rPr>
        <w:t>Domar</w:t>
      </w:r>
      <w:proofErr w:type="spellEnd"/>
      <w:r>
        <w:rPr>
          <w:lang w:val="de-DE"/>
        </w:rPr>
        <w:t>-Solow Model um das Wachstum zu erklären. Vielleicht kann uns dieses bei Interpretationen am Ende helfen.</w:t>
      </w:r>
    </w:p>
    <w:p w14:paraId="6B023043" w14:textId="19687A8A" w:rsidR="00FD66B7" w:rsidRPr="00D62B67" w:rsidRDefault="00FD66B7" w:rsidP="00D62B67">
      <w:pPr>
        <w:pStyle w:val="Listenabsatz"/>
        <w:numPr>
          <w:ilvl w:val="0"/>
          <w:numId w:val="1"/>
        </w:numPr>
        <w:jc w:val="both"/>
        <w:rPr>
          <w:lang w:val="de-DE"/>
        </w:rPr>
      </w:pPr>
      <w:proofErr w:type="spellStart"/>
      <w:r w:rsidRPr="00D62B67">
        <w:rPr>
          <w:lang w:val="de-DE"/>
        </w:rPr>
        <w:lastRenderedPageBreak/>
        <w:t>Medgyesi</w:t>
      </w:r>
      <w:proofErr w:type="spellEnd"/>
      <w:r w:rsidRPr="00D62B67">
        <w:rPr>
          <w:lang w:val="de-DE"/>
        </w:rPr>
        <w:t xml:space="preserve">, M. (2014), Components </w:t>
      </w:r>
      <w:proofErr w:type="spellStart"/>
      <w:r w:rsidRPr="00D62B67">
        <w:rPr>
          <w:lang w:val="de-DE"/>
        </w:rPr>
        <w:t>of</w:t>
      </w:r>
      <w:proofErr w:type="spellEnd"/>
      <w:r w:rsidRPr="00D62B67">
        <w:rPr>
          <w:lang w:val="de-DE"/>
        </w:rPr>
        <w:t xml:space="preserve"> </w:t>
      </w:r>
      <w:proofErr w:type="spellStart"/>
      <w:r w:rsidRPr="00D62B67">
        <w:rPr>
          <w:lang w:val="de-DE"/>
        </w:rPr>
        <w:t>income</w:t>
      </w:r>
      <w:proofErr w:type="spellEnd"/>
      <w:r w:rsidRPr="00D62B67">
        <w:rPr>
          <w:lang w:val="de-DE"/>
        </w:rPr>
        <w:t xml:space="preserve"> </w:t>
      </w:r>
      <w:proofErr w:type="spellStart"/>
      <w:r w:rsidRPr="00D62B67">
        <w:rPr>
          <w:lang w:val="de-DE"/>
        </w:rPr>
        <w:t>inequality</w:t>
      </w:r>
      <w:proofErr w:type="spellEnd"/>
      <w:r w:rsidRPr="00D62B67">
        <w:rPr>
          <w:lang w:val="de-DE"/>
        </w:rPr>
        <w:t xml:space="preserve"> </w:t>
      </w:r>
      <w:proofErr w:type="spellStart"/>
      <w:r w:rsidRPr="00D62B67">
        <w:rPr>
          <w:lang w:val="de-DE"/>
        </w:rPr>
        <w:t>and</w:t>
      </w:r>
      <w:proofErr w:type="spellEnd"/>
      <w:r w:rsidRPr="00D62B67">
        <w:rPr>
          <w:lang w:val="de-DE"/>
        </w:rPr>
        <w:t xml:space="preserve"> </w:t>
      </w:r>
      <w:proofErr w:type="spellStart"/>
      <w:r w:rsidRPr="00D62B67">
        <w:rPr>
          <w:lang w:val="de-DE"/>
        </w:rPr>
        <w:t>its</w:t>
      </w:r>
      <w:proofErr w:type="spellEnd"/>
      <w:r w:rsidRPr="00D62B67">
        <w:rPr>
          <w:lang w:val="de-DE"/>
        </w:rPr>
        <w:t xml:space="preserve"> </w:t>
      </w:r>
      <w:proofErr w:type="spellStart"/>
      <w:r w:rsidRPr="00D62B67">
        <w:rPr>
          <w:lang w:val="de-DE"/>
        </w:rPr>
        <w:t>change</w:t>
      </w:r>
      <w:proofErr w:type="spellEnd"/>
      <w:r w:rsidRPr="00D62B67">
        <w:rPr>
          <w:lang w:val="de-DE"/>
        </w:rPr>
        <w:t xml:space="preserve"> in EU countries, 2004-2010. </w:t>
      </w:r>
      <w:proofErr w:type="spellStart"/>
      <w:r w:rsidRPr="00D62B67">
        <w:rPr>
          <w:lang w:val="de-DE"/>
        </w:rPr>
        <w:t>ImPRovE</w:t>
      </w:r>
      <w:proofErr w:type="spellEnd"/>
      <w:r w:rsidRPr="00D62B67">
        <w:rPr>
          <w:lang w:val="de-DE"/>
        </w:rPr>
        <w:t xml:space="preserve"> </w:t>
      </w:r>
      <w:proofErr w:type="spellStart"/>
      <w:r w:rsidRPr="00D62B67">
        <w:rPr>
          <w:lang w:val="de-DE"/>
        </w:rPr>
        <w:t>Discussion</w:t>
      </w:r>
      <w:proofErr w:type="spellEnd"/>
      <w:r w:rsidRPr="00D62B67">
        <w:rPr>
          <w:lang w:val="de-DE"/>
        </w:rPr>
        <w:t xml:space="preserve"> Paper </w:t>
      </w:r>
      <w:proofErr w:type="spellStart"/>
      <w:r w:rsidRPr="00D62B67">
        <w:rPr>
          <w:lang w:val="de-DE"/>
        </w:rPr>
        <w:t>No</w:t>
      </w:r>
      <w:proofErr w:type="spellEnd"/>
      <w:r w:rsidRPr="00D62B67">
        <w:rPr>
          <w:lang w:val="de-DE"/>
        </w:rPr>
        <w:t xml:space="preserve">. 14/01. </w:t>
      </w:r>
      <w:proofErr w:type="spellStart"/>
      <w:r w:rsidRPr="00D62B67">
        <w:rPr>
          <w:lang w:val="de-DE"/>
        </w:rPr>
        <w:t>Antwerp</w:t>
      </w:r>
      <w:proofErr w:type="spellEnd"/>
    </w:p>
    <w:p w14:paraId="5C2DCA78" w14:textId="77777777" w:rsidR="00D62B67" w:rsidRDefault="00D62B67" w:rsidP="00D62B67">
      <w:pPr>
        <w:jc w:val="both"/>
        <w:rPr>
          <w:lang w:val="de-DE"/>
        </w:rPr>
      </w:pPr>
    </w:p>
    <w:p w14:paraId="492B9DCB" w14:textId="06B680DC" w:rsidR="00F80DAB" w:rsidRDefault="00FF359F" w:rsidP="00D62B67">
      <w:pPr>
        <w:jc w:val="both"/>
        <w:rPr>
          <w:lang w:val="de-DE"/>
        </w:rPr>
      </w:pPr>
      <w:r>
        <w:rPr>
          <w:lang w:val="de-DE"/>
        </w:rPr>
        <w:t>Das Papier befasst sich mit Einkommensungleichheit der EU Mitgliedsstaaten von 2004-2010, Datenquelle ist der EU-SILC Datensatz</w:t>
      </w:r>
      <w:r w:rsidR="0017662D">
        <w:rPr>
          <w:lang w:val="de-DE"/>
        </w:rPr>
        <w:t>, Ungleichheitsmaß der GINI Koeffizient</w:t>
      </w:r>
      <w:r>
        <w:rPr>
          <w:lang w:val="de-DE"/>
        </w:rPr>
        <w:t>. Dabei wird eine Phase des Wachstums (2004-2007) mit einer Rezession (2007-2010) verglichen. Während sich 2004-2007 die Ungleichheit in den meisten Staaten verminderte, stieg sie von 2007-2010 an. Insbesondere von diesem Anstieg der Einkommensungleichheit betroffen war unter anderem Spanien.</w:t>
      </w:r>
      <w:r w:rsidR="0090311B">
        <w:rPr>
          <w:lang w:val="de-DE"/>
        </w:rPr>
        <w:t xml:space="preserve"> Dieser Anstieg wird hier vor allem mit einem Beschäftigungsrückgang begründet.</w:t>
      </w:r>
      <w:r>
        <w:rPr>
          <w:lang w:val="de-DE"/>
        </w:rPr>
        <w:t xml:space="preserve"> </w:t>
      </w:r>
    </w:p>
    <w:p w14:paraId="43F4E6C8" w14:textId="25465748" w:rsidR="0017662D" w:rsidRDefault="0017662D" w:rsidP="00D62B67">
      <w:pPr>
        <w:jc w:val="both"/>
        <w:rPr>
          <w:lang w:val="de-DE"/>
        </w:rPr>
      </w:pPr>
      <w:r>
        <w:rPr>
          <w:lang w:val="de-DE"/>
        </w:rPr>
        <w:t>Hilfreich für: Einordnung von Spanien in den europäischen Kontext</w:t>
      </w:r>
    </w:p>
    <w:p w14:paraId="5831C2F8" w14:textId="77777777" w:rsidR="00FD66B7" w:rsidRDefault="00FD66B7" w:rsidP="00D62B67">
      <w:pPr>
        <w:jc w:val="both"/>
        <w:rPr>
          <w:lang w:val="de-DE"/>
        </w:rPr>
      </w:pPr>
    </w:p>
    <w:p w14:paraId="08117ED6" w14:textId="64CBF5E4" w:rsidR="00FD66B7" w:rsidRPr="00D62B67" w:rsidRDefault="008D1C97" w:rsidP="00D62B67">
      <w:pPr>
        <w:pStyle w:val="Listenabsatz"/>
        <w:numPr>
          <w:ilvl w:val="0"/>
          <w:numId w:val="1"/>
        </w:numPr>
        <w:jc w:val="both"/>
        <w:rPr>
          <w:lang w:val="de-DE"/>
        </w:rPr>
      </w:pPr>
      <w:r w:rsidRPr="00D62B67">
        <w:rPr>
          <w:lang w:val="de-DE"/>
        </w:rPr>
        <w:t xml:space="preserve">Suarez Alvarez &amp; Lopez </w:t>
      </w:r>
      <w:proofErr w:type="spellStart"/>
      <w:r w:rsidRPr="00D62B67">
        <w:rPr>
          <w:lang w:val="de-DE"/>
        </w:rPr>
        <w:t>Menendez</w:t>
      </w:r>
      <w:proofErr w:type="spellEnd"/>
      <w:r w:rsidRPr="00D62B67">
        <w:rPr>
          <w:lang w:val="de-DE"/>
        </w:rPr>
        <w:t xml:space="preserve"> </w:t>
      </w:r>
      <w:r>
        <w:rPr>
          <w:lang w:val="de-DE"/>
        </w:rPr>
        <w:t xml:space="preserve">(2016), </w:t>
      </w:r>
      <w:proofErr w:type="spellStart"/>
      <w:r w:rsidR="00FD66B7" w:rsidRPr="00D62B67">
        <w:rPr>
          <w:lang w:val="de-DE"/>
        </w:rPr>
        <w:t>Inequality</w:t>
      </w:r>
      <w:proofErr w:type="spellEnd"/>
      <w:r w:rsidR="00FD66B7" w:rsidRPr="00D62B67">
        <w:rPr>
          <w:lang w:val="de-DE"/>
        </w:rPr>
        <w:t xml:space="preserve"> </w:t>
      </w:r>
      <w:proofErr w:type="spellStart"/>
      <w:r w:rsidR="00FD66B7" w:rsidRPr="00D62B67">
        <w:rPr>
          <w:lang w:val="de-DE"/>
        </w:rPr>
        <w:t>of</w:t>
      </w:r>
      <w:proofErr w:type="spellEnd"/>
      <w:r w:rsidR="00FD66B7" w:rsidRPr="00D62B67">
        <w:rPr>
          <w:lang w:val="de-DE"/>
        </w:rPr>
        <w:t xml:space="preserve"> </w:t>
      </w:r>
      <w:proofErr w:type="spellStart"/>
      <w:r w:rsidR="00FD66B7" w:rsidRPr="00D62B67">
        <w:rPr>
          <w:lang w:val="de-DE"/>
        </w:rPr>
        <w:t>opportunity</w:t>
      </w:r>
      <w:proofErr w:type="spellEnd"/>
      <w:r w:rsidR="00FD66B7" w:rsidRPr="00D62B67">
        <w:rPr>
          <w:lang w:val="de-DE"/>
        </w:rPr>
        <w:t xml:space="preserve"> </w:t>
      </w:r>
      <w:proofErr w:type="spellStart"/>
      <w:r w:rsidR="00FD66B7" w:rsidRPr="00D62B67">
        <w:rPr>
          <w:lang w:val="de-DE"/>
        </w:rPr>
        <w:t>and</w:t>
      </w:r>
      <w:proofErr w:type="spellEnd"/>
      <w:r w:rsidR="00FD66B7" w:rsidRPr="00D62B67">
        <w:rPr>
          <w:lang w:val="de-DE"/>
        </w:rPr>
        <w:t xml:space="preserve"> </w:t>
      </w:r>
      <w:proofErr w:type="spellStart"/>
      <w:r w:rsidR="00FD66B7" w:rsidRPr="00D62B67">
        <w:rPr>
          <w:lang w:val="de-DE"/>
        </w:rPr>
        <w:t>income</w:t>
      </w:r>
      <w:proofErr w:type="spellEnd"/>
      <w:r w:rsidR="00FD66B7" w:rsidRPr="00D62B67">
        <w:rPr>
          <w:lang w:val="de-DE"/>
        </w:rPr>
        <w:t xml:space="preserve"> </w:t>
      </w:r>
      <w:proofErr w:type="spellStart"/>
      <w:r w:rsidR="00FD66B7" w:rsidRPr="00D62B67">
        <w:rPr>
          <w:lang w:val="de-DE"/>
        </w:rPr>
        <w:t>inequality</w:t>
      </w:r>
      <w:proofErr w:type="spellEnd"/>
      <w:r w:rsidR="00FD66B7" w:rsidRPr="00D62B67">
        <w:rPr>
          <w:lang w:val="de-DE"/>
        </w:rPr>
        <w:t xml:space="preserve"> in Spain: An </w:t>
      </w:r>
      <w:proofErr w:type="spellStart"/>
      <w:r w:rsidR="00FD66B7" w:rsidRPr="00D62B67">
        <w:rPr>
          <w:lang w:val="de-DE"/>
        </w:rPr>
        <w:t>analysis</w:t>
      </w:r>
      <w:proofErr w:type="spellEnd"/>
      <w:r w:rsidR="00FD66B7" w:rsidRPr="00D62B67">
        <w:rPr>
          <w:lang w:val="de-DE"/>
        </w:rPr>
        <w:t xml:space="preserve"> </w:t>
      </w:r>
      <w:proofErr w:type="spellStart"/>
      <w:r w:rsidR="00FD66B7" w:rsidRPr="00D62B67">
        <w:rPr>
          <w:lang w:val="de-DE"/>
        </w:rPr>
        <w:t>over</w:t>
      </w:r>
      <w:proofErr w:type="spellEnd"/>
      <w:r w:rsidR="00FD66B7" w:rsidRPr="00D62B67">
        <w:rPr>
          <w:lang w:val="de-DE"/>
        </w:rPr>
        <w:t xml:space="preserve"> time</w:t>
      </w:r>
      <w:r>
        <w:rPr>
          <w:lang w:val="de-DE"/>
        </w:rPr>
        <w:t>,</w:t>
      </w:r>
      <w:r w:rsidR="00FD66B7" w:rsidRPr="00D62B67">
        <w:rPr>
          <w:lang w:val="de-DE"/>
        </w:rPr>
        <w:t xml:space="preserve"> </w:t>
      </w:r>
      <w:proofErr w:type="spellStart"/>
      <w:r w:rsidR="00FD66B7" w:rsidRPr="00D62B67">
        <w:rPr>
          <w:lang w:val="de-DE"/>
        </w:rPr>
        <w:t>Econineq</w:t>
      </w:r>
      <w:proofErr w:type="spellEnd"/>
      <w:r w:rsidR="00FD66B7" w:rsidRPr="00D62B67">
        <w:rPr>
          <w:lang w:val="de-DE"/>
        </w:rPr>
        <w:t xml:space="preserve"> Working Paper</w:t>
      </w:r>
    </w:p>
    <w:p w14:paraId="63BD3C00" w14:textId="77777777" w:rsidR="00D62B67" w:rsidRDefault="00D62B67" w:rsidP="00D62B67">
      <w:pPr>
        <w:jc w:val="both"/>
        <w:rPr>
          <w:lang w:val="de-DE"/>
        </w:rPr>
      </w:pPr>
    </w:p>
    <w:p w14:paraId="0D40330A" w14:textId="227A2089" w:rsidR="0017662D" w:rsidRDefault="00B255B8" w:rsidP="00D62B67">
      <w:pPr>
        <w:jc w:val="both"/>
        <w:rPr>
          <w:lang w:val="de-DE"/>
        </w:rPr>
      </w:pPr>
      <w:r>
        <w:rPr>
          <w:lang w:val="de-DE"/>
        </w:rPr>
        <w:t xml:space="preserve">Das Papier fokussiert sich auf die Entwicklung der Einkommensungleichheit und </w:t>
      </w:r>
      <w:proofErr w:type="spellStart"/>
      <w:r>
        <w:rPr>
          <w:lang w:val="de-DE"/>
        </w:rPr>
        <w:t>equality</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opportunity</w:t>
      </w:r>
      <w:proofErr w:type="spellEnd"/>
      <w:r>
        <w:rPr>
          <w:lang w:val="de-DE"/>
        </w:rPr>
        <w:t xml:space="preserve"> in Spanien zwischen 2004 und 2010. Dabei wird auch auf die Bedeutung und Auswirkung der Krise auf die Ungleichheit eingegangen. Datenquelle: EU-SILC. Die Autorinnen finden einen starken Anstieg der Ungleichheit für Spanien (~17%). Außerdem finden sie, dass die Auswirkung der „</w:t>
      </w:r>
      <w:proofErr w:type="spellStart"/>
      <w:r>
        <w:rPr>
          <w:lang w:val="de-DE"/>
        </w:rPr>
        <w:t>Circumstances</w:t>
      </w:r>
      <w:proofErr w:type="spellEnd"/>
      <w:r>
        <w:rPr>
          <w:lang w:val="de-DE"/>
        </w:rPr>
        <w:t xml:space="preserve">“ auf die Einkommensverteilung an Bedeutung gewonnen hat. Herangezogene Ungleichheitsmaße: GINI, </w:t>
      </w:r>
      <w:proofErr w:type="spellStart"/>
      <w:r>
        <w:rPr>
          <w:lang w:val="de-DE"/>
        </w:rPr>
        <w:t>Theil</w:t>
      </w:r>
      <w:proofErr w:type="spellEnd"/>
      <w:r>
        <w:rPr>
          <w:lang w:val="de-DE"/>
        </w:rPr>
        <w:t>-L.</w:t>
      </w:r>
    </w:p>
    <w:p w14:paraId="4D142639" w14:textId="77777777" w:rsidR="00FD66B7" w:rsidRDefault="00FD66B7" w:rsidP="00D62B67">
      <w:pPr>
        <w:jc w:val="both"/>
        <w:rPr>
          <w:lang w:val="de-DE"/>
        </w:rPr>
      </w:pPr>
    </w:p>
    <w:p w14:paraId="5C20A7BB" w14:textId="1CC744F2" w:rsidR="00FD66B7" w:rsidRPr="00D62B67" w:rsidRDefault="008D1C97" w:rsidP="00D62B67">
      <w:pPr>
        <w:pStyle w:val="Listenabsatz"/>
        <w:numPr>
          <w:ilvl w:val="0"/>
          <w:numId w:val="1"/>
        </w:numPr>
        <w:jc w:val="both"/>
        <w:rPr>
          <w:lang w:val="de-DE"/>
        </w:rPr>
      </w:pPr>
      <w:proofErr w:type="spellStart"/>
      <w:r w:rsidRPr="00D62B67">
        <w:rPr>
          <w:lang w:val="de-DE"/>
        </w:rPr>
        <w:t>Budría</w:t>
      </w:r>
      <w:proofErr w:type="spellEnd"/>
      <w:r w:rsidRPr="00D62B67">
        <w:rPr>
          <w:lang w:val="de-DE"/>
        </w:rPr>
        <w:t xml:space="preserve"> &amp; Díaz-Giménez </w:t>
      </w:r>
      <w:r>
        <w:rPr>
          <w:lang w:val="de-DE"/>
        </w:rPr>
        <w:t xml:space="preserve">(2007) </w:t>
      </w:r>
      <w:proofErr w:type="spellStart"/>
      <w:r w:rsidR="00FD66B7" w:rsidRPr="00D62B67">
        <w:rPr>
          <w:lang w:val="de-DE"/>
        </w:rPr>
        <w:t>Economic</w:t>
      </w:r>
      <w:proofErr w:type="spellEnd"/>
      <w:r w:rsidR="00FD66B7" w:rsidRPr="00D62B67">
        <w:rPr>
          <w:lang w:val="de-DE"/>
        </w:rPr>
        <w:t xml:space="preserve"> </w:t>
      </w:r>
      <w:proofErr w:type="spellStart"/>
      <w:r w:rsidR="00FD66B7" w:rsidRPr="00D62B67">
        <w:rPr>
          <w:lang w:val="de-DE"/>
        </w:rPr>
        <w:t>inequality</w:t>
      </w:r>
      <w:proofErr w:type="spellEnd"/>
      <w:r w:rsidR="00FD66B7" w:rsidRPr="00D62B67">
        <w:rPr>
          <w:lang w:val="de-DE"/>
        </w:rPr>
        <w:t xml:space="preserve"> in Spain: </w:t>
      </w:r>
      <w:proofErr w:type="spellStart"/>
      <w:r w:rsidR="00FD66B7" w:rsidRPr="00D62B67">
        <w:rPr>
          <w:lang w:val="de-DE"/>
        </w:rPr>
        <w:t>the</w:t>
      </w:r>
      <w:proofErr w:type="spellEnd"/>
      <w:r w:rsidR="00FD66B7" w:rsidRPr="00D62B67">
        <w:rPr>
          <w:lang w:val="de-DE"/>
        </w:rPr>
        <w:t xml:space="preserve"> </w:t>
      </w:r>
      <w:proofErr w:type="spellStart"/>
      <w:r w:rsidR="00FD66B7" w:rsidRPr="00D62B67">
        <w:rPr>
          <w:lang w:val="de-DE"/>
        </w:rPr>
        <w:t>european</w:t>
      </w:r>
      <w:proofErr w:type="spellEnd"/>
      <w:r w:rsidR="00FD66B7" w:rsidRPr="00D62B67">
        <w:rPr>
          <w:lang w:val="de-DE"/>
        </w:rPr>
        <w:t xml:space="preserve"> </w:t>
      </w:r>
      <w:proofErr w:type="spellStart"/>
      <w:r w:rsidR="00FD66B7" w:rsidRPr="00D62B67">
        <w:rPr>
          <w:lang w:val="de-DE"/>
        </w:rPr>
        <w:t>community</w:t>
      </w:r>
      <w:proofErr w:type="spellEnd"/>
      <w:r w:rsidR="00FD66B7" w:rsidRPr="00D62B67">
        <w:rPr>
          <w:lang w:val="de-DE"/>
        </w:rPr>
        <w:t xml:space="preserve"> </w:t>
      </w:r>
      <w:proofErr w:type="spellStart"/>
      <w:r w:rsidR="00FD66B7" w:rsidRPr="00D62B67">
        <w:rPr>
          <w:lang w:val="de-DE"/>
        </w:rPr>
        <w:t>household</w:t>
      </w:r>
      <w:proofErr w:type="spellEnd"/>
      <w:r w:rsidR="00FD66B7" w:rsidRPr="00D62B67">
        <w:rPr>
          <w:lang w:val="de-DE"/>
        </w:rPr>
        <w:t xml:space="preserve"> </w:t>
      </w:r>
      <w:proofErr w:type="spellStart"/>
      <w:r w:rsidR="00FD66B7" w:rsidRPr="00D62B67">
        <w:rPr>
          <w:lang w:val="de-DE"/>
        </w:rPr>
        <w:t>panel</w:t>
      </w:r>
      <w:proofErr w:type="spellEnd"/>
      <w:r w:rsidR="00FD66B7" w:rsidRPr="00D62B67">
        <w:rPr>
          <w:lang w:val="de-DE"/>
        </w:rPr>
        <w:t xml:space="preserve"> </w:t>
      </w:r>
      <w:proofErr w:type="spellStart"/>
      <w:r w:rsidR="00FD66B7" w:rsidRPr="00D62B67">
        <w:rPr>
          <w:lang w:val="de-DE"/>
        </w:rPr>
        <w:t>dataset</w:t>
      </w:r>
      <w:proofErr w:type="spellEnd"/>
      <w:r w:rsidR="00FD66B7" w:rsidRPr="00D62B67">
        <w:rPr>
          <w:lang w:val="de-DE"/>
        </w:rPr>
        <w:t xml:space="preserve">, </w:t>
      </w:r>
      <w:proofErr w:type="spellStart"/>
      <w:r w:rsidR="00FD66B7" w:rsidRPr="00D62B67">
        <w:rPr>
          <w:lang w:val="de-DE"/>
        </w:rPr>
        <w:t>Span</w:t>
      </w:r>
      <w:r>
        <w:rPr>
          <w:lang w:val="de-DE"/>
        </w:rPr>
        <w:t>ish</w:t>
      </w:r>
      <w:proofErr w:type="spellEnd"/>
      <w:r w:rsidR="00FD66B7" w:rsidRPr="00D62B67">
        <w:rPr>
          <w:lang w:val="de-DE"/>
        </w:rPr>
        <w:t xml:space="preserve"> </w:t>
      </w:r>
      <w:proofErr w:type="spellStart"/>
      <w:r w:rsidR="00FD66B7" w:rsidRPr="00D62B67">
        <w:rPr>
          <w:lang w:val="de-DE"/>
        </w:rPr>
        <w:t>Econ</w:t>
      </w:r>
      <w:r>
        <w:rPr>
          <w:lang w:val="de-DE"/>
        </w:rPr>
        <w:t>omic</w:t>
      </w:r>
      <w:proofErr w:type="spellEnd"/>
      <w:r w:rsidR="00FD66B7" w:rsidRPr="00D62B67">
        <w:rPr>
          <w:lang w:val="de-DE"/>
        </w:rPr>
        <w:t xml:space="preserve"> Rev</w:t>
      </w:r>
      <w:r>
        <w:rPr>
          <w:lang w:val="de-DE"/>
        </w:rPr>
        <w:t>iew, 9:1-</w:t>
      </w:r>
      <w:r w:rsidRPr="008D1C97">
        <w:rPr>
          <w:lang w:val="de-DE"/>
        </w:rPr>
        <w:t>38</w:t>
      </w:r>
      <w:r>
        <w:rPr>
          <w:lang w:val="de-DE"/>
        </w:rPr>
        <w:t>.</w:t>
      </w:r>
    </w:p>
    <w:p w14:paraId="56C7505B" w14:textId="77777777" w:rsidR="00B255B8" w:rsidRDefault="00B255B8" w:rsidP="00D62B67">
      <w:pPr>
        <w:jc w:val="both"/>
        <w:rPr>
          <w:lang w:val="de-DE"/>
        </w:rPr>
      </w:pPr>
    </w:p>
    <w:p w14:paraId="37628C99" w14:textId="645690B6" w:rsidR="00B255B8" w:rsidRDefault="00B60BCC" w:rsidP="00D62B67">
      <w:pPr>
        <w:jc w:val="both"/>
        <w:rPr>
          <w:lang w:val="de-DE"/>
        </w:rPr>
      </w:pPr>
      <w:r>
        <w:rPr>
          <w:lang w:val="de-DE"/>
        </w:rPr>
        <w:t>Das Papier beschreibt ökonomische Ungleichheit in Spanien mit dem „</w:t>
      </w:r>
      <w:proofErr w:type="spellStart"/>
      <w:r w:rsidRPr="00FD66B7">
        <w:rPr>
          <w:lang w:val="de-DE"/>
        </w:rPr>
        <w:t>european</w:t>
      </w:r>
      <w:proofErr w:type="spellEnd"/>
      <w:r w:rsidRPr="00FD66B7">
        <w:rPr>
          <w:lang w:val="de-DE"/>
        </w:rPr>
        <w:t xml:space="preserve"> </w:t>
      </w:r>
      <w:proofErr w:type="spellStart"/>
      <w:r w:rsidRPr="00FD66B7">
        <w:rPr>
          <w:lang w:val="de-DE"/>
        </w:rPr>
        <w:t>community</w:t>
      </w:r>
      <w:proofErr w:type="spellEnd"/>
      <w:r w:rsidRPr="00FD66B7">
        <w:rPr>
          <w:lang w:val="de-DE"/>
        </w:rPr>
        <w:t xml:space="preserve"> </w:t>
      </w:r>
      <w:proofErr w:type="spellStart"/>
      <w:r w:rsidRPr="00FD66B7">
        <w:rPr>
          <w:lang w:val="de-DE"/>
        </w:rPr>
        <w:t>household</w:t>
      </w:r>
      <w:proofErr w:type="spellEnd"/>
      <w:r w:rsidRPr="00FD66B7">
        <w:rPr>
          <w:lang w:val="de-DE"/>
        </w:rPr>
        <w:t xml:space="preserve"> </w:t>
      </w:r>
      <w:proofErr w:type="spellStart"/>
      <w:r w:rsidRPr="00FD66B7">
        <w:rPr>
          <w:lang w:val="de-DE"/>
        </w:rPr>
        <w:t>panel</w:t>
      </w:r>
      <w:proofErr w:type="spellEnd"/>
      <w:r w:rsidRPr="00FD66B7">
        <w:rPr>
          <w:lang w:val="de-DE"/>
        </w:rPr>
        <w:t xml:space="preserve"> </w:t>
      </w:r>
      <w:proofErr w:type="spellStart"/>
      <w:r w:rsidRPr="00FD66B7">
        <w:rPr>
          <w:lang w:val="de-DE"/>
        </w:rPr>
        <w:t>dataset</w:t>
      </w:r>
      <w:proofErr w:type="spellEnd"/>
      <w:r>
        <w:rPr>
          <w:lang w:val="de-DE"/>
        </w:rPr>
        <w:t xml:space="preserve">“ der Jahre 1998 &amp; 1994. Die Autoren zeigen dabei Einkommensverteilungen sowohl für Arbeits- als auch für </w:t>
      </w:r>
      <w:proofErr w:type="spellStart"/>
      <w:r>
        <w:rPr>
          <w:lang w:val="de-DE"/>
        </w:rPr>
        <w:t>Kaptialeinkommen</w:t>
      </w:r>
      <w:proofErr w:type="spellEnd"/>
      <w:r>
        <w:rPr>
          <w:lang w:val="de-DE"/>
        </w:rPr>
        <w:t xml:space="preserve">, Transfers und Gesamteinkommen auf. Die Einkommensverteilungen werden außerdem nach Alter, Bildung, Haushaltsgröße usw. gruppiert dargestellt. Ungleichheitsmaße: GINI, </w:t>
      </w:r>
      <w:r w:rsidR="000808F5" w:rsidRPr="000808F5">
        <w:rPr>
          <w:lang w:val="de-DE"/>
        </w:rPr>
        <w:t>Top 1%/</w:t>
      </w:r>
      <w:proofErr w:type="spellStart"/>
      <w:r w:rsidR="000808F5" w:rsidRPr="000808F5">
        <w:rPr>
          <w:lang w:val="de-DE"/>
        </w:rPr>
        <w:t>Bottom</w:t>
      </w:r>
      <w:proofErr w:type="spellEnd"/>
      <w:r w:rsidR="000808F5" w:rsidRPr="000808F5">
        <w:rPr>
          <w:lang w:val="de-DE"/>
        </w:rPr>
        <w:t xml:space="preserve"> 60%</w:t>
      </w:r>
      <w:r w:rsidR="000808F5">
        <w:rPr>
          <w:lang w:val="de-DE"/>
        </w:rPr>
        <w:t>. Zudem wird auf die Einkommen der Top1/5/20% und der Bottom1/5/20% eingegangen.</w:t>
      </w:r>
    </w:p>
    <w:p w14:paraId="6D72D490" w14:textId="77777777" w:rsidR="00FD66B7" w:rsidRDefault="00FD66B7" w:rsidP="00D62B67">
      <w:pPr>
        <w:jc w:val="both"/>
        <w:rPr>
          <w:lang w:val="de-DE"/>
        </w:rPr>
      </w:pPr>
    </w:p>
    <w:p w14:paraId="014960A4" w14:textId="754E128B" w:rsidR="00FD66B7" w:rsidRPr="008D1C97" w:rsidRDefault="008D1C97" w:rsidP="008D1C97">
      <w:pPr>
        <w:pStyle w:val="Listenabsatz"/>
        <w:numPr>
          <w:ilvl w:val="0"/>
          <w:numId w:val="1"/>
        </w:numPr>
        <w:jc w:val="both"/>
        <w:rPr>
          <w:lang w:val="de-DE"/>
        </w:rPr>
      </w:pPr>
      <w:proofErr w:type="spellStart"/>
      <w:r w:rsidRPr="008D1C97">
        <w:rPr>
          <w:lang w:val="de-DE"/>
        </w:rPr>
        <w:t>Bönke</w:t>
      </w:r>
      <w:proofErr w:type="spellEnd"/>
      <w:r w:rsidRPr="008D1C97">
        <w:rPr>
          <w:lang w:val="de-DE"/>
        </w:rPr>
        <w:t xml:space="preserve"> &amp; Schröder, 2015. "European-Wide </w:t>
      </w:r>
      <w:proofErr w:type="spellStart"/>
      <w:r w:rsidRPr="008D1C97">
        <w:rPr>
          <w:lang w:val="de-DE"/>
        </w:rPr>
        <w:t>Inequality</w:t>
      </w:r>
      <w:proofErr w:type="spellEnd"/>
      <w:r w:rsidRPr="008D1C97">
        <w:rPr>
          <w:lang w:val="de-DE"/>
        </w:rPr>
        <w:t xml:space="preserve"> in Times </w:t>
      </w:r>
      <w:proofErr w:type="spellStart"/>
      <w:r w:rsidRPr="008D1C97">
        <w:rPr>
          <w:lang w:val="de-DE"/>
        </w:rPr>
        <w:t>of</w:t>
      </w:r>
      <w:proofErr w:type="spellEnd"/>
      <w:r w:rsidRPr="008D1C97">
        <w:rPr>
          <w:lang w:val="de-DE"/>
        </w:rPr>
        <w:t xml:space="preserve"> </w:t>
      </w:r>
      <w:proofErr w:type="spellStart"/>
      <w:r w:rsidRPr="008D1C97">
        <w:rPr>
          <w:lang w:val="de-DE"/>
        </w:rPr>
        <w:t>the</w:t>
      </w:r>
      <w:proofErr w:type="spellEnd"/>
      <w:r w:rsidRPr="008D1C97">
        <w:rPr>
          <w:lang w:val="de-DE"/>
        </w:rPr>
        <w:t xml:space="preserve"> Financial </w:t>
      </w:r>
      <w:proofErr w:type="spellStart"/>
      <w:r w:rsidRPr="008D1C97">
        <w:rPr>
          <w:lang w:val="de-DE"/>
        </w:rPr>
        <w:t>Crisis</w:t>
      </w:r>
      <w:proofErr w:type="spellEnd"/>
      <w:r w:rsidRPr="008D1C97">
        <w:rPr>
          <w:lang w:val="de-DE"/>
        </w:rPr>
        <w:t xml:space="preserve">," </w:t>
      </w:r>
      <w:proofErr w:type="spellStart"/>
      <w:r w:rsidRPr="008D1C97">
        <w:rPr>
          <w:lang w:val="de-DE"/>
        </w:rPr>
        <w:t>Discussion</w:t>
      </w:r>
      <w:proofErr w:type="spellEnd"/>
      <w:r w:rsidRPr="008D1C97">
        <w:rPr>
          <w:lang w:val="de-DE"/>
        </w:rPr>
        <w:t xml:space="preserve"> Papers </w:t>
      </w:r>
      <w:proofErr w:type="spellStart"/>
      <w:r w:rsidRPr="008D1C97">
        <w:rPr>
          <w:lang w:val="de-DE"/>
        </w:rPr>
        <w:t>of</w:t>
      </w:r>
      <w:proofErr w:type="spellEnd"/>
      <w:r w:rsidRPr="008D1C97">
        <w:rPr>
          <w:lang w:val="de-DE"/>
        </w:rPr>
        <w:t xml:space="preserve"> DIW Berlin 1482, DIW Berlin, German Institute </w:t>
      </w:r>
      <w:proofErr w:type="spellStart"/>
      <w:r w:rsidRPr="008D1C97">
        <w:rPr>
          <w:lang w:val="de-DE"/>
        </w:rPr>
        <w:t>for</w:t>
      </w:r>
      <w:proofErr w:type="spellEnd"/>
      <w:r w:rsidRPr="008D1C97">
        <w:rPr>
          <w:lang w:val="de-DE"/>
        </w:rPr>
        <w:t xml:space="preserve"> </w:t>
      </w:r>
      <w:proofErr w:type="spellStart"/>
      <w:r w:rsidRPr="008D1C97">
        <w:rPr>
          <w:lang w:val="de-DE"/>
        </w:rPr>
        <w:t>Economic</w:t>
      </w:r>
      <w:proofErr w:type="spellEnd"/>
      <w:r w:rsidRPr="008D1C97">
        <w:rPr>
          <w:lang w:val="de-DE"/>
        </w:rPr>
        <w:t xml:space="preserve"> Research.</w:t>
      </w:r>
    </w:p>
    <w:p w14:paraId="63CED35D" w14:textId="77777777" w:rsidR="00946791" w:rsidRDefault="00946791" w:rsidP="00D62B67">
      <w:pPr>
        <w:jc w:val="both"/>
        <w:rPr>
          <w:lang w:val="de-DE"/>
        </w:rPr>
      </w:pPr>
    </w:p>
    <w:p w14:paraId="27F4F43C" w14:textId="46835DAA" w:rsidR="000808F5" w:rsidRDefault="000808F5" w:rsidP="00D62B67">
      <w:pPr>
        <w:jc w:val="both"/>
        <w:rPr>
          <w:lang w:val="de-DE"/>
        </w:rPr>
      </w:pPr>
      <w:r>
        <w:rPr>
          <w:lang w:val="de-DE"/>
        </w:rPr>
        <w:t xml:space="preserve">Das Papier geht auf Einkommensungleichheit europäischer Staaten ein. Datenquelle: EU-SILC. Die Autoren finden einen leichten Anstieg der Ungleichheit in Europa und führen dies </w:t>
      </w:r>
      <w:proofErr w:type="gramStart"/>
      <w:r>
        <w:rPr>
          <w:lang w:val="de-DE"/>
        </w:rPr>
        <w:t>auf steigende</w:t>
      </w:r>
      <w:proofErr w:type="gramEnd"/>
      <w:r>
        <w:rPr>
          <w:lang w:val="de-DE"/>
        </w:rPr>
        <w:t xml:space="preserve"> Disparitäten zwischen den Ländern zurück, während die einzelnen Länder keine systematischen Änderungen erfahren. Insbesondere Spanien trägt hierzu bei, da es mit Griechenland am stärksten von der Krise getroffen wurde.</w:t>
      </w:r>
    </w:p>
    <w:p w14:paraId="0A6A380D" w14:textId="77777777" w:rsidR="000808F5" w:rsidRDefault="000808F5" w:rsidP="00D62B67">
      <w:pPr>
        <w:jc w:val="both"/>
        <w:rPr>
          <w:lang w:val="de-DE"/>
        </w:rPr>
      </w:pPr>
    </w:p>
    <w:p w14:paraId="2767EF09" w14:textId="054EE169" w:rsidR="00DA599D" w:rsidRPr="00946791" w:rsidRDefault="00946791" w:rsidP="00946791">
      <w:pPr>
        <w:pStyle w:val="Listenabsatz"/>
        <w:numPr>
          <w:ilvl w:val="0"/>
          <w:numId w:val="1"/>
        </w:numPr>
        <w:jc w:val="both"/>
        <w:rPr>
          <w:lang w:val="de-DE"/>
        </w:rPr>
      </w:pPr>
      <w:r w:rsidRPr="00946791">
        <w:rPr>
          <w:lang w:val="de-DE"/>
        </w:rPr>
        <w:t>Ada Ferrer-i-</w:t>
      </w:r>
      <w:proofErr w:type="spellStart"/>
      <w:r w:rsidRPr="00946791">
        <w:rPr>
          <w:lang w:val="de-DE"/>
        </w:rPr>
        <w:t>carbonell</w:t>
      </w:r>
      <w:proofErr w:type="spellEnd"/>
      <w:r w:rsidRPr="00946791">
        <w:rPr>
          <w:lang w:val="de-DE"/>
        </w:rPr>
        <w:t xml:space="preserve"> &amp; X. Ramos &amp; M. Oviedo, 2013. "GINI Country Report: </w:t>
      </w:r>
      <w:proofErr w:type="spellStart"/>
      <w:r w:rsidRPr="00946791">
        <w:rPr>
          <w:lang w:val="de-DE"/>
        </w:rPr>
        <w:t>Growing</w:t>
      </w:r>
      <w:proofErr w:type="spellEnd"/>
      <w:r w:rsidRPr="00946791">
        <w:rPr>
          <w:lang w:val="de-DE"/>
        </w:rPr>
        <w:t xml:space="preserve"> </w:t>
      </w:r>
      <w:proofErr w:type="spellStart"/>
      <w:r w:rsidRPr="00946791">
        <w:rPr>
          <w:lang w:val="de-DE"/>
        </w:rPr>
        <w:t>Inequalities</w:t>
      </w:r>
      <w:proofErr w:type="spellEnd"/>
      <w:r w:rsidRPr="00946791">
        <w:rPr>
          <w:lang w:val="de-DE"/>
        </w:rPr>
        <w:t xml:space="preserve"> </w:t>
      </w:r>
      <w:proofErr w:type="spellStart"/>
      <w:r w:rsidRPr="00946791">
        <w:rPr>
          <w:lang w:val="de-DE"/>
        </w:rPr>
        <w:t>and</w:t>
      </w:r>
      <w:proofErr w:type="spellEnd"/>
      <w:r w:rsidRPr="00946791">
        <w:rPr>
          <w:lang w:val="de-DE"/>
        </w:rPr>
        <w:t xml:space="preserve"> </w:t>
      </w:r>
      <w:proofErr w:type="spellStart"/>
      <w:r w:rsidRPr="00946791">
        <w:rPr>
          <w:lang w:val="de-DE"/>
        </w:rPr>
        <w:t>their</w:t>
      </w:r>
      <w:proofErr w:type="spellEnd"/>
      <w:r w:rsidRPr="00946791">
        <w:rPr>
          <w:lang w:val="de-DE"/>
        </w:rPr>
        <w:t xml:space="preserve"> Impacts in Spain," GINI Country Reports </w:t>
      </w:r>
      <w:proofErr w:type="spellStart"/>
      <w:r w:rsidRPr="00946791">
        <w:rPr>
          <w:lang w:val="de-DE"/>
        </w:rPr>
        <w:t>spain</w:t>
      </w:r>
      <w:proofErr w:type="spellEnd"/>
      <w:r w:rsidRPr="00946791">
        <w:rPr>
          <w:lang w:val="de-DE"/>
        </w:rPr>
        <w:t xml:space="preserve">, AIAS, Amsterdam Institute </w:t>
      </w:r>
      <w:proofErr w:type="spellStart"/>
      <w:r w:rsidRPr="00946791">
        <w:rPr>
          <w:lang w:val="de-DE"/>
        </w:rPr>
        <w:t>for</w:t>
      </w:r>
      <w:proofErr w:type="spellEnd"/>
      <w:r w:rsidRPr="00946791">
        <w:rPr>
          <w:lang w:val="de-DE"/>
        </w:rPr>
        <w:t xml:space="preserve"> </w:t>
      </w:r>
      <w:proofErr w:type="spellStart"/>
      <w:r w:rsidRPr="00946791">
        <w:rPr>
          <w:lang w:val="de-DE"/>
        </w:rPr>
        <w:t>Advanced</w:t>
      </w:r>
      <w:proofErr w:type="spellEnd"/>
      <w:r w:rsidRPr="00946791">
        <w:rPr>
          <w:lang w:val="de-DE"/>
        </w:rPr>
        <w:t xml:space="preserve"> Labour Studies.</w:t>
      </w:r>
    </w:p>
    <w:p w14:paraId="108F799E" w14:textId="77777777" w:rsidR="00946791" w:rsidRDefault="00946791" w:rsidP="00D62B67">
      <w:pPr>
        <w:jc w:val="both"/>
        <w:rPr>
          <w:lang w:val="de-DE"/>
        </w:rPr>
      </w:pPr>
    </w:p>
    <w:p w14:paraId="5949F8EC" w14:textId="6F19146B" w:rsidR="00DA599D" w:rsidRDefault="00246019" w:rsidP="00D62B67">
      <w:pPr>
        <w:jc w:val="both"/>
        <w:rPr>
          <w:lang w:val="de-DE"/>
        </w:rPr>
      </w:pPr>
      <w:r>
        <w:rPr>
          <w:lang w:val="de-DE"/>
        </w:rPr>
        <w:t xml:space="preserve">Der Report liefert einen Überblick über die Entwicklung des GINI in Spanien. In den vergangenen 30 Jahren ist die Einkommensungleichheit in Spanien gesunken. Trotzdem ist die Ungleichheit immer noch höher als in vielen anderen europäischen Staaten. Als Gründe für die sinkende Ungleichheit werden angeführt: sinkende Bildungsrendite, Änderungen des Steuersystems (progressivere Steuern, größere </w:t>
      </w:r>
      <w:r w:rsidR="007F4A2F">
        <w:rPr>
          <w:lang w:val="de-DE"/>
        </w:rPr>
        <w:t xml:space="preserve">Steuerbemessungsgrundlage), </w:t>
      </w:r>
      <w:r w:rsidR="008164BB">
        <w:rPr>
          <w:lang w:val="de-DE"/>
        </w:rPr>
        <w:t xml:space="preserve">Anstieg der Umverteilungsausgaben. </w:t>
      </w:r>
      <w:r>
        <w:rPr>
          <w:lang w:val="de-DE"/>
        </w:rPr>
        <w:t xml:space="preserve">Diesem sinkenden Trend entgegen steht die Entwicklung seit der Krise. </w:t>
      </w:r>
    </w:p>
    <w:p w14:paraId="130DD6DD" w14:textId="77777777" w:rsidR="00FD66B7" w:rsidRDefault="00FD66B7" w:rsidP="00D62B67">
      <w:pPr>
        <w:jc w:val="both"/>
        <w:rPr>
          <w:lang w:val="de-DE"/>
        </w:rPr>
      </w:pPr>
    </w:p>
    <w:p w14:paraId="6B212AD9" w14:textId="4E2CEB28" w:rsidR="004B4D1C" w:rsidRPr="00946791" w:rsidRDefault="00946791" w:rsidP="00946791">
      <w:pPr>
        <w:pStyle w:val="Listenabsatz"/>
        <w:numPr>
          <w:ilvl w:val="0"/>
          <w:numId w:val="1"/>
        </w:numPr>
        <w:jc w:val="both"/>
        <w:rPr>
          <w:lang w:val="de-DE"/>
        </w:rPr>
      </w:pPr>
      <w:proofErr w:type="spellStart"/>
      <w:r w:rsidRPr="00946791">
        <w:rPr>
          <w:lang w:val="de-DE"/>
        </w:rPr>
        <w:t>Torregrosa-Hetland</w:t>
      </w:r>
      <w:proofErr w:type="spellEnd"/>
      <w:r w:rsidRPr="00946791">
        <w:rPr>
          <w:lang w:val="de-DE"/>
        </w:rPr>
        <w:t xml:space="preserve">, S. (2016). STICKY INCOME INEQUALITY IN THE SPANISH TRANSITION (1973-1990). </w:t>
      </w:r>
      <w:proofErr w:type="spellStart"/>
      <w:r w:rsidRPr="00946791">
        <w:rPr>
          <w:lang w:val="de-DE"/>
        </w:rPr>
        <w:t>Revista</w:t>
      </w:r>
      <w:proofErr w:type="spellEnd"/>
      <w:r w:rsidRPr="00946791">
        <w:rPr>
          <w:lang w:val="de-DE"/>
        </w:rPr>
        <w:t xml:space="preserve"> De </w:t>
      </w:r>
      <w:proofErr w:type="spellStart"/>
      <w:r w:rsidRPr="00946791">
        <w:rPr>
          <w:lang w:val="de-DE"/>
        </w:rPr>
        <w:t>Historia</w:t>
      </w:r>
      <w:proofErr w:type="spellEnd"/>
      <w:r w:rsidRPr="00946791">
        <w:rPr>
          <w:lang w:val="de-DE"/>
        </w:rPr>
        <w:t xml:space="preserve"> </w:t>
      </w:r>
      <w:proofErr w:type="spellStart"/>
      <w:r w:rsidRPr="00946791">
        <w:rPr>
          <w:lang w:val="de-DE"/>
        </w:rPr>
        <w:t>Económica</w:t>
      </w:r>
      <w:proofErr w:type="spellEnd"/>
      <w:r w:rsidRPr="00946791">
        <w:rPr>
          <w:lang w:val="de-DE"/>
        </w:rPr>
        <w:t xml:space="preserve"> / Journal </w:t>
      </w:r>
      <w:proofErr w:type="spellStart"/>
      <w:r w:rsidRPr="00946791">
        <w:rPr>
          <w:lang w:val="de-DE"/>
        </w:rPr>
        <w:t>of</w:t>
      </w:r>
      <w:proofErr w:type="spellEnd"/>
      <w:r w:rsidRPr="00946791">
        <w:rPr>
          <w:lang w:val="de-DE"/>
        </w:rPr>
        <w:t xml:space="preserve"> </w:t>
      </w:r>
      <w:proofErr w:type="spellStart"/>
      <w:r w:rsidRPr="00946791">
        <w:rPr>
          <w:lang w:val="de-DE"/>
        </w:rPr>
        <w:t>Iberian</w:t>
      </w:r>
      <w:proofErr w:type="spellEnd"/>
      <w:r w:rsidRPr="00946791">
        <w:rPr>
          <w:lang w:val="de-DE"/>
        </w:rPr>
        <w:t xml:space="preserve"> </w:t>
      </w:r>
      <w:proofErr w:type="spellStart"/>
      <w:r w:rsidRPr="00946791">
        <w:rPr>
          <w:lang w:val="de-DE"/>
        </w:rPr>
        <w:t>and</w:t>
      </w:r>
      <w:proofErr w:type="spellEnd"/>
      <w:r w:rsidRPr="00946791">
        <w:rPr>
          <w:lang w:val="de-DE"/>
        </w:rPr>
        <w:t xml:space="preserve"> </w:t>
      </w:r>
      <w:proofErr w:type="spellStart"/>
      <w:r w:rsidRPr="00946791">
        <w:rPr>
          <w:lang w:val="de-DE"/>
        </w:rPr>
        <w:t>Latin</w:t>
      </w:r>
      <w:proofErr w:type="spellEnd"/>
      <w:r w:rsidRPr="00946791">
        <w:rPr>
          <w:lang w:val="de-DE"/>
        </w:rPr>
        <w:t xml:space="preserve"> American </w:t>
      </w:r>
      <w:proofErr w:type="spellStart"/>
      <w:r w:rsidRPr="00946791">
        <w:rPr>
          <w:lang w:val="de-DE"/>
        </w:rPr>
        <w:t>Economic</w:t>
      </w:r>
      <w:proofErr w:type="spellEnd"/>
      <w:r w:rsidRPr="00946791">
        <w:rPr>
          <w:lang w:val="de-DE"/>
        </w:rPr>
        <w:t xml:space="preserve"> </w:t>
      </w:r>
      <w:proofErr w:type="spellStart"/>
      <w:r w:rsidRPr="00946791">
        <w:rPr>
          <w:lang w:val="de-DE"/>
        </w:rPr>
        <w:t>History</w:t>
      </w:r>
      <w:proofErr w:type="spellEnd"/>
      <w:r w:rsidRPr="00946791">
        <w:rPr>
          <w:lang w:val="de-DE"/>
        </w:rPr>
        <w:t>, 34(1), 39-80.</w:t>
      </w:r>
    </w:p>
    <w:p w14:paraId="2C4633A0" w14:textId="77777777" w:rsidR="00946791" w:rsidRDefault="00946791" w:rsidP="00D62B67">
      <w:pPr>
        <w:jc w:val="both"/>
        <w:rPr>
          <w:lang w:val="de-DE"/>
        </w:rPr>
      </w:pPr>
    </w:p>
    <w:p w14:paraId="703638B3" w14:textId="04857AB7" w:rsidR="006259CA" w:rsidRPr="006259CA" w:rsidRDefault="006259CA" w:rsidP="00D62B67">
      <w:pPr>
        <w:jc w:val="both"/>
        <w:rPr>
          <w:lang w:val="de-DE"/>
        </w:rPr>
      </w:pPr>
      <w:r w:rsidRPr="006259CA">
        <w:rPr>
          <w:lang w:val="de-DE"/>
        </w:rPr>
        <w:t>Dieses Papier untersucht die Entwicklung der Einkommensungleichheit in Spanien</w:t>
      </w:r>
    </w:p>
    <w:p w14:paraId="0BE237A0" w14:textId="59CD159D" w:rsidR="006259CA" w:rsidRDefault="006259CA" w:rsidP="00D62B67">
      <w:pPr>
        <w:jc w:val="both"/>
        <w:rPr>
          <w:lang w:val="de-DE"/>
        </w:rPr>
      </w:pPr>
      <w:r w:rsidRPr="006259CA">
        <w:rPr>
          <w:lang w:val="de-DE"/>
        </w:rPr>
        <w:t>während des Übergangs zur Demokratie</w:t>
      </w:r>
      <w:r>
        <w:rPr>
          <w:lang w:val="de-DE"/>
        </w:rPr>
        <w:t xml:space="preserve">. Spanien wird hier als Beispiel für ein Land angegeben, in dem die Demokratisierung nicht zu einer substanziellen Reduktion der Einkommensungleichheit führte. </w:t>
      </w:r>
      <w:r w:rsidR="00DA599D">
        <w:rPr>
          <w:lang w:val="de-DE"/>
        </w:rPr>
        <w:t>Die Autoren beziehen sich auf die „</w:t>
      </w:r>
      <w:proofErr w:type="spellStart"/>
      <w:r w:rsidR="00DA599D">
        <w:rPr>
          <w:lang w:val="de-DE"/>
        </w:rPr>
        <w:t>Household</w:t>
      </w:r>
      <w:proofErr w:type="spellEnd"/>
      <w:r w:rsidR="00DA599D">
        <w:rPr>
          <w:lang w:val="de-DE"/>
        </w:rPr>
        <w:t xml:space="preserve"> Budget Surveys“ und nutzen Einnahmen-Ausgaben Diskrepanzen, um für Unter-Reporting hoher Einkommen zu kontrollieren.</w:t>
      </w:r>
    </w:p>
    <w:p w14:paraId="308ABA84" w14:textId="77777777" w:rsidR="00194124" w:rsidRDefault="00194124" w:rsidP="00D62B67">
      <w:pPr>
        <w:jc w:val="both"/>
        <w:rPr>
          <w:lang w:val="de-DE"/>
        </w:rPr>
      </w:pPr>
    </w:p>
    <w:p w14:paraId="55963207" w14:textId="0E768F05" w:rsidR="00BC3B04" w:rsidRPr="00946791" w:rsidRDefault="00946791" w:rsidP="00946791">
      <w:pPr>
        <w:pStyle w:val="Listenabsatz"/>
        <w:numPr>
          <w:ilvl w:val="0"/>
          <w:numId w:val="1"/>
        </w:numPr>
        <w:jc w:val="both"/>
        <w:rPr>
          <w:lang w:val="de-DE"/>
        </w:rPr>
      </w:pPr>
      <w:proofErr w:type="spellStart"/>
      <w:r w:rsidRPr="00946791">
        <w:rPr>
          <w:lang w:val="de-DE"/>
        </w:rPr>
        <w:t>Hellebrandt</w:t>
      </w:r>
      <w:proofErr w:type="spellEnd"/>
      <w:r w:rsidRPr="00946791">
        <w:rPr>
          <w:lang w:val="de-DE"/>
        </w:rPr>
        <w:t xml:space="preserve">, Tomas, Income </w:t>
      </w:r>
      <w:proofErr w:type="spellStart"/>
      <w:r w:rsidRPr="00946791">
        <w:rPr>
          <w:lang w:val="de-DE"/>
        </w:rPr>
        <w:t>Inequality</w:t>
      </w:r>
      <w:proofErr w:type="spellEnd"/>
      <w:r w:rsidRPr="00946791">
        <w:rPr>
          <w:lang w:val="de-DE"/>
        </w:rPr>
        <w:t xml:space="preserve"> </w:t>
      </w:r>
      <w:proofErr w:type="spellStart"/>
      <w:r w:rsidRPr="00946791">
        <w:rPr>
          <w:lang w:val="de-DE"/>
        </w:rPr>
        <w:t>Developments</w:t>
      </w:r>
      <w:proofErr w:type="spellEnd"/>
      <w:r w:rsidRPr="00946791">
        <w:rPr>
          <w:lang w:val="de-DE"/>
        </w:rPr>
        <w:t xml:space="preserve"> in </w:t>
      </w:r>
      <w:proofErr w:type="spellStart"/>
      <w:r w:rsidRPr="00946791">
        <w:rPr>
          <w:lang w:val="de-DE"/>
        </w:rPr>
        <w:t>the</w:t>
      </w:r>
      <w:proofErr w:type="spellEnd"/>
      <w:r w:rsidRPr="00946791">
        <w:rPr>
          <w:lang w:val="de-DE"/>
        </w:rPr>
        <w:t xml:space="preserve"> Great </w:t>
      </w:r>
      <w:proofErr w:type="spellStart"/>
      <w:r w:rsidRPr="00946791">
        <w:rPr>
          <w:lang w:val="de-DE"/>
        </w:rPr>
        <w:t>Recession</w:t>
      </w:r>
      <w:proofErr w:type="spellEnd"/>
      <w:r w:rsidRPr="00946791">
        <w:rPr>
          <w:lang w:val="de-DE"/>
        </w:rPr>
        <w:t xml:space="preserve"> (April 2014). </w:t>
      </w:r>
      <w:proofErr w:type="spellStart"/>
      <w:r w:rsidRPr="00946791">
        <w:rPr>
          <w:lang w:val="de-DE"/>
        </w:rPr>
        <w:t>SOEPpaper</w:t>
      </w:r>
      <w:proofErr w:type="spellEnd"/>
      <w:r w:rsidRPr="00946791">
        <w:rPr>
          <w:lang w:val="de-DE"/>
        </w:rPr>
        <w:t xml:space="preserve"> </w:t>
      </w:r>
      <w:proofErr w:type="spellStart"/>
      <w:r w:rsidRPr="00946791">
        <w:rPr>
          <w:lang w:val="de-DE"/>
        </w:rPr>
        <w:t>No</w:t>
      </w:r>
      <w:proofErr w:type="spellEnd"/>
      <w:r w:rsidRPr="00946791">
        <w:rPr>
          <w:lang w:val="de-DE"/>
        </w:rPr>
        <w:t>. 644.</w:t>
      </w:r>
    </w:p>
    <w:p w14:paraId="73B1FE52" w14:textId="77777777" w:rsidR="00946791" w:rsidRDefault="00946791" w:rsidP="00D62B67">
      <w:pPr>
        <w:jc w:val="both"/>
        <w:rPr>
          <w:lang w:val="de-DE"/>
        </w:rPr>
      </w:pPr>
    </w:p>
    <w:p w14:paraId="7E0A0A29" w14:textId="36CB212C" w:rsidR="00BC3B04" w:rsidRDefault="00BC3B04" w:rsidP="00D62B67">
      <w:pPr>
        <w:jc w:val="both"/>
        <w:rPr>
          <w:lang w:val="de-DE"/>
        </w:rPr>
      </w:pPr>
      <w:r>
        <w:rPr>
          <w:lang w:val="de-DE"/>
        </w:rPr>
        <w:t xml:space="preserve">Der Artikel untersucht die kurzfristigen Auswirkungen der Krise (2007-2010) auf 8 europäische Volkswirtschaften. Datenquelle: SOEP. In Spanien stieg in dieser Zeit die Ungleichheit der verfügbaren Einkommen erheblich an. Durch den Beschäftigungsrückgang stieg die Ungleichheit der Arbeitseinkommen stark. Das Arbeitslosengeld ging in Spanien in diesem Zeitraum zurück, was dazu führte, dass </w:t>
      </w:r>
      <w:r w:rsidR="00A9275B">
        <w:rPr>
          <w:lang w:val="de-DE"/>
        </w:rPr>
        <w:t>Empfänger dieser Ausgleichszahlungen in der Einkommensverteilung weiter nach unten rutschten.</w:t>
      </w:r>
    </w:p>
    <w:p w14:paraId="67E9B97C" w14:textId="77777777" w:rsidR="004B4D1C" w:rsidRDefault="004B4D1C" w:rsidP="00D62B67">
      <w:pPr>
        <w:jc w:val="both"/>
        <w:rPr>
          <w:lang w:val="de-DE"/>
        </w:rPr>
      </w:pPr>
    </w:p>
    <w:p w14:paraId="17EC15DA" w14:textId="6298D340" w:rsidR="0049702C" w:rsidRPr="00946791" w:rsidRDefault="00946791" w:rsidP="00946791">
      <w:pPr>
        <w:pStyle w:val="Listenabsatz"/>
        <w:numPr>
          <w:ilvl w:val="0"/>
          <w:numId w:val="1"/>
        </w:numPr>
        <w:jc w:val="both"/>
        <w:rPr>
          <w:lang w:val="de-DE"/>
        </w:rPr>
      </w:pPr>
      <w:r w:rsidRPr="00946791">
        <w:rPr>
          <w:lang w:val="de-DE"/>
        </w:rPr>
        <w:t xml:space="preserve">Josep </w:t>
      </w:r>
      <w:proofErr w:type="spellStart"/>
      <w:r w:rsidRPr="00946791">
        <w:rPr>
          <w:lang w:val="de-DE"/>
        </w:rPr>
        <w:t>Pijoan</w:t>
      </w:r>
      <w:proofErr w:type="spellEnd"/>
      <w:r w:rsidRPr="00946791">
        <w:rPr>
          <w:lang w:val="de-DE"/>
        </w:rPr>
        <w:t xml:space="preserve">-Mas &amp; Virginia Sanchez-Marcos, 2010. "Spain </w:t>
      </w:r>
      <w:proofErr w:type="spellStart"/>
      <w:r w:rsidRPr="00946791">
        <w:rPr>
          <w:lang w:val="de-DE"/>
        </w:rPr>
        <w:t>is</w:t>
      </w:r>
      <w:proofErr w:type="spellEnd"/>
      <w:r w:rsidRPr="00946791">
        <w:rPr>
          <w:lang w:val="de-DE"/>
        </w:rPr>
        <w:t xml:space="preserve"> Different: </w:t>
      </w:r>
      <w:proofErr w:type="spellStart"/>
      <w:r w:rsidRPr="00946791">
        <w:rPr>
          <w:lang w:val="de-DE"/>
        </w:rPr>
        <w:t>Falling</w:t>
      </w:r>
      <w:proofErr w:type="spellEnd"/>
      <w:r w:rsidRPr="00946791">
        <w:rPr>
          <w:lang w:val="de-DE"/>
        </w:rPr>
        <w:t xml:space="preserve"> Trends </w:t>
      </w:r>
      <w:proofErr w:type="spellStart"/>
      <w:r w:rsidRPr="00946791">
        <w:rPr>
          <w:lang w:val="de-DE"/>
        </w:rPr>
        <w:t>of</w:t>
      </w:r>
      <w:proofErr w:type="spellEnd"/>
      <w:r w:rsidRPr="00946791">
        <w:rPr>
          <w:lang w:val="de-DE"/>
        </w:rPr>
        <w:t xml:space="preserve"> </w:t>
      </w:r>
      <w:proofErr w:type="spellStart"/>
      <w:r w:rsidRPr="00946791">
        <w:rPr>
          <w:lang w:val="de-DE"/>
        </w:rPr>
        <w:t>Inequality</w:t>
      </w:r>
      <w:proofErr w:type="spellEnd"/>
      <w:r w:rsidRPr="00946791">
        <w:rPr>
          <w:lang w:val="de-DE"/>
        </w:rPr>
        <w:t xml:space="preserve">," Review </w:t>
      </w:r>
      <w:proofErr w:type="spellStart"/>
      <w:r w:rsidRPr="00946791">
        <w:rPr>
          <w:lang w:val="de-DE"/>
        </w:rPr>
        <w:t>of</w:t>
      </w:r>
      <w:proofErr w:type="spellEnd"/>
      <w:r w:rsidRPr="00946791">
        <w:rPr>
          <w:lang w:val="de-DE"/>
        </w:rPr>
        <w:t xml:space="preserve"> </w:t>
      </w:r>
      <w:proofErr w:type="spellStart"/>
      <w:r w:rsidRPr="00946791">
        <w:rPr>
          <w:lang w:val="de-DE"/>
        </w:rPr>
        <w:t>Economic</w:t>
      </w:r>
      <w:proofErr w:type="spellEnd"/>
      <w:r w:rsidRPr="00946791">
        <w:rPr>
          <w:lang w:val="de-DE"/>
        </w:rPr>
        <w:t xml:space="preserve"> Dynamics, </w:t>
      </w:r>
      <w:proofErr w:type="spellStart"/>
      <w:r w:rsidRPr="00946791">
        <w:rPr>
          <w:lang w:val="de-DE"/>
        </w:rPr>
        <w:t>Elsevier</w:t>
      </w:r>
      <w:proofErr w:type="spellEnd"/>
      <w:r w:rsidRPr="00946791">
        <w:rPr>
          <w:lang w:val="de-DE"/>
        </w:rPr>
        <w:t xml:space="preserve"> </w:t>
      </w:r>
      <w:proofErr w:type="spellStart"/>
      <w:r w:rsidRPr="00946791">
        <w:rPr>
          <w:lang w:val="de-DE"/>
        </w:rPr>
        <w:t>for</w:t>
      </w:r>
      <w:proofErr w:type="spellEnd"/>
      <w:r w:rsidRPr="00946791">
        <w:rPr>
          <w:lang w:val="de-DE"/>
        </w:rPr>
        <w:t xml:space="preserve"> </w:t>
      </w:r>
      <w:proofErr w:type="spellStart"/>
      <w:r w:rsidRPr="00946791">
        <w:rPr>
          <w:lang w:val="de-DE"/>
        </w:rPr>
        <w:t>the</w:t>
      </w:r>
      <w:proofErr w:type="spellEnd"/>
      <w:r w:rsidRPr="00946791">
        <w:rPr>
          <w:lang w:val="de-DE"/>
        </w:rPr>
        <w:t xml:space="preserve"> Society </w:t>
      </w:r>
      <w:proofErr w:type="spellStart"/>
      <w:r w:rsidRPr="00946791">
        <w:rPr>
          <w:lang w:val="de-DE"/>
        </w:rPr>
        <w:t>for</w:t>
      </w:r>
      <w:proofErr w:type="spellEnd"/>
      <w:r w:rsidRPr="00946791">
        <w:rPr>
          <w:lang w:val="de-DE"/>
        </w:rPr>
        <w:t xml:space="preserve"> </w:t>
      </w:r>
      <w:proofErr w:type="spellStart"/>
      <w:r w:rsidRPr="00946791">
        <w:rPr>
          <w:lang w:val="de-DE"/>
        </w:rPr>
        <w:t>Economic</w:t>
      </w:r>
      <w:proofErr w:type="spellEnd"/>
      <w:r w:rsidRPr="00946791">
        <w:rPr>
          <w:lang w:val="de-DE"/>
        </w:rPr>
        <w:t xml:space="preserve"> Dynamics, vol. 13(1), </w:t>
      </w:r>
      <w:proofErr w:type="spellStart"/>
      <w:r w:rsidRPr="00946791">
        <w:rPr>
          <w:lang w:val="de-DE"/>
        </w:rPr>
        <w:t>pages</w:t>
      </w:r>
      <w:proofErr w:type="spellEnd"/>
      <w:r w:rsidRPr="00946791">
        <w:rPr>
          <w:lang w:val="de-DE"/>
        </w:rPr>
        <w:t xml:space="preserve"> 154-178.</w:t>
      </w:r>
    </w:p>
    <w:p w14:paraId="1BED238E" w14:textId="77777777" w:rsidR="00946791" w:rsidRDefault="00946791" w:rsidP="00D62B67">
      <w:pPr>
        <w:jc w:val="both"/>
        <w:rPr>
          <w:lang w:val="de-DE"/>
        </w:rPr>
      </w:pPr>
    </w:p>
    <w:p w14:paraId="570F170C" w14:textId="2272011A" w:rsidR="0049702C" w:rsidRDefault="0049702C" w:rsidP="00D62B67">
      <w:pPr>
        <w:jc w:val="both"/>
        <w:rPr>
          <w:lang w:val="de-DE"/>
        </w:rPr>
      </w:pPr>
      <w:r w:rsidRPr="0049702C">
        <w:rPr>
          <w:lang w:val="de-DE"/>
        </w:rPr>
        <w:t xml:space="preserve">In diesem Artikel </w:t>
      </w:r>
      <w:r>
        <w:rPr>
          <w:lang w:val="de-DE"/>
        </w:rPr>
        <w:t>wird die</w:t>
      </w:r>
      <w:r w:rsidRPr="0049702C">
        <w:rPr>
          <w:lang w:val="de-DE"/>
        </w:rPr>
        <w:t xml:space="preserve"> Entwicklung von</w:t>
      </w:r>
      <w:r>
        <w:rPr>
          <w:lang w:val="de-DE"/>
        </w:rPr>
        <w:t xml:space="preserve"> </w:t>
      </w:r>
      <w:r w:rsidRPr="0049702C">
        <w:rPr>
          <w:lang w:val="de-DE"/>
        </w:rPr>
        <w:t>Ungleichheit bei Stundenlohn, Arbeitszeit, Arbeitseinkommen, Haushaltseinkommen und</w:t>
      </w:r>
      <w:r>
        <w:rPr>
          <w:lang w:val="de-DE"/>
        </w:rPr>
        <w:t xml:space="preserve"> </w:t>
      </w:r>
      <w:r w:rsidRPr="0049702C">
        <w:rPr>
          <w:lang w:val="de-DE"/>
        </w:rPr>
        <w:t>Haushaltsverbrauch für Spanien</w:t>
      </w:r>
      <w:r>
        <w:rPr>
          <w:lang w:val="de-DE"/>
        </w:rPr>
        <w:t xml:space="preserve"> von 1985-2000 beschrieben</w:t>
      </w:r>
      <w:r w:rsidRPr="0049702C">
        <w:rPr>
          <w:lang w:val="de-DE"/>
        </w:rPr>
        <w:t xml:space="preserve">. </w:t>
      </w:r>
      <w:r>
        <w:rPr>
          <w:lang w:val="de-DE"/>
        </w:rPr>
        <w:t xml:space="preserve">Datenquelle: </w:t>
      </w:r>
      <w:proofErr w:type="spellStart"/>
      <w:r w:rsidRPr="0049702C">
        <w:rPr>
          <w:lang w:val="de-DE"/>
        </w:rPr>
        <w:t>Encuesta</w:t>
      </w:r>
      <w:proofErr w:type="spellEnd"/>
      <w:r w:rsidRPr="0049702C">
        <w:rPr>
          <w:lang w:val="de-DE"/>
        </w:rPr>
        <w:t xml:space="preserve"> </w:t>
      </w:r>
      <w:proofErr w:type="spellStart"/>
      <w:r w:rsidRPr="0049702C">
        <w:rPr>
          <w:lang w:val="de-DE"/>
        </w:rPr>
        <w:t>Continua</w:t>
      </w:r>
      <w:proofErr w:type="spellEnd"/>
      <w:r w:rsidRPr="0049702C">
        <w:rPr>
          <w:lang w:val="de-DE"/>
        </w:rPr>
        <w:t xml:space="preserve"> de </w:t>
      </w:r>
      <w:proofErr w:type="spellStart"/>
      <w:r w:rsidRPr="0049702C">
        <w:rPr>
          <w:lang w:val="de-DE"/>
        </w:rPr>
        <w:t>Pre-Supuestos</w:t>
      </w:r>
      <w:proofErr w:type="spellEnd"/>
      <w:r w:rsidRPr="0049702C">
        <w:rPr>
          <w:lang w:val="de-DE"/>
        </w:rPr>
        <w:t xml:space="preserve"> </w:t>
      </w:r>
      <w:proofErr w:type="spellStart"/>
      <w:r w:rsidRPr="0049702C">
        <w:rPr>
          <w:lang w:val="de-DE"/>
        </w:rPr>
        <w:t>Familiares</w:t>
      </w:r>
      <w:proofErr w:type="spellEnd"/>
      <w:r w:rsidRPr="0049702C">
        <w:rPr>
          <w:lang w:val="de-DE"/>
        </w:rPr>
        <w:t xml:space="preserve"> </w:t>
      </w:r>
      <w:r>
        <w:rPr>
          <w:lang w:val="de-DE"/>
        </w:rPr>
        <w:t>&amp;</w:t>
      </w:r>
      <w:r w:rsidRPr="0049702C">
        <w:rPr>
          <w:lang w:val="de-DE"/>
        </w:rPr>
        <w:t xml:space="preserve"> European Community Community Panel. </w:t>
      </w:r>
      <w:r>
        <w:rPr>
          <w:lang w:val="de-DE"/>
        </w:rPr>
        <w:t xml:space="preserve">Bei den Arbeitseinkommen ist in diesem Zeitraum die Ungleichheit erheblich gesunken. Der Rückgang von Bildungsrendite und der Arbeitslosenquote waren entscheidende Faktoren für den fallenden Trend. Im Papier wird auch auf institutionelle Änderungen in diesem Zeitraum eingegangen. Ungleichheitsmaße: Varianz des Logarithmus, GINI, </w:t>
      </w:r>
      <w:r w:rsidRPr="0049702C">
        <w:rPr>
          <w:lang w:val="de-DE"/>
        </w:rPr>
        <w:t xml:space="preserve">50th-10th </w:t>
      </w:r>
      <w:r>
        <w:rPr>
          <w:lang w:val="de-DE"/>
        </w:rPr>
        <w:t>&amp;</w:t>
      </w:r>
      <w:r w:rsidRPr="0049702C">
        <w:rPr>
          <w:lang w:val="de-DE"/>
        </w:rPr>
        <w:t xml:space="preserve"> 90th-50th </w:t>
      </w:r>
      <w:proofErr w:type="spellStart"/>
      <w:r w:rsidRPr="0049702C">
        <w:rPr>
          <w:lang w:val="de-DE"/>
        </w:rPr>
        <w:t>percentile</w:t>
      </w:r>
      <w:proofErr w:type="spellEnd"/>
      <w:r w:rsidRPr="0049702C">
        <w:rPr>
          <w:lang w:val="de-DE"/>
        </w:rPr>
        <w:t xml:space="preserve"> </w:t>
      </w:r>
      <w:proofErr w:type="spellStart"/>
      <w:r w:rsidRPr="0049702C">
        <w:rPr>
          <w:lang w:val="de-DE"/>
        </w:rPr>
        <w:t>ratios</w:t>
      </w:r>
      <w:proofErr w:type="spellEnd"/>
      <w:r w:rsidRPr="0049702C">
        <w:rPr>
          <w:lang w:val="de-DE"/>
        </w:rPr>
        <w:t>.</w:t>
      </w:r>
    </w:p>
    <w:p w14:paraId="6880ABCB" w14:textId="77777777" w:rsidR="003A5BC0" w:rsidRDefault="003A5BC0" w:rsidP="00D62B67">
      <w:pPr>
        <w:jc w:val="both"/>
        <w:rPr>
          <w:lang w:val="de-DE"/>
        </w:rPr>
      </w:pPr>
    </w:p>
    <w:p w14:paraId="2B4B82EF" w14:textId="77777777" w:rsidR="003A5BC0" w:rsidRDefault="003A5BC0" w:rsidP="00D62B67">
      <w:pPr>
        <w:jc w:val="both"/>
        <w:rPr>
          <w:lang w:val="de-DE"/>
        </w:rPr>
      </w:pPr>
    </w:p>
    <w:p w14:paraId="0AEACBCA" w14:textId="35033E36" w:rsidR="003A5BC0" w:rsidRDefault="003A5BC0" w:rsidP="00D62B67">
      <w:pPr>
        <w:jc w:val="both"/>
        <w:rPr>
          <w:lang w:val="de-DE"/>
        </w:rPr>
      </w:pPr>
      <w:r w:rsidRPr="003A5BC0">
        <w:rPr>
          <w:lang w:val="de-DE"/>
        </w:rPr>
        <w:sym w:font="Wingdings" w:char="F0E0"/>
      </w:r>
      <w:r>
        <w:rPr>
          <w:lang w:val="de-DE"/>
        </w:rPr>
        <w:t xml:space="preserve"> Selbsteinschätzung: Welche Themenbereiche sollten noch abgedeckt werden?</w:t>
      </w:r>
    </w:p>
    <w:p w14:paraId="0D9C01F1" w14:textId="6D252946" w:rsidR="003A5BC0" w:rsidRPr="007F5F05" w:rsidRDefault="003A5BC0" w:rsidP="00D62B67">
      <w:pPr>
        <w:jc w:val="both"/>
        <w:rPr>
          <w:lang w:val="de-DE"/>
        </w:rPr>
      </w:pPr>
      <w:r>
        <w:rPr>
          <w:lang w:val="de-DE"/>
        </w:rPr>
        <w:t>Informationen zu Transfersystem und Strukturreformen erweitern.</w:t>
      </w:r>
      <w:bookmarkStart w:id="0" w:name="_GoBack"/>
      <w:bookmarkEnd w:id="0"/>
    </w:p>
    <w:sectPr w:rsidR="003A5BC0" w:rsidRPr="007F5F05" w:rsidSect="00D956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82CD3"/>
    <w:multiLevelType w:val="hybridMultilevel"/>
    <w:tmpl w:val="E6F04406"/>
    <w:lvl w:ilvl="0" w:tplc="0407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3CC"/>
    <w:rsid w:val="00077987"/>
    <w:rsid w:val="000808F5"/>
    <w:rsid w:val="00122E34"/>
    <w:rsid w:val="0017662D"/>
    <w:rsid w:val="00194124"/>
    <w:rsid w:val="001E295B"/>
    <w:rsid w:val="00246019"/>
    <w:rsid w:val="003101FA"/>
    <w:rsid w:val="003A5BC0"/>
    <w:rsid w:val="003B5D11"/>
    <w:rsid w:val="0049702C"/>
    <w:rsid w:val="004B4D1C"/>
    <w:rsid w:val="004B5321"/>
    <w:rsid w:val="00570254"/>
    <w:rsid w:val="00594358"/>
    <w:rsid w:val="006259CA"/>
    <w:rsid w:val="007D03CC"/>
    <w:rsid w:val="007E6D22"/>
    <w:rsid w:val="007F4A2F"/>
    <w:rsid w:val="007F5F05"/>
    <w:rsid w:val="008164BB"/>
    <w:rsid w:val="008D1C97"/>
    <w:rsid w:val="0090311B"/>
    <w:rsid w:val="00946791"/>
    <w:rsid w:val="00A21615"/>
    <w:rsid w:val="00A4067E"/>
    <w:rsid w:val="00A9275B"/>
    <w:rsid w:val="00B255B8"/>
    <w:rsid w:val="00B60BCC"/>
    <w:rsid w:val="00BC3B04"/>
    <w:rsid w:val="00BC4C96"/>
    <w:rsid w:val="00D55ABD"/>
    <w:rsid w:val="00D62B67"/>
    <w:rsid w:val="00D762F1"/>
    <w:rsid w:val="00D956ED"/>
    <w:rsid w:val="00DA599D"/>
    <w:rsid w:val="00E302BF"/>
    <w:rsid w:val="00E4717A"/>
    <w:rsid w:val="00F17D91"/>
    <w:rsid w:val="00F303C9"/>
    <w:rsid w:val="00F80DAB"/>
    <w:rsid w:val="00FD66B7"/>
    <w:rsid w:val="00FF3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CBC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717A"/>
    <w:pPr>
      <w:ind w:left="720"/>
      <w:contextualSpacing/>
    </w:pPr>
  </w:style>
  <w:style w:type="paragraph" w:styleId="StandardWeb">
    <w:name w:val="Normal (Web)"/>
    <w:basedOn w:val="Standard"/>
    <w:uiPriority w:val="99"/>
    <w:unhideWhenUsed/>
    <w:rsid w:val="00077987"/>
    <w:pPr>
      <w:spacing w:before="100" w:beforeAutospacing="1" w:after="100" w:afterAutospacing="1"/>
    </w:pPr>
    <w:rPr>
      <w:rFonts w:ascii="Times New Roman" w:hAnsi="Times New Roman" w:cs="Times New Roman"/>
      <w:lang w:eastAsia="en-GB"/>
    </w:rPr>
  </w:style>
  <w:style w:type="character" w:styleId="Link">
    <w:name w:val="Hyperlink"/>
    <w:basedOn w:val="Absatz-Standardschriftart"/>
    <w:uiPriority w:val="99"/>
    <w:unhideWhenUsed/>
    <w:rsid w:val="007F5F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99552">
      <w:bodyDiv w:val="1"/>
      <w:marLeft w:val="0"/>
      <w:marRight w:val="0"/>
      <w:marTop w:val="0"/>
      <w:marBottom w:val="0"/>
      <w:divBdr>
        <w:top w:val="none" w:sz="0" w:space="0" w:color="auto"/>
        <w:left w:val="none" w:sz="0" w:space="0" w:color="auto"/>
        <w:bottom w:val="none" w:sz="0" w:space="0" w:color="auto"/>
        <w:right w:val="none" w:sz="0" w:space="0" w:color="auto"/>
      </w:divBdr>
      <w:divsChild>
        <w:div w:id="2021854203">
          <w:marLeft w:val="0"/>
          <w:marRight w:val="0"/>
          <w:marTop w:val="0"/>
          <w:marBottom w:val="0"/>
          <w:divBdr>
            <w:top w:val="none" w:sz="0" w:space="0" w:color="auto"/>
            <w:left w:val="none" w:sz="0" w:space="0" w:color="auto"/>
            <w:bottom w:val="none" w:sz="0" w:space="0" w:color="auto"/>
            <w:right w:val="none" w:sz="0" w:space="0" w:color="auto"/>
          </w:divBdr>
          <w:divsChild>
            <w:div w:id="1334576715">
              <w:marLeft w:val="0"/>
              <w:marRight w:val="0"/>
              <w:marTop w:val="0"/>
              <w:marBottom w:val="0"/>
              <w:divBdr>
                <w:top w:val="none" w:sz="0" w:space="0" w:color="auto"/>
                <w:left w:val="none" w:sz="0" w:space="0" w:color="auto"/>
                <w:bottom w:val="none" w:sz="0" w:space="0" w:color="auto"/>
                <w:right w:val="none" w:sz="0" w:space="0" w:color="auto"/>
              </w:divBdr>
              <w:divsChild>
                <w:div w:id="2040625813">
                  <w:marLeft w:val="0"/>
                  <w:marRight w:val="0"/>
                  <w:marTop w:val="0"/>
                  <w:marBottom w:val="0"/>
                  <w:divBdr>
                    <w:top w:val="none" w:sz="0" w:space="0" w:color="auto"/>
                    <w:left w:val="none" w:sz="0" w:space="0" w:color="auto"/>
                    <w:bottom w:val="none" w:sz="0" w:space="0" w:color="auto"/>
                    <w:right w:val="none" w:sz="0" w:space="0" w:color="auto"/>
                  </w:divBdr>
                  <w:divsChild>
                    <w:div w:id="20543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604709">
      <w:bodyDiv w:val="1"/>
      <w:marLeft w:val="0"/>
      <w:marRight w:val="0"/>
      <w:marTop w:val="0"/>
      <w:marBottom w:val="0"/>
      <w:divBdr>
        <w:top w:val="none" w:sz="0" w:space="0" w:color="auto"/>
        <w:left w:val="none" w:sz="0" w:space="0" w:color="auto"/>
        <w:bottom w:val="none" w:sz="0" w:space="0" w:color="auto"/>
        <w:right w:val="none" w:sz="0" w:space="0" w:color="auto"/>
      </w:divBdr>
      <w:divsChild>
        <w:div w:id="456875579">
          <w:marLeft w:val="0"/>
          <w:marRight w:val="0"/>
          <w:marTop w:val="0"/>
          <w:marBottom w:val="0"/>
          <w:divBdr>
            <w:top w:val="none" w:sz="0" w:space="0" w:color="auto"/>
            <w:left w:val="none" w:sz="0" w:space="0" w:color="auto"/>
            <w:bottom w:val="none" w:sz="0" w:space="0" w:color="auto"/>
            <w:right w:val="none" w:sz="0" w:space="0" w:color="auto"/>
          </w:divBdr>
          <w:divsChild>
            <w:div w:id="2007974740">
              <w:marLeft w:val="0"/>
              <w:marRight w:val="0"/>
              <w:marTop w:val="0"/>
              <w:marBottom w:val="0"/>
              <w:divBdr>
                <w:top w:val="none" w:sz="0" w:space="0" w:color="auto"/>
                <w:left w:val="none" w:sz="0" w:space="0" w:color="auto"/>
                <w:bottom w:val="none" w:sz="0" w:space="0" w:color="auto"/>
                <w:right w:val="none" w:sz="0" w:space="0" w:color="auto"/>
              </w:divBdr>
              <w:divsChild>
                <w:div w:id="10109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0962">
      <w:bodyDiv w:val="1"/>
      <w:marLeft w:val="0"/>
      <w:marRight w:val="0"/>
      <w:marTop w:val="0"/>
      <w:marBottom w:val="0"/>
      <w:divBdr>
        <w:top w:val="none" w:sz="0" w:space="0" w:color="auto"/>
        <w:left w:val="none" w:sz="0" w:space="0" w:color="auto"/>
        <w:bottom w:val="none" w:sz="0" w:space="0" w:color="auto"/>
        <w:right w:val="none" w:sz="0" w:space="0" w:color="auto"/>
      </w:divBdr>
      <w:divsChild>
        <w:div w:id="591090679">
          <w:marLeft w:val="0"/>
          <w:marRight w:val="0"/>
          <w:marTop w:val="0"/>
          <w:marBottom w:val="0"/>
          <w:divBdr>
            <w:top w:val="none" w:sz="0" w:space="0" w:color="auto"/>
            <w:left w:val="none" w:sz="0" w:space="0" w:color="auto"/>
            <w:bottom w:val="none" w:sz="0" w:space="0" w:color="auto"/>
            <w:right w:val="none" w:sz="0" w:space="0" w:color="auto"/>
          </w:divBdr>
          <w:divsChild>
            <w:div w:id="1540584333">
              <w:marLeft w:val="0"/>
              <w:marRight w:val="0"/>
              <w:marTop w:val="0"/>
              <w:marBottom w:val="0"/>
              <w:divBdr>
                <w:top w:val="none" w:sz="0" w:space="0" w:color="auto"/>
                <w:left w:val="none" w:sz="0" w:space="0" w:color="auto"/>
                <w:bottom w:val="none" w:sz="0" w:space="0" w:color="auto"/>
                <w:right w:val="none" w:sz="0" w:space="0" w:color="auto"/>
              </w:divBdr>
              <w:divsChild>
                <w:div w:id="3879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7173">
      <w:bodyDiv w:val="1"/>
      <w:marLeft w:val="0"/>
      <w:marRight w:val="0"/>
      <w:marTop w:val="0"/>
      <w:marBottom w:val="0"/>
      <w:divBdr>
        <w:top w:val="none" w:sz="0" w:space="0" w:color="auto"/>
        <w:left w:val="none" w:sz="0" w:space="0" w:color="auto"/>
        <w:bottom w:val="none" w:sz="0" w:space="0" w:color="auto"/>
        <w:right w:val="none" w:sz="0" w:space="0" w:color="auto"/>
      </w:divBdr>
      <w:divsChild>
        <w:div w:id="1277129614">
          <w:marLeft w:val="0"/>
          <w:marRight w:val="0"/>
          <w:marTop w:val="0"/>
          <w:marBottom w:val="0"/>
          <w:divBdr>
            <w:top w:val="none" w:sz="0" w:space="0" w:color="auto"/>
            <w:left w:val="none" w:sz="0" w:space="0" w:color="auto"/>
            <w:bottom w:val="none" w:sz="0" w:space="0" w:color="auto"/>
            <w:right w:val="none" w:sz="0" w:space="0" w:color="auto"/>
          </w:divBdr>
          <w:divsChild>
            <w:div w:id="28184345">
              <w:marLeft w:val="0"/>
              <w:marRight w:val="0"/>
              <w:marTop w:val="0"/>
              <w:marBottom w:val="0"/>
              <w:divBdr>
                <w:top w:val="none" w:sz="0" w:space="0" w:color="auto"/>
                <w:left w:val="none" w:sz="0" w:space="0" w:color="auto"/>
                <w:bottom w:val="none" w:sz="0" w:space="0" w:color="auto"/>
                <w:right w:val="none" w:sz="0" w:space="0" w:color="auto"/>
              </w:divBdr>
              <w:divsChild>
                <w:div w:id="13980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23676">
      <w:bodyDiv w:val="1"/>
      <w:marLeft w:val="0"/>
      <w:marRight w:val="0"/>
      <w:marTop w:val="0"/>
      <w:marBottom w:val="0"/>
      <w:divBdr>
        <w:top w:val="none" w:sz="0" w:space="0" w:color="auto"/>
        <w:left w:val="none" w:sz="0" w:space="0" w:color="auto"/>
        <w:bottom w:val="none" w:sz="0" w:space="0" w:color="auto"/>
        <w:right w:val="none" w:sz="0" w:space="0" w:color="auto"/>
      </w:divBdr>
      <w:divsChild>
        <w:div w:id="860901785">
          <w:marLeft w:val="0"/>
          <w:marRight w:val="0"/>
          <w:marTop w:val="0"/>
          <w:marBottom w:val="0"/>
          <w:divBdr>
            <w:top w:val="none" w:sz="0" w:space="0" w:color="auto"/>
            <w:left w:val="none" w:sz="0" w:space="0" w:color="auto"/>
            <w:bottom w:val="none" w:sz="0" w:space="0" w:color="auto"/>
            <w:right w:val="none" w:sz="0" w:space="0" w:color="auto"/>
          </w:divBdr>
          <w:divsChild>
            <w:div w:id="1024595651">
              <w:marLeft w:val="0"/>
              <w:marRight w:val="0"/>
              <w:marTop w:val="0"/>
              <w:marBottom w:val="0"/>
              <w:divBdr>
                <w:top w:val="none" w:sz="0" w:space="0" w:color="auto"/>
                <w:left w:val="none" w:sz="0" w:space="0" w:color="auto"/>
                <w:bottom w:val="none" w:sz="0" w:space="0" w:color="auto"/>
                <w:right w:val="none" w:sz="0" w:space="0" w:color="auto"/>
              </w:divBdr>
              <w:divsChild>
                <w:div w:id="10023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id.world/document/wealth-spain-1900-2014-country-two-lands-wid-world-working-paper-2018-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1129</Words>
  <Characters>7113</Characters>
  <Application>Microsoft Macintosh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Braid Alois</dc:creator>
  <cp:keywords/>
  <dc:description/>
  <cp:lastModifiedBy>Barbara Stacherl</cp:lastModifiedBy>
  <cp:revision>15</cp:revision>
  <dcterms:created xsi:type="dcterms:W3CDTF">2018-11-13T14:59:00Z</dcterms:created>
  <dcterms:modified xsi:type="dcterms:W3CDTF">2018-11-14T23:00:00Z</dcterms:modified>
</cp:coreProperties>
</file>