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information: Carbon dynamics in tropical trees from a seasonal dry forest reveals storage-growth trade-off</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David Herrera-Ramírez</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Christine Römermann</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2,3</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Henrik Hartmann</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Susan Trumbore</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Jan Muhr</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1, 4</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Leonardo Maracahipes-Santos</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7</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Paulo Brando</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5, 6,7</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Divino Silvério</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8</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Huang Jianbei</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Iris Kuhlmann</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and Carlos A. Sierra</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1</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Max Planck Institute for Biogeochemistry, Hans-Knöll-Str 10, 07745 Jena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Friedrich Schiller University Jena, Institute for Ecology and Evolution, Philosophenweg 16, 07743, Jena, Germany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3</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German Centre for Integrative Biodiversity Research (iDiv) Halle-Jena-Leipzig, D- 04103 Leipzig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4</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Georg August University Göttingen, Department of Bioclimatology, Büsgenweg 2, 37077 Göttingen, Germany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5</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Department of Earth System Science, University of California, Irvine, CA 92697, USA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67"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6</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Yale School of the Environment, Yale University, New Haven, CT, United States.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335b8a"/>
          <w:sz w:val="20"/>
          <w:szCs w:val="20"/>
          <w:u w:val="none"/>
          <w:shd w:fill="auto" w:val="clear"/>
          <w:vertAlign w:val="superscript"/>
          <w:rtl w:val="0"/>
        </w:rPr>
        <w:t xml:space="preserve">7</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Instituto de Pesquisa Ambiental da Amazônia, Brasília, DF 70863-520, Brazil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8</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Department of Biology, Universidade Federal Rural da Amazônia-UFRA, Capitāo Poço 68650-000, Pará, Brazil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67"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67" w:before="0"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-183634</wp:posOffset>
            </wp:positionH>
            <wp:positionV relativeFrom="paragraph">
              <wp:posOffset>297179</wp:posOffset>
            </wp:positionV>
            <wp:extent cx="6297342" cy="3148671"/>
            <wp:effectExtent b="0" l="0" r="0" t="0"/>
            <wp:wrapNone/>
            <wp:docPr descr="fnCphiiYjsBvL0D5Na3FxAdn4LAMn9hpoaluaaJIKyiPbMSmVgEjLCACrAQqCW_gYUlxhIP-GR-gMjNhqrlEvWvTajmxmyvzQaDd1i3E6bR58-b7NIK9OjkOwR2j8A4SW91y0PXt-F8E.png" id="1073741827" name="image2.png"/>
            <a:graphic>
              <a:graphicData uri="http://schemas.openxmlformats.org/drawingml/2006/picture">
                <pic:pic>
                  <pic:nvPicPr>
                    <pic:cNvPr descr="fnCphiiYjsBvL0D5Na3FxAdn4LAMn9hpoaluaaJIKyiPbMSmVgEjLCACrAQqCW_gYUlxhIP-GR-gMjNhqrlEvWvTajmxmyvzQaDd1i3E6bR58-b7NIK9OjkOwR2j8A4SW91y0PXt-F8E.png" id="0" name="image2.png"/>
                    <pic:cNvPicPr preferRelativeResize="0"/>
                  </pic:nvPicPr>
                  <pic:blipFill>
                    <a:blip r:embed="rId7"/>
                    <a:srcRect b="0" l="0" r="0" t="0"/>
                    <a:stretch>
                      <a:fillRect/>
                    </a:stretch>
                  </pic:blipFill>
                  <pic:spPr>
                    <a:xfrm>
                      <a:off x="0" y="0"/>
                      <a:ext cx="6297342" cy="3148671"/>
                    </a:xfrm>
                    <a:prstGeom prst="rect"/>
                    <a:ln/>
                  </pic:spPr>
                </pic:pic>
              </a:graphicData>
            </a:graphic>
          </wp:anchor>
        </w:drawing>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32"/>
          <w:szCs w:val="32"/>
          <w:u w:val="none"/>
          <w:shd w:fill="auto" w:val="clear"/>
          <w:vertAlign w:val="baseline"/>
          <w:rtl w:val="0"/>
        </w:rPr>
        <w:t xml:space="preserve">Figure S1: Boxplots that show the dispersion of the soluble sugar concentration measured in the wood cores from trees of each evaluated species at different seasons during 2018. No difference was detected between seasons for any of the species.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rPr>
        <w:drawing>
          <wp:anchor allowOverlap="1" behindDoc="0" distB="152400" distT="152400" distL="152400" distR="152400" hidden="0" layoutInCell="1" locked="0" relativeHeight="0" simplePos="0">
            <wp:simplePos x="0" y="0"/>
            <wp:positionH relativeFrom="margin">
              <wp:posOffset>-47624</wp:posOffset>
            </wp:positionH>
            <wp:positionV relativeFrom="page">
              <wp:posOffset>532635</wp:posOffset>
            </wp:positionV>
            <wp:extent cx="3522376" cy="8311328"/>
            <wp:effectExtent b="0" l="0" r="0" t="0"/>
            <wp:wrapSquare wrapText="bothSides" distB="152400" distT="152400" distL="152400" distR="152400"/>
            <wp:docPr descr="FigS2.png" id="1073741828" name="image3.png"/>
            <a:graphic>
              <a:graphicData uri="http://schemas.openxmlformats.org/drawingml/2006/picture">
                <pic:pic>
                  <pic:nvPicPr>
                    <pic:cNvPr descr="FigS2.png" id="0" name="image3.png"/>
                    <pic:cNvPicPr preferRelativeResize="0"/>
                  </pic:nvPicPr>
                  <pic:blipFill>
                    <a:blip r:embed="rId8"/>
                    <a:srcRect b="0" l="0" r="0" t="0"/>
                    <a:stretch>
                      <a:fillRect/>
                    </a:stretch>
                  </pic:blipFill>
                  <pic:spPr>
                    <a:xfrm>
                      <a:off x="0" y="0"/>
                      <a:ext cx="3522376" cy="8311328"/>
                    </a:xfrm>
                    <a:prstGeom prst="rect"/>
                    <a:ln/>
                  </pic:spPr>
                </pic:pic>
              </a:graphicData>
            </a:graphic>
          </wp:anchor>
        </w:drawing>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32"/>
          <w:szCs w:val="32"/>
          <w:u w:val="none"/>
          <w:shd w:fill="auto" w:val="clear"/>
          <w:vertAlign w:val="baseline"/>
          <w:rtl w:val="0"/>
        </w:rPr>
        <w:t xml:space="preserve">Figure S2: Seasonality of mature leaves, flushing leaves, flowers and fruits observed during the last 8 years in local trees from the studied species.</w:t>
      </w:r>
      <w:r w:rsidDel="00000000" w:rsidR="00000000" w:rsidRPr="00000000">
        <w:rPr>
          <w:rtl w:val="0"/>
        </w:rPr>
      </w:r>
    </w:p>
    <w:sectPr>
      <w:headerReference r:id="rId9" w:type="default"/>
      <w:footerReference r:id="rId10"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ambria"/>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Default">
    <w:name w:val="Default"/>
    <w:next w:val="Default"/>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w:cs="Arial Unicode MS" w:eastAsia="Arial Unicode MS" w:hAnsi="Helvetica"/>
      <w:b w:val="0"/>
      <w:bCs w:val="0"/>
      <w:i w:val="0"/>
      <w:iCs w:val="0"/>
      <w:caps w:val="0"/>
      <w:smallCaps w:val="0"/>
      <w:strike w:val="0"/>
      <w:dstrike w:val="0"/>
      <w:outline w:val="0"/>
      <w:color w:val="000000"/>
      <w:spacing w:val="0"/>
      <w:kern w:val="0"/>
      <w:position w:val="0"/>
      <w:sz w:val="22"/>
      <w:szCs w:val="22"/>
      <w:u w:val="none"/>
      <w:shd w:color="auto" w:fill="auto" w:val="nil"/>
      <w:vertAlign w:val="baseline"/>
      <w:lang w:val="en-US"/>
      <w14:textFill>
        <w14:solidFill>
          <w14:srgbClr w14:val="000000"/>
        </w14:solidFill>
      </w14:textFill>
      <w14:textOutline>
        <w14:noFill/>
      </w14:textOut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m9H3YbRxTDEmaia7EvAvDVuYcw==">AMUW2mXNnvMoIYQR6n2AqVed5YNzo9CyOUDX7G56GjkS2Um+IVszF0hH0sq3ETmr8N2J54THmaZqNIjcPx8v5yvSELAmMMYX8QvP37loxgoo/n2KJo+LdeU=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