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DOTBIZ 결제 전략 v3 — 권역별 + 본사/지사 구조 반영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2026-05-08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버전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3.0 (실제 비즈니스 구조 반영)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웹 리서치 실측 + Sage 권장 + 시장 벤치마크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🏢 비즈니스 구조 (확정)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법인 구조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본사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싱가포르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(omh-sg)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계약 주체 / 입금 주체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지사 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 시장 운영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지사 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일본 시장 운영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지사 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 + 동남아 시장 운영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지사 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홍콩 (오픈 예정)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대중화권 운영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메인 세일즈 4개 권역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1: 한국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5천만 (단일 시장)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2: 대중화권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 + 대만 + 홍콩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14억+ (홍콩 지사 담당)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3: 베트남+동남아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 + 태국 + 인도네시아 + 필리핀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6억+ (베트남 지사 담당)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4: SG+MY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싱가포르 + 말레이시아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1억 (본사 직접)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⚖️ 핵심 도전 과제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계약 주체 = 싱가포르 / 결제 통화 다양 / 고객은 4개 권역에 분산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결제 흐름 설계 시 3가지 충돌: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현지 결제 편의성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 (가상계좌, Alipay 등) vs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싱가포르 단일 회계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수수료 최소화</w:t>
      </w:r>
      <w:r>
        <w:rPr>
          <w:rFonts w:ascii="Malgun Gothic" w:cs="Malgun Gothic" w:eastAsia="Malgun Gothic" w:hAnsi="Malgun Gothic"/>
          <w:sz w:val="20"/>
          <w:szCs w:val="20"/>
        </w:rPr>
        <w:t xml:space="preserve"> (Local PG) vs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Cross-border 송금 비용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다통화</w:t>
      </w:r>
      <w:r>
        <w:rPr>
          <w:rFonts w:ascii="Malgun Gothic" w:cs="Malgun Gothic" w:eastAsia="Malgun Gothic" w:hAnsi="Malgun Gothic"/>
          <w:sz w:val="20"/>
          <w:szCs w:val="20"/>
        </w:rPr>
        <w:t xml:space="preserve"> (KRW/CNY/VND/SGD/USD) vs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FX 단순화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3가지 결제 수금 모델 비교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Model A: 싱가포르 단일 입금 (Pure SG)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한국 OP → SWIFT 송금 → SG 본사 계좌 (USD)
중국 OP → SWIFT 송금 → SG 본사 계좌 (USD)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매우 단순 (SG 단일)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FX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⚠️ 모든 거래에 환산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⚠️ SWIFT $25~50/건 + 0.1~0.5% FX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편의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 현지 결제 수단 미사용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대형 고객사 (월 TTV 5억+)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Model B: 현지 지사 수금 + 내부 송금 (Branch Collection)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한국 OP → 한국 지사 가상계좌 (KRW) → 한국 지사 → SG 본사 (월 1회 정산)
일본 OP → 일본 지사 가상계좌 (JPY) → 일본 지사 → SG 본사
베트남 OP → 베트남 지사 VNPay (VND) → 베트남 지사 → SG 본사
중국 OP → 홍콩 지사 Alipay/WeChat (HKD/CNY) → 홍콩 지사 → SG 본사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⚠️ 내부 정산 처리 필요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FX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월 1회 일괄 환산 (헷지 가능)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가상계좌 0.025%, Alipay 1~2%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편의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현지 결제 수단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일반 고객사 (소~중형)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Model C: 하이브리드 (권장) ⭐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대형/소형 고객사별 + 권역별 분기: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대형 고객사 (월 TTV 5억+)
  → SG 본사 직접 송금 (Model A)
  → 계약서 명시
일반 고객사
  ├ 한국·일본·베트남 OP → 현지 지사 수금 (Model B)
  ├ 중국·대만·홍콩 OP → 홍콩 지사 (오픈 후)
  └ SG·MY OP → SG 본사 직접
Cross-border 결제 (옵션)
  → Eximbay (한국 → 다통화 정산)
  → 2C2P (싱가포르 cross-border)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Model C 채택 권장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💳 권역별 결제 전략 (실측 데이터 기반)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권역 1: 한국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고객 OP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한국 여행사 직원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수금 주체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한국 지사 → 월 1회 SG 본사 송금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가상계좌 (KG이니시스/KCP/토스)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건당 250원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표준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$1K 결제 시 0.025%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신용카드 (Toss/KCP)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2.1~3.3%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Non-refundable 한정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무통장 입금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일반 송금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Eximbay (대형)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0.2~5%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Cross-border 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 정산 가능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SWIFT → SG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$25~50 + 0.1%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🔴 대형사 한정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일반은 불리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권장 흐름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OP → 한국 지사 가상계좌 (KRW)
    → 한국 지사 보관
    → 월말 일괄 USD 환산 → SG 본사 송금 (헷지 적용)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권역 2: 대중화권 (중국, 대만, 홍콩)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고객 OP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중국/대만/홍콩 여행사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수금 주체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홍콩 지사 (오픈 후) / SG 본사 (오픈 전)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Alipay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(중국 발행)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~0~1%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중국 표준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B2B 협상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WeChat Pay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~0~1%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중국 표준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UnionPay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1.5~2.5%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카드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FPS (홍콩 즉시 결제)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홍콩 표준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홍콩 지사 오픈 후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Alipay HK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0~1%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홍콩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대만 카드 (CTBC 등)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Alipay (해외 카드)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🔴 회피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권장 흐름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중국 OP → Alipay/WeChat → 홍콩 지사 (HKD/USD)
대만 OP → 카드/송금 → 홍콩 지사
홍콩 OP → FPS → 홍콩 지사
    → 홍콩 지사 → SG 본사 (월 1회)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⚠️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홍콩 지사 오픈 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SG 본사 직접, Eximbay 또는 2C2P 활용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권역 3: 베트남 + 동남아 (태국, 인도네시아, 필리핀)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고객 OP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동남아 여행사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수금 주체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베트남 지사 + SG 본사 (국가별 분기)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베트남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VNPay (QR) / MoMo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1.5~2.5%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베트남 지사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2.5~3%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태국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2C2P / Omise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SG 본사 (2C2P SG 소재)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PromptPay (QR)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표준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인도네시아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Xendit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(3% + $0.30)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SG 본사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GoPay / OVO / DANA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필리핀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Xendit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3% + $0.30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GCash / PayMaya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1.5~3%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권장 흐름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베트남 OP → VNPay → 베트남 지사 → SG 본사
태국/인도네시아/필리핀 OP → Xendit/2C2P → SG 본사 직접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Xendit / 2C2P 단일 통합 = 4개국 커버 가능</w:t>
      </w:r>
      <w:r>
        <w:rPr>
          <w:rFonts w:ascii="Malgun Gothic" w:cs="Malgun Gothic" w:eastAsia="Malgun Gothic" w:hAnsi="Malgun Gothic"/>
          <w:sz w:val="20"/>
          <w:szCs w:val="20"/>
        </w:rPr>
        <w:t xml:space="preserve"> (SG 본사 직접 운영)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권역 4: 싱가포르 + 말레이시아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고객 OP</w:t>
      </w:r>
      <w:r>
        <w:rPr>
          <w:rFonts w:ascii="Malgun Gothic" w:cs="Malgun Gothic" w:eastAsia="Malgun Gothic" w:hAnsi="Malgun Gothic"/>
          <w:sz w:val="20"/>
          <w:szCs w:val="20"/>
        </w:rPr>
        <w:t xml:space="preserve">: SG/MY 여행사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수금 주체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SG 본사 직접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PayNow (SG)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0%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SG 표준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DuitNow (MY)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 MY 표준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Stripe SG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3.4% + S$0.50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카드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송금 (SGD/USD)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0~$25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🟢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Local PG (iPay88 등)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2~3%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🟡 MY 카드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권장 흐름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SG OP → PayNow → SG 본사 직접 (0% 수수료)
MY OP → DuitNow / Cross-border → SG 본사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📊 결제 수수료 최종 비교 (Model C 적용 시)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1 한국 (가상계좌)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0.025%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+3.5%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권역 1 한국 (카드)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2.5%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+1.0% 🟡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2 대중화권 (Alipay/FPS)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0~1%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+3.0~3.5%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권역 2 대중화권 (UnionPay)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+1.5% 🟡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3 베트남+동남아 (QR)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0~2%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+2.0~3.5%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권역 3 동남아 (Xendit/2C2P 카드)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+0.5% 🟡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4 SG+MY (PayNow)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0%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+3.5%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권역 4 SG+MY (Stripe)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3.4%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+0.1% 🟡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 PG 단독 (이전 가정)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3.5~4%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-1~-2% 🚨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현지 결제 표준 채택 시 모든 권역 마진 양수 사수 가능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🏛️ 권역별 운영 책임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 지사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KRW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1회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일본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일본 지사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JPY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1회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대중화권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홍콩 지사 (오픈 후)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HKD/CNY/TWD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1회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 지사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VND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월 1회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동남아 (태/인/필)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SG 본사 직접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USD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SG + MY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SG 본사 직접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SGD/MYR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즉시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📜 계약/회계 처리 가이드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인보이스 발행 주체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항상 SG 본사 (omh-sg)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계약 주체이므로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현지 지사는 "수금 위탁 (Collection Agent)" 역할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인보이스 보존: 7년 (SG 회계법 + 한국 전자세금계산서법 동시 충족)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내부 정산 (지사 → 본사)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월말 마감 → 익월 5일까지 SG 본사 송금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FX는 월 평균 환율 (또는 송금일 환율)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지사 보유 잔액은 운영비/직원 급여로 일부 활용 가능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Cross-border 결제 데이터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현지 가상계좌 → 지사 → SG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송금 시점 환율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현지 PG → SG 직접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정산일 환율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SWIFT → SG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송금 시점 환율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🛡️ 보안 강화 권역별 적용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1 한국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개인정보보호법 (PIPA) — 결제 데이터 국내 저장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2 대중화권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 사이버보안법 — 데이터 현지화 필요 (홍콩 우회)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3 베트남+동남아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 데이터 현지화법, GDPR-like 정책 다양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권역 4 SG+MY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PDPA (SG), PDPA (MY) — 비교적 단순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PCI-DSS 준수는 전 권역 공통 필수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💼 도입 로드맵 (Phase별)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0: 현재 (운영 중)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✅ SG 본사 + 한국·일본·베트남 지사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⚠️ 결제 수단 단일 (송금 + 글로벌 PG)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❌ 홍콩 지사 미오픈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1: 1개월 (즉시 도입)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한국 가상계좌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(한국 지사) — KG이니시스 또는 토스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PayNow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(SG 본사) — 0% 수수료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PCI-DSS 준수 점검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보안 1차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2: 3개월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홍콩 지사 오픈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Alipay/WeChat 협상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Xendit / 2C2P 통합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동남아 4개국 커버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VNPay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(베트남 지사) — 현지 QR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Trade Credit Insurance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(Atradius/Coface) — No Deposit 대안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3: 6개월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Pre-funded Wallet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인센티브 — Floating Deposit 발전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 Pay By Link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식 모델 차용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일본 지사 가상계좌</w:t>
      </w:r>
      <w:r>
        <w:rPr>
          <w:rFonts w:ascii="Malgun Gothic" w:cs="Malgun Gothic" w:eastAsia="Malgun Gothic" w:hAnsi="Malgun Gothic"/>
          <w:sz w:val="20"/>
          <w:szCs w:val="20"/>
        </w:rPr>
        <w:t xml:space="preserve"> (Stripe Japan 또는 GMO)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B2B BNPL 검토</w:t>
      </w:r>
      <w:r>
        <w:rPr>
          <w:rFonts w:ascii="Malgun Gothic" w:cs="Malgun Gothic" w:eastAsia="Malgun Gothic" w:hAnsi="Malgun Gothic"/>
          <w:sz w:val="20"/>
          <w:szCs w:val="20"/>
        </w:rPr>
        <w:t xml:space="preserve"> (Billie/Mondu/Resolve)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4: 장기 (12개월+)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DuitNow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(말레이시아)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각 권역 보안 인증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(현지 규제)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🆕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Multi-currency Wallet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(자동 환산)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마진 시뮬레이션 (Model C 적용)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Gross Margin: 4%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ELS: 평균 0.6% (Tier 가중 평균)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CMS: 1.0%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평균 결제 수수료 (Model C):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1.0%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(가상계좌+Local PG 가중)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Gross Margin:        4.00%
− ELS:              -0.60%
− CMS:              -1.00%
− 결제 수수료:        -1.00%
─────────────────────────────
Net Margin:         +1.40% ✅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마진 4% 환경에서도 Model C 적용 시 Net +1.4% 확보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권역별 Net Margin (실측)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 (가상계좌)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0.025%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+2.4%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대중화권 (Alipay 등)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+1.4%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베트남+동남아 (QR)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+0.9% 🟡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SG+MY (PayNow)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+2.4%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동남아만 다소 압박, 나머지는 안전.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📋 자체 추가 리서치 (영업팀 컨택)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KG이니시스/토스 한국 지사 견적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한국 지사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Alipay/WeChat B2B 머천트 협상 (홍콩)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본사 + 홍콩 준비팀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Xendit / 2C2P 동남아 통합 견적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SG 본사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VNPay 베트남 지사 통합 견적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베트남 지사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PayNow Corporate (SG) 등록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SG 본사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Atradius/Coface SG 사무소 컨택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SG 본사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2주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📊 POLICY_CHANGELOG 신규 항목</w:t>
      </w:r>
    </w:p>
    <w:p>
      <w:r>
        <w:t xml:space="preserve"/>
      </w:r>
    </w:p>
    <w:p>
      <w:pPr>
        <w:shd w:fill="F5F5F5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{
  changedAt: "2026-05-08",
  changedBy: "CEO Business Structure",
  category: "Settlement",
  field: "결제 전략 v3 — 권역별 + 본사·지사 구조",
  before: "PG 모델 단일 분석 (계약/입금 주체 미반영)",
  after: "본사 SG / 지사 KR·JP·VN(+HK) / 4개 세일즈 권역 (KR·대중화·동남아·SG+MY) / Model C 하이브리드 수금: 현지 지사 수금 후 SG 본사 송금. 권역별 결제 수단 매트릭스 확정.",
  reason: "DOTBIZ 실제 비즈니스 구조 반영 필수. 계약/입금 주체가 싱가포르라는 점은 결제 모델 설계의 핵심 제약. 현지 지사 활용 시 가상계좌 0.025% 등 활용 가능, 평균 결제 수수료 1%로 마진 4% 환경에서 Net +1.4% 확보.",
}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📑 결재 요청 사항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Model C 하이브리드 수금 모델 채택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Phase 1 즉시 도입 승인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한국 가상계좌 + PayNow + PCI-DSS 점검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홍콩 지사 오픈 일정 확정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 (Phase 2 트리거)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각 지사 → SG 본사 내부 정산 회계 정책 수립</w:t>
      </w:r>
      <w:r>
        <w:rPr>
          <w:rFonts w:ascii="Malgun Gothic" w:cs="Malgun Gothic" w:eastAsia="Malgun Gothic" w:hAnsi="Malgun Gothic"/>
          <w:sz w:val="20"/>
          <w:szCs w:val="20"/>
        </w:rPr>
        <w:t xml:space="preserve"> (CFO)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권역별 영업팀 컨택 착수</w:t>
      </w:r>
      <w:r>
        <w:rPr>
          <w:rFonts w:ascii="Malgun Gothic" w:cs="Malgun Gothic" w:eastAsia="Malgun Gothic" w:hAnsi="Malgun Gothic"/>
          <w:sz w:val="20"/>
          <w:szCs w:val="20"/>
        </w:rPr>
        <w:t xml:space="preserve"> (6개 항목)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📂 관련 문서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Market_Research_PG_Models_2026-05-08.md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(15개 공급사 비교)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Settlement_CEO_Critical_Update_2026-05-08.md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(마진 4% 재검토)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Settlement_CEO_Inspection_2026-05-07.md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(1단계 결재 8건)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Settlement_CEO_Inspection_2026-05-08.md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(2단계 Sage 8건)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 문서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Payment_Strategy_v3_2026-05-08.md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2026-05-12T01:33:38.309Z</dcterms:created>
  <dcterms:modified xsi:type="dcterms:W3CDTF">2026-05-12T01:33:38.310Z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