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C4F" w:rsidRPr="00CD5C4F" w:rsidRDefault="00CD5C4F" w:rsidP="006B780D">
      <w:pPr>
        <w:jc w:val="both"/>
        <w:rPr>
          <w:rFonts w:ascii="Titillium Web" w:hAnsi="Titillium Web"/>
          <w:b/>
          <w:sz w:val="32"/>
        </w:rPr>
      </w:pPr>
      <w:r w:rsidRPr="00CD5C4F">
        <w:rPr>
          <w:rFonts w:ascii="Titillium Web" w:hAnsi="Titillium Web"/>
          <w:b/>
          <w:sz w:val="32"/>
        </w:rPr>
        <w:t>SODOBNA ANALIZA PODATKOV</w:t>
      </w:r>
    </w:p>
    <w:p w:rsidR="006B780D" w:rsidRPr="006B780D" w:rsidRDefault="003408E0" w:rsidP="006B780D">
      <w:pPr>
        <w:jc w:val="both"/>
        <w:rPr>
          <w:rFonts w:ascii="Titillium Web" w:hAnsi="Titillium Web"/>
          <w:sz w:val="20"/>
        </w:rPr>
      </w:pPr>
      <w:r>
        <w:rPr>
          <w:rFonts w:ascii="Titillium Web" w:hAnsi="Titillium Web"/>
          <w:sz w:val="20"/>
        </w:rPr>
        <w:t xml:space="preserve">To sosledje </w:t>
      </w:r>
      <w:r w:rsidR="006B780D" w:rsidRPr="006B780D">
        <w:rPr>
          <w:rFonts w:ascii="Titillium Web" w:hAnsi="Titillium Web"/>
          <w:sz w:val="20"/>
        </w:rPr>
        <w:t>delavnic pobude</w:t>
      </w:r>
      <w:r w:rsidR="00A2491E" w:rsidRPr="006B780D">
        <w:rPr>
          <w:rFonts w:ascii="Titillium Web" w:hAnsi="Titillium Web"/>
          <w:sz w:val="20"/>
        </w:rPr>
        <w:t xml:space="preserve"> </w:t>
      </w:r>
      <w:r w:rsidR="000608FC" w:rsidRPr="006B780D">
        <w:rPr>
          <w:rFonts w:ascii="Titillium Web" w:hAnsi="Titillium Web"/>
          <w:sz w:val="20"/>
        </w:rPr>
        <w:t>DataScience</w:t>
      </w:r>
      <w:r w:rsidR="00A2491E" w:rsidRPr="006B780D">
        <w:rPr>
          <w:rFonts w:ascii="Titillium Web" w:hAnsi="Titillium Web"/>
          <w:sz w:val="20"/>
        </w:rPr>
        <w:t>@UL-FRI</w:t>
      </w:r>
      <w:r>
        <w:rPr>
          <w:rFonts w:ascii="Titillium Web" w:hAnsi="Titillium Web"/>
          <w:sz w:val="20"/>
        </w:rPr>
        <w:t xml:space="preserve"> je namenjeno vsem</w:t>
      </w:r>
      <w:r w:rsidR="006B780D" w:rsidRPr="006B780D">
        <w:rPr>
          <w:rFonts w:ascii="Titillium Web" w:hAnsi="Titillium Web"/>
          <w:sz w:val="20"/>
        </w:rPr>
        <w:t xml:space="preserve">, ki imajo v svojem poklicu </w:t>
      </w:r>
      <w:r w:rsidR="00AB428F">
        <w:rPr>
          <w:rFonts w:ascii="Titillium Web" w:hAnsi="Titillium Web"/>
          <w:sz w:val="20"/>
        </w:rPr>
        <w:t>o</w:t>
      </w:r>
      <w:r w:rsidR="006B780D" w:rsidRPr="006B780D">
        <w:rPr>
          <w:rFonts w:ascii="Titillium Web" w:hAnsi="Titillium Web"/>
          <w:sz w:val="20"/>
        </w:rPr>
        <w:t xml:space="preserve">pravka s podatki in bi </w:t>
      </w:r>
      <w:r w:rsidR="00AB428F">
        <w:rPr>
          <w:rFonts w:ascii="Titillium Web" w:hAnsi="Titillium Web"/>
          <w:sz w:val="20"/>
        </w:rPr>
        <w:t xml:space="preserve">se radi naučili, kako podatke urejati </w:t>
      </w:r>
      <w:r w:rsidR="006B780D" w:rsidRPr="006B780D">
        <w:rPr>
          <w:rFonts w:ascii="Titillium Web" w:hAnsi="Titillium Web"/>
          <w:sz w:val="20"/>
        </w:rPr>
        <w:t xml:space="preserve">in jih analizirati na bolj sistematičen in učinkovit način. </w:t>
      </w:r>
      <w:r w:rsidR="00AB428F">
        <w:rPr>
          <w:rFonts w:ascii="Titillium Web" w:hAnsi="Titillium Web"/>
          <w:sz w:val="20"/>
        </w:rPr>
        <w:t xml:space="preserve">Z drugimi besedami tistim, ki bi radi postali analitik na svojem področju dela. </w:t>
      </w:r>
      <w:r w:rsidR="006B780D" w:rsidRPr="006B780D">
        <w:rPr>
          <w:rFonts w:ascii="Titillium Web" w:hAnsi="Titillium Web"/>
          <w:sz w:val="20"/>
        </w:rPr>
        <w:t xml:space="preserve">Preko spoznavnega nivoja so delavnice dostopne tudi </w:t>
      </w:r>
      <w:r>
        <w:rPr>
          <w:rFonts w:ascii="Titillium Web" w:hAnsi="Titillium Web"/>
          <w:sz w:val="20"/>
        </w:rPr>
        <w:t>udeležencem</w:t>
      </w:r>
      <w:r w:rsidR="006B780D" w:rsidRPr="006B780D">
        <w:rPr>
          <w:rFonts w:ascii="Titillium Web" w:hAnsi="Titillium Web"/>
          <w:sz w:val="20"/>
        </w:rPr>
        <w:t xml:space="preserve">, ki še nimajo izkušenj s programiranjem. </w:t>
      </w:r>
    </w:p>
    <w:p w:rsidR="00AB428F" w:rsidRPr="006B780D" w:rsidRDefault="006B780D" w:rsidP="006B780D">
      <w:pPr>
        <w:jc w:val="both"/>
        <w:rPr>
          <w:rFonts w:ascii="Titillium Web" w:hAnsi="Titillium Web"/>
          <w:sz w:val="20"/>
        </w:rPr>
      </w:pPr>
      <w:r w:rsidRPr="006B780D">
        <w:rPr>
          <w:rFonts w:ascii="Titillium Web" w:hAnsi="Titillium Web"/>
          <w:sz w:val="20"/>
        </w:rPr>
        <w:t xml:space="preserve">Delavnice izvajamo v skladu s povpraševanjem, a vsako delavnico predvidoma izvedemo </w:t>
      </w:r>
      <w:r w:rsidR="00D85A50">
        <w:rPr>
          <w:rFonts w:ascii="Titillium Web" w:hAnsi="Titillium Web"/>
          <w:sz w:val="20"/>
        </w:rPr>
        <w:t>vsaj enkrat letno, delavnice spoznavnega in osnovnega nivoja pa večkrat letno.</w:t>
      </w:r>
    </w:p>
    <w:tbl>
      <w:tblPr>
        <w:tblStyle w:val="TableGrid"/>
        <w:tblW w:w="11173" w:type="dxa"/>
        <w:tblLook w:val="04A0" w:firstRow="1" w:lastRow="0" w:firstColumn="1" w:lastColumn="0" w:noHBand="0" w:noVBand="1"/>
      </w:tblPr>
      <w:tblGrid>
        <w:gridCol w:w="1119"/>
        <w:gridCol w:w="3351"/>
        <w:gridCol w:w="3351"/>
        <w:gridCol w:w="3352"/>
      </w:tblGrid>
      <w:tr w:rsidR="00DD0CF0" w:rsidRPr="00DD0CF0" w:rsidTr="003408E0">
        <w:trPr>
          <w:cantSplit/>
          <w:trHeight w:val="2044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0000"/>
            <w:textDirection w:val="btLr"/>
            <w:vAlign w:val="center"/>
          </w:tcPr>
          <w:p w:rsidR="00DD0CF0" w:rsidRPr="00CD5C4F" w:rsidRDefault="00B867EC" w:rsidP="009D38AA">
            <w:pPr>
              <w:ind w:left="113" w:right="113"/>
              <w:jc w:val="center"/>
              <w:rPr>
                <w:rFonts w:ascii="Titillium Web" w:hAnsi="Titillium Web"/>
                <w:color w:val="F2F2F2" w:themeColor="background1" w:themeShade="F2"/>
                <w:sz w:val="28"/>
              </w:rPr>
            </w:pPr>
            <w:r w:rsidRPr="00CD5C4F">
              <w:rPr>
                <w:rFonts w:ascii="Titillium Web" w:hAnsi="Titillium Web"/>
                <w:color w:val="F2F2F2" w:themeColor="background1" w:themeShade="F2"/>
                <w:sz w:val="28"/>
              </w:rPr>
              <w:t>SPOZNAVNI NIVO</w:t>
            </w:r>
          </w:p>
        </w:tc>
        <w:tc>
          <w:tcPr>
            <w:tcW w:w="100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D38AA" w:rsidRPr="00D65506" w:rsidRDefault="00B867EC" w:rsidP="00DD0CF0">
            <w:pPr>
              <w:rPr>
                <w:rFonts w:ascii="Titillium Web" w:hAnsi="Titillium Web"/>
                <w:b/>
              </w:rPr>
            </w:pPr>
            <w:r w:rsidRPr="00D65506">
              <w:rPr>
                <w:rFonts w:ascii="Titillium Web" w:hAnsi="Titillium Web"/>
                <w:b/>
              </w:rPr>
              <w:t>R ZA NEPROGRAMERJE</w:t>
            </w:r>
          </w:p>
          <w:p w:rsidR="009D38AA" w:rsidRPr="000608FC" w:rsidRDefault="00A8407C" w:rsidP="00CD5C4F">
            <w:pPr>
              <w:jc w:val="both"/>
              <w:rPr>
                <w:rFonts w:ascii="Titillium Web" w:hAnsi="Titillium Web"/>
                <w:sz w:val="18"/>
              </w:rPr>
            </w:pPr>
            <w:r w:rsidRPr="00663400">
              <w:rPr>
                <w:rFonts w:ascii="Titillium Web" w:hAnsi="Titillium Web"/>
                <w:sz w:val="18"/>
              </w:rPr>
              <w:t>R je programski jezik, ki je prilagojen delu s podatki in je najbolj popularen jezik med tistimi, ki se ukvarjajo s statistično analizo podatkov. Je tudi relativno preprost za uporabo in primeren za učenje tudi brez predhodnih programerskih znanj. R nam omogoča, da s podatki delamo sa</w:t>
            </w:r>
            <w:r w:rsidR="00D65506">
              <w:rPr>
                <w:rFonts w:ascii="Titillium Web" w:hAnsi="Titillium Web"/>
                <w:sz w:val="18"/>
              </w:rPr>
              <w:t>mostojno, sistematično in brez o</w:t>
            </w:r>
            <w:r w:rsidRPr="00663400">
              <w:rPr>
                <w:rFonts w:ascii="Titillium Web" w:hAnsi="Titillium Web"/>
                <w:sz w:val="18"/>
              </w:rPr>
              <w:t>mejitev, ki jih prinese uporaba bolj specifičnih orodij, kot sta npr. Microsoft Excel in SPSS.</w:t>
            </w:r>
            <w:r w:rsidR="000608FC">
              <w:rPr>
                <w:rFonts w:ascii="Titillium Web" w:hAnsi="Titillium Web"/>
                <w:sz w:val="18"/>
              </w:rPr>
              <w:t xml:space="preserve"> </w:t>
            </w:r>
            <w:r w:rsidRPr="00663400">
              <w:rPr>
                <w:rFonts w:ascii="Titillium Web" w:hAnsi="Titillium Web"/>
                <w:sz w:val="18"/>
              </w:rPr>
              <w:t>Delavnico tipično izvedemo v obliki osmih 90-minutnih</w:t>
            </w:r>
            <w:r w:rsidR="00AD153D" w:rsidRPr="00663400">
              <w:rPr>
                <w:rFonts w:ascii="Titillium Web" w:hAnsi="Titillium Web"/>
                <w:sz w:val="18"/>
              </w:rPr>
              <w:t xml:space="preserve"> interaktivnih</w:t>
            </w:r>
            <w:r w:rsidRPr="00663400">
              <w:rPr>
                <w:rFonts w:ascii="Titillium Web" w:hAnsi="Titillium Web"/>
                <w:sz w:val="18"/>
              </w:rPr>
              <w:t xml:space="preserve"> srečanj</w:t>
            </w:r>
            <w:r w:rsidR="00AD153D" w:rsidRPr="00663400">
              <w:rPr>
                <w:rFonts w:ascii="Titillium Web" w:hAnsi="Titillium Web"/>
                <w:sz w:val="18"/>
              </w:rPr>
              <w:t xml:space="preserve"> z domačimi nalogami</w:t>
            </w:r>
            <w:r w:rsidRPr="00663400">
              <w:rPr>
                <w:rFonts w:ascii="Titillium Web" w:hAnsi="Titillium Web"/>
                <w:sz w:val="18"/>
              </w:rPr>
              <w:t xml:space="preserve">. Udeleženci so na koncu sposobni programsko prebrati in shraniti datoteke s podatki, izvajati </w:t>
            </w:r>
            <w:r w:rsidR="00CD5C4F">
              <w:rPr>
                <w:rFonts w:ascii="Titillium Web" w:hAnsi="Titillium Web"/>
                <w:sz w:val="18"/>
              </w:rPr>
              <w:t>operacije</w:t>
            </w:r>
            <w:r w:rsidRPr="00663400">
              <w:rPr>
                <w:rFonts w:ascii="Titillium Web" w:hAnsi="Titillium Web"/>
                <w:sz w:val="18"/>
              </w:rPr>
              <w:t xml:space="preserve"> nad podatkovnimi razpredelnicami in prikazati rezultate s preprostimi vizualizacijami.</w:t>
            </w:r>
          </w:p>
        </w:tc>
      </w:tr>
      <w:tr w:rsidR="00B867EC" w:rsidRPr="00DD0CF0" w:rsidTr="003408E0">
        <w:trPr>
          <w:cantSplit/>
          <w:trHeight w:val="1682"/>
        </w:trPr>
        <w:tc>
          <w:tcPr>
            <w:tcW w:w="11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0000"/>
            <w:textDirection w:val="btLr"/>
            <w:vAlign w:val="center"/>
          </w:tcPr>
          <w:p w:rsidR="00B867EC" w:rsidRPr="00CD5C4F" w:rsidRDefault="00B867EC" w:rsidP="009D38AA">
            <w:pPr>
              <w:ind w:left="113" w:right="113"/>
              <w:jc w:val="center"/>
              <w:rPr>
                <w:rFonts w:ascii="Titillium Web" w:hAnsi="Titillium Web"/>
                <w:color w:val="F2F2F2" w:themeColor="background1" w:themeShade="F2"/>
                <w:sz w:val="28"/>
              </w:rPr>
            </w:pPr>
            <w:r w:rsidRPr="00CD5C4F">
              <w:rPr>
                <w:rFonts w:ascii="Titillium Web" w:hAnsi="Titillium Web"/>
                <w:color w:val="F2F2F2" w:themeColor="background1" w:themeShade="F2"/>
                <w:sz w:val="28"/>
              </w:rPr>
              <w:t>OSNOVNI</w:t>
            </w:r>
            <w:r w:rsidR="00CD5C4F">
              <w:rPr>
                <w:rFonts w:ascii="Titillium Web" w:hAnsi="Titillium Web"/>
                <w:color w:val="F2F2F2" w:themeColor="background1" w:themeShade="F2"/>
                <w:sz w:val="28"/>
              </w:rPr>
              <w:br/>
            </w:r>
            <w:r w:rsidRPr="00CD5C4F">
              <w:rPr>
                <w:rFonts w:ascii="Titillium Web" w:hAnsi="Titillium Web"/>
                <w:color w:val="F2F2F2" w:themeColor="background1" w:themeShade="F2"/>
                <w:sz w:val="28"/>
              </w:rPr>
              <w:t xml:space="preserve"> NIVO</w:t>
            </w:r>
          </w:p>
        </w:tc>
        <w:tc>
          <w:tcPr>
            <w:tcW w:w="10054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63400" w:rsidRPr="00DD0CF0" w:rsidRDefault="000608FC" w:rsidP="00AB428F">
            <w:pPr>
              <w:jc w:val="both"/>
              <w:rPr>
                <w:rFonts w:ascii="Titillium Web" w:hAnsi="Titillium Web"/>
              </w:rPr>
            </w:pPr>
            <w:r>
              <w:rPr>
                <w:rFonts w:ascii="Titillium Web" w:hAnsi="Titillium Web"/>
                <w:sz w:val="18"/>
              </w:rPr>
              <w:br/>
            </w:r>
            <w:r w:rsidR="00D65506">
              <w:rPr>
                <w:rFonts w:ascii="Titillium Web" w:hAnsi="Titillium Web"/>
                <w:sz w:val="18"/>
              </w:rPr>
              <w:t>Osnovni nivo je sestavljen iz treh intenzivnih delavnic, ki jih lahko obiščemo v poljubnem vrstnem redu. V njih</w:t>
            </w:r>
            <w:r w:rsidR="00223E72" w:rsidRPr="00663400">
              <w:rPr>
                <w:rFonts w:ascii="Titillium Web" w:hAnsi="Titillium Web"/>
                <w:sz w:val="18"/>
              </w:rPr>
              <w:t xml:space="preserve"> pokrijemo </w:t>
            </w:r>
            <w:r w:rsidR="00AD153D" w:rsidRPr="00663400">
              <w:rPr>
                <w:rFonts w:ascii="Titillium Web" w:hAnsi="Titillium Web"/>
                <w:sz w:val="18"/>
              </w:rPr>
              <w:t>snov, ki jo smatramo kot ključ</w:t>
            </w:r>
            <w:r w:rsidR="00AB428F">
              <w:rPr>
                <w:rFonts w:ascii="Titillium Web" w:hAnsi="Titillium Web"/>
                <w:sz w:val="18"/>
              </w:rPr>
              <w:t>no za strokovno delo s podatki</w:t>
            </w:r>
            <w:r w:rsidR="00AD153D" w:rsidRPr="00663400">
              <w:rPr>
                <w:rFonts w:ascii="Titillium Web" w:hAnsi="Titillium Web"/>
                <w:sz w:val="18"/>
              </w:rPr>
              <w:t>, ne glede na to, s katerim področjem se ukvarjamo. Poudarek je na osnovnih konceptih</w:t>
            </w:r>
            <w:r w:rsidR="00AB428F">
              <w:rPr>
                <w:rFonts w:ascii="Titillium Web" w:hAnsi="Titillium Web"/>
                <w:sz w:val="18"/>
              </w:rPr>
              <w:t>, a sproti spoznamo tudi,</w:t>
            </w:r>
            <w:r w:rsidR="00663400" w:rsidRPr="00663400">
              <w:rPr>
                <w:rFonts w:ascii="Titillium Web" w:hAnsi="Titillium Web"/>
                <w:sz w:val="18"/>
              </w:rPr>
              <w:t xml:space="preserve"> kako operacije izvesti v praksi z uporabo programskega jezika R. Vsako delavnico tipično izvedemo v obliki štirih 90-minutnih srečanj z nalogami za samostojno utrjevanje pred in po vsakem srečanju.</w:t>
            </w:r>
            <w:r w:rsidR="00663400">
              <w:rPr>
                <w:rFonts w:ascii="Titillium Web" w:hAnsi="Titillium Web"/>
                <w:sz w:val="18"/>
              </w:rPr>
              <w:t xml:space="preserve"> Delavnice so primerne za udeležence, ki so že domači v programskem jeziku R ali vešči programiranja v nekem drugem programskem jeziku.</w:t>
            </w:r>
          </w:p>
        </w:tc>
      </w:tr>
      <w:tr w:rsidR="00B867EC" w:rsidRPr="00DD0CF0" w:rsidTr="003408E0">
        <w:trPr>
          <w:cantSplit/>
          <w:trHeight w:val="2635"/>
        </w:trPr>
        <w:tc>
          <w:tcPr>
            <w:tcW w:w="1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0000"/>
            <w:textDirection w:val="btLr"/>
            <w:vAlign w:val="center"/>
          </w:tcPr>
          <w:p w:rsidR="00B867EC" w:rsidRPr="00CD5C4F" w:rsidRDefault="00B867EC" w:rsidP="009D38AA">
            <w:pPr>
              <w:ind w:left="113" w:right="113"/>
              <w:jc w:val="center"/>
              <w:rPr>
                <w:rFonts w:ascii="Titillium Web" w:hAnsi="Titillium Web"/>
                <w:color w:val="F2F2F2" w:themeColor="background1" w:themeShade="F2"/>
                <w:sz w:val="28"/>
              </w:rPr>
            </w:pP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67EC" w:rsidRPr="00D65506" w:rsidRDefault="000608FC" w:rsidP="00B867EC">
            <w:pPr>
              <w:jc w:val="center"/>
              <w:rPr>
                <w:rFonts w:ascii="Titillium Web" w:hAnsi="Titillium Web"/>
                <w:b/>
              </w:rPr>
            </w:pPr>
            <w:r>
              <w:rPr>
                <w:rFonts w:ascii="Titillium Web" w:hAnsi="Titillium Web"/>
                <w:b/>
              </w:rPr>
              <w:br/>
            </w:r>
            <w:r w:rsidR="00CD5C4F">
              <w:rPr>
                <w:rFonts w:ascii="Titillium Web" w:hAnsi="Titillium Web"/>
                <w:b/>
              </w:rPr>
              <w:t>UREJANJE PODATKOV</w:t>
            </w:r>
          </w:p>
          <w:p w:rsidR="009D38AA" w:rsidRDefault="00F9229F" w:rsidP="009D60BF">
            <w:pPr>
              <w:jc w:val="both"/>
              <w:rPr>
                <w:rFonts w:ascii="Titillium Web" w:hAnsi="Titillium Web"/>
                <w:sz w:val="18"/>
                <w:szCs w:val="18"/>
              </w:rPr>
            </w:pPr>
            <w:r>
              <w:rPr>
                <w:rFonts w:ascii="Titillium Web" w:hAnsi="Titillium Web"/>
                <w:sz w:val="18"/>
                <w:szCs w:val="18"/>
              </w:rPr>
              <w:t xml:space="preserve">Paketi tidyverse in dobre prakse dela s podatki. </w:t>
            </w:r>
            <w:r w:rsidR="00AD153D" w:rsidRPr="00F9229F">
              <w:rPr>
                <w:rFonts w:ascii="Titillium Web" w:hAnsi="Titillium Web"/>
                <w:sz w:val="18"/>
                <w:szCs w:val="18"/>
              </w:rPr>
              <w:t>Branje in pisanje podatkov v standardnih oblikah (.csv, .xlsx, binarno).</w:t>
            </w:r>
            <w:r w:rsidR="00AD153D">
              <w:rPr>
                <w:rFonts w:ascii="Titillium Web" w:hAnsi="Titillium Web"/>
                <w:sz w:val="18"/>
                <w:szCs w:val="18"/>
              </w:rPr>
              <w:t xml:space="preserve">  </w:t>
            </w:r>
            <w:r>
              <w:rPr>
                <w:rFonts w:ascii="Titillium Web" w:hAnsi="Titillium Web"/>
                <w:sz w:val="18"/>
                <w:szCs w:val="18"/>
              </w:rPr>
              <w:t xml:space="preserve">Izvajanje operacij nad vrsticami, stolpci in celicami tabel ter med večimi tabelami hkrati. </w:t>
            </w:r>
            <w:r w:rsidR="009D60BF">
              <w:rPr>
                <w:rFonts w:ascii="Titillium Web" w:hAnsi="Titillium Web"/>
                <w:sz w:val="18"/>
                <w:szCs w:val="18"/>
              </w:rPr>
              <w:t>Delo</w:t>
            </w:r>
            <w:r w:rsidRPr="00F9229F">
              <w:rPr>
                <w:rFonts w:ascii="Titillium Web" w:hAnsi="Titillium Web"/>
                <w:sz w:val="18"/>
                <w:szCs w:val="18"/>
              </w:rPr>
              <w:t xml:space="preserve"> z </w:t>
            </w:r>
            <w:r w:rsidR="00223E72">
              <w:rPr>
                <w:rFonts w:ascii="Titillium Web" w:hAnsi="Titillium Web"/>
                <w:sz w:val="18"/>
                <w:szCs w:val="18"/>
              </w:rPr>
              <w:t xml:space="preserve">nizi, kategoričnimi </w:t>
            </w:r>
            <w:r w:rsidRPr="00F9229F">
              <w:rPr>
                <w:rFonts w:ascii="Titillium Web" w:hAnsi="Titillium Web"/>
                <w:sz w:val="18"/>
                <w:szCs w:val="18"/>
              </w:rPr>
              <w:t>podatki, ordinalni</w:t>
            </w:r>
            <w:r w:rsidR="00223E72">
              <w:rPr>
                <w:rFonts w:ascii="Titillium Web" w:hAnsi="Titillium Web"/>
                <w:sz w:val="18"/>
                <w:szCs w:val="18"/>
              </w:rPr>
              <w:t>mi podatki</w:t>
            </w:r>
            <w:r w:rsidRPr="00F9229F">
              <w:rPr>
                <w:rFonts w:ascii="Titillium Web" w:hAnsi="Titillium Web"/>
                <w:sz w:val="18"/>
                <w:szCs w:val="18"/>
              </w:rPr>
              <w:t xml:space="preserve"> in datumi.</w:t>
            </w:r>
          </w:p>
          <w:p w:rsidR="000608FC" w:rsidRPr="00F9229F" w:rsidRDefault="000608FC" w:rsidP="009D60BF">
            <w:pPr>
              <w:jc w:val="both"/>
              <w:rPr>
                <w:rFonts w:ascii="Titillium Web" w:hAnsi="Titillium Web"/>
                <w:sz w:val="18"/>
                <w:szCs w:val="18"/>
              </w:rPr>
            </w:pP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608FC" w:rsidRDefault="000608FC" w:rsidP="00B867EC">
            <w:pPr>
              <w:jc w:val="center"/>
              <w:rPr>
                <w:rFonts w:ascii="Titillium Web" w:hAnsi="Titillium Web"/>
                <w:b/>
              </w:rPr>
            </w:pPr>
          </w:p>
          <w:p w:rsidR="00B867EC" w:rsidRPr="00D65506" w:rsidRDefault="00B867EC" w:rsidP="00B867EC">
            <w:pPr>
              <w:jc w:val="center"/>
              <w:rPr>
                <w:rFonts w:ascii="Titillium Web" w:hAnsi="Titillium Web"/>
                <w:b/>
              </w:rPr>
            </w:pPr>
            <w:r w:rsidRPr="00D65506">
              <w:rPr>
                <w:rFonts w:ascii="Titillium Web" w:hAnsi="Titillium Web"/>
                <w:b/>
              </w:rPr>
              <w:t>POVZEMANJE IN VIZUALIZACIJA</w:t>
            </w:r>
          </w:p>
          <w:p w:rsidR="00F9229F" w:rsidRPr="00DD0CF0" w:rsidRDefault="005432BC" w:rsidP="009D60BF">
            <w:pPr>
              <w:jc w:val="both"/>
              <w:rPr>
                <w:rFonts w:ascii="Titillium Web" w:hAnsi="Titillium Web"/>
              </w:rPr>
            </w:pPr>
            <w:r>
              <w:rPr>
                <w:rFonts w:ascii="Titillium Web" w:hAnsi="Titillium Web"/>
                <w:sz w:val="18"/>
              </w:rPr>
              <w:t xml:space="preserve">Povzemanje numeričnih, kategoričnih in </w:t>
            </w:r>
            <w:r w:rsidR="009D60BF">
              <w:rPr>
                <w:rFonts w:ascii="Titillium Web" w:hAnsi="Titillium Web"/>
                <w:sz w:val="18"/>
              </w:rPr>
              <w:t xml:space="preserve">večrazsežnih podatkov. </w:t>
            </w:r>
            <w:r>
              <w:rPr>
                <w:rFonts w:ascii="Titillium Web" w:hAnsi="Titillium Web"/>
                <w:sz w:val="18"/>
              </w:rPr>
              <w:t xml:space="preserve">Tipi statističnih grafov, kako izbirati med njimi in kdaj je bolje uporabiti tabelo ali besedilo. </w:t>
            </w:r>
            <w:r w:rsidR="00AD153D" w:rsidRPr="00663400">
              <w:rPr>
                <w:rFonts w:ascii="Titillium Web" w:hAnsi="Titillium Web"/>
                <w:sz w:val="18"/>
              </w:rPr>
              <w:t>Razumevanje kognitivne obremenitve bralca in vloge, ki jo pri tem igrajo besedilo, oblike, barve in prazen prostor.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608FC" w:rsidRDefault="000608FC" w:rsidP="00B867EC">
            <w:pPr>
              <w:jc w:val="center"/>
              <w:rPr>
                <w:rFonts w:ascii="Titillium Web" w:hAnsi="Titillium Web"/>
                <w:b/>
              </w:rPr>
            </w:pPr>
          </w:p>
          <w:p w:rsidR="00B867EC" w:rsidRPr="00D65506" w:rsidRDefault="00A8407C" w:rsidP="00B867EC">
            <w:pPr>
              <w:jc w:val="center"/>
              <w:rPr>
                <w:rFonts w:ascii="Titillium Web" w:hAnsi="Titillium Web"/>
                <w:b/>
              </w:rPr>
            </w:pPr>
            <w:r w:rsidRPr="00D65506">
              <w:rPr>
                <w:rFonts w:ascii="Titillium Web" w:hAnsi="Titillium Web"/>
                <w:b/>
              </w:rPr>
              <w:t>RAZUMEVANJE NEGOTOVOSTI</w:t>
            </w:r>
          </w:p>
          <w:p w:rsidR="00A8407C" w:rsidRPr="00DD0CF0" w:rsidRDefault="00AD153D" w:rsidP="009D60BF">
            <w:pPr>
              <w:jc w:val="both"/>
              <w:rPr>
                <w:rFonts w:ascii="Titillium Web" w:hAnsi="Titillium Web"/>
              </w:rPr>
            </w:pPr>
            <w:r>
              <w:rPr>
                <w:rFonts w:ascii="Titillium Web" w:hAnsi="Titillium Web"/>
                <w:sz w:val="18"/>
              </w:rPr>
              <w:t>Prepoznavanje virov napak pri sklepanju o procesu, ki nas zanima, na podlagi podatkov. Sodoben pristop k ocenjevanju negotovosti</w:t>
            </w:r>
            <w:r w:rsidR="00223E72" w:rsidRPr="00223E72">
              <w:rPr>
                <w:rFonts w:ascii="Titillium Web" w:hAnsi="Titillium Web"/>
                <w:sz w:val="18"/>
              </w:rPr>
              <w:t xml:space="preserve"> z </w:t>
            </w:r>
            <w:r w:rsidR="009D60BF">
              <w:rPr>
                <w:rFonts w:ascii="Titillium Web" w:hAnsi="Titillium Web"/>
                <w:sz w:val="18"/>
              </w:rPr>
              <w:t>metodo</w:t>
            </w:r>
            <w:r w:rsidR="00223E72" w:rsidRPr="00223E72">
              <w:rPr>
                <w:rFonts w:ascii="Titillium Web" w:hAnsi="Titillium Web"/>
                <w:sz w:val="18"/>
              </w:rPr>
              <w:t xml:space="preserve"> bootstrap. </w:t>
            </w:r>
            <w:r>
              <w:rPr>
                <w:rFonts w:ascii="Titillium Web" w:hAnsi="Titillium Web"/>
                <w:sz w:val="18"/>
              </w:rPr>
              <w:t>Ocenjevanje in prikazovanje negotovosti v</w:t>
            </w:r>
            <w:r w:rsidR="00223E72" w:rsidRPr="00223E72">
              <w:rPr>
                <w:rFonts w:ascii="Titillium Web" w:hAnsi="Titillium Web"/>
                <w:sz w:val="18"/>
              </w:rPr>
              <w:t xml:space="preserve"> tabelah in grafih. </w:t>
            </w:r>
            <w:r>
              <w:rPr>
                <w:rFonts w:ascii="Titillium Web" w:hAnsi="Titillium Web"/>
                <w:sz w:val="18"/>
              </w:rPr>
              <w:t>Povezav</w:t>
            </w:r>
            <w:r w:rsidR="009D60BF">
              <w:rPr>
                <w:rFonts w:ascii="Titillium Web" w:hAnsi="Titillium Web"/>
                <w:sz w:val="18"/>
              </w:rPr>
              <w:t xml:space="preserve">a z </w:t>
            </w:r>
            <w:r w:rsidR="00223E72" w:rsidRPr="00223E72">
              <w:rPr>
                <w:rFonts w:ascii="Titillium Web" w:hAnsi="Titillium Web"/>
                <w:sz w:val="18"/>
              </w:rPr>
              <w:t>i</w:t>
            </w:r>
            <w:r w:rsidR="009D60BF">
              <w:rPr>
                <w:rFonts w:ascii="Titillium Web" w:hAnsi="Titillium Web"/>
                <w:sz w:val="18"/>
              </w:rPr>
              <w:t xml:space="preserve">ntervali zaupanja in testiranjem </w:t>
            </w:r>
            <w:r w:rsidR="00223E72" w:rsidRPr="00223E72">
              <w:rPr>
                <w:rFonts w:ascii="Titillium Web" w:hAnsi="Titillium Web"/>
                <w:sz w:val="18"/>
              </w:rPr>
              <w:t>hipotez.</w:t>
            </w:r>
          </w:p>
        </w:tc>
      </w:tr>
      <w:tr w:rsidR="00AB428F" w:rsidRPr="00DD0CF0" w:rsidTr="00D85A50">
        <w:trPr>
          <w:cantSplit/>
          <w:trHeight w:val="2024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0000"/>
            <w:textDirection w:val="btLr"/>
            <w:vAlign w:val="center"/>
          </w:tcPr>
          <w:p w:rsidR="00AB428F" w:rsidRPr="00CD5C4F" w:rsidRDefault="00AB428F" w:rsidP="009D38AA">
            <w:pPr>
              <w:ind w:left="113" w:right="113"/>
              <w:jc w:val="center"/>
              <w:rPr>
                <w:rFonts w:ascii="Titillium Web" w:hAnsi="Titillium Web"/>
                <w:color w:val="F2F2F2" w:themeColor="background1" w:themeShade="F2"/>
                <w:sz w:val="28"/>
              </w:rPr>
            </w:pPr>
            <w:r w:rsidRPr="00CD5C4F">
              <w:rPr>
                <w:rFonts w:ascii="Titillium Web" w:hAnsi="Titillium Web"/>
                <w:color w:val="F2F2F2" w:themeColor="background1" w:themeShade="F2"/>
                <w:sz w:val="28"/>
              </w:rPr>
              <w:t>NAPREDNI</w:t>
            </w:r>
            <w:r>
              <w:rPr>
                <w:rFonts w:ascii="Titillium Web" w:hAnsi="Titillium Web"/>
                <w:color w:val="F2F2F2" w:themeColor="background1" w:themeShade="F2"/>
                <w:sz w:val="28"/>
              </w:rPr>
              <w:br/>
            </w:r>
            <w:r w:rsidRPr="00CD5C4F">
              <w:rPr>
                <w:rFonts w:ascii="Titillium Web" w:hAnsi="Titillium Web"/>
                <w:color w:val="F2F2F2" w:themeColor="background1" w:themeShade="F2"/>
                <w:sz w:val="28"/>
              </w:rPr>
              <w:t xml:space="preserve"> NIVO</w:t>
            </w:r>
          </w:p>
        </w:tc>
        <w:tc>
          <w:tcPr>
            <w:tcW w:w="10054" w:type="dxa"/>
            <w:gridSpan w:val="3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B428F" w:rsidRPr="00DD0CF0" w:rsidRDefault="00AB428F" w:rsidP="00AB428F">
            <w:pPr>
              <w:jc w:val="center"/>
              <w:rPr>
                <w:rFonts w:ascii="Titillium Web" w:hAnsi="Titillium Web"/>
                <w:sz w:val="40"/>
              </w:rPr>
            </w:pPr>
            <w:r w:rsidRPr="00CD5C4F">
              <w:rPr>
                <w:rFonts w:ascii="Titillium Web" w:hAnsi="Titillium Web"/>
                <w:color w:val="A6A6A6" w:themeColor="background1" w:themeShade="A6"/>
                <w:sz w:val="40"/>
              </w:rPr>
              <w:t>Pripravljamo!</w:t>
            </w:r>
          </w:p>
        </w:tc>
      </w:tr>
      <w:tr w:rsidR="00AB428F" w:rsidRPr="00DD0CF0" w:rsidTr="00D85A50">
        <w:trPr>
          <w:cantSplit/>
          <w:trHeight w:val="2097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0000"/>
            <w:textDirection w:val="btLr"/>
            <w:vAlign w:val="center"/>
          </w:tcPr>
          <w:p w:rsidR="00AB428F" w:rsidRPr="00B867EC" w:rsidRDefault="00AB428F" w:rsidP="009D38AA">
            <w:pPr>
              <w:ind w:left="113" w:right="113"/>
              <w:jc w:val="center"/>
              <w:rPr>
                <w:rFonts w:ascii="Titillium Web" w:hAnsi="Titillium Web"/>
                <w:sz w:val="28"/>
              </w:rPr>
            </w:pPr>
            <w:r w:rsidRPr="000608FC">
              <w:rPr>
                <w:rFonts w:ascii="Titillium Web" w:hAnsi="Titillium Web"/>
                <w:color w:val="FFFFFF" w:themeColor="background1"/>
                <w:sz w:val="28"/>
              </w:rPr>
              <w:t>MOJSTRSK</w:t>
            </w:r>
            <w:r w:rsidR="00903D42">
              <w:rPr>
                <w:rFonts w:ascii="Titillium Web" w:hAnsi="Titillium Web"/>
                <w:color w:val="FFFFFF" w:themeColor="background1"/>
                <w:sz w:val="28"/>
              </w:rPr>
              <w:t>I</w:t>
            </w:r>
            <w:bookmarkStart w:id="0" w:name="_GoBack"/>
            <w:bookmarkEnd w:id="0"/>
            <w:r>
              <w:rPr>
                <w:rFonts w:ascii="Titillium Web" w:hAnsi="Titillium Web"/>
                <w:color w:val="FFFFFF" w:themeColor="background1"/>
                <w:sz w:val="28"/>
              </w:rPr>
              <w:br/>
            </w:r>
            <w:r w:rsidRPr="000608FC">
              <w:rPr>
                <w:rFonts w:ascii="Titillium Web" w:hAnsi="Titillium Web"/>
                <w:color w:val="FFFFFF" w:themeColor="background1"/>
                <w:sz w:val="28"/>
              </w:rPr>
              <w:t xml:space="preserve"> TEČAJI</w:t>
            </w:r>
          </w:p>
        </w:tc>
        <w:tc>
          <w:tcPr>
            <w:tcW w:w="10054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B428F" w:rsidRPr="00DD0CF0" w:rsidRDefault="00AB428F" w:rsidP="009D38AA">
            <w:pPr>
              <w:jc w:val="center"/>
              <w:rPr>
                <w:rFonts w:ascii="Titillium Web" w:hAnsi="Titillium Web"/>
              </w:rPr>
            </w:pPr>
          </w:p>
        </w:tc>
      </w:tr>
    </w:tbl>
    <w:p w:rsidR="00DD0CF0" w:rsidRPr="00DD0CF0" w:rsidRDefault="00DD0CF0" w:rsidP="009D38AA">
      <w:pPr>
        <w:rPr>
          <w:rFonts w:ascii="Titillium Web" w:hAnsi="Titillium Web"/>
        </w:rPr>
      </w:pPr>
    </w:p>
    <w:sectPr w:rsidR="00DD0CF0" w:rsidRPr="00DD0CF0" w:rsidSect="007B668B">
      <w:pgSz w:w="12240" w:h="15840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tillium Web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277A25"/>
    <w:multiLevelType w:val="hybridMultilevel"/>
    <w:tmpl w:val="A596EBA8"/>
    <w:lvl w:ilvl="0" w:tplc="6298DB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29EA"/>
    <w:rsid w:val="000608FC"/>
    <w:rsid w:val="00223E72"/>
    <w:rsid w:val="003408E0"/>
    <w:rsid w:val="004E45C8"/>
    <w:rsid w:val="005432BC"/>
    <w:rsid w:val="005F766E"/>
    <w:rsid w:val="00663400"/>
    <w:rsid w:val="006B780D"/>
    <w:rsid w:val="007B29EA"/>
    <w:rsid w:val="007B668B"/>
    <w:rsid w:val="00872EB9"/>
    <w:rsid w:val="00903D42"/>
    <w:rsid w:val="0094762A"/>
    <w:rsid w:val="00992614"/>
    <w:rsid w:val="009D38AA"/>
    <w:rsid w:val="009D60BF"/>
    <w:rsid w:val="00A2491E"/>
    <w:rsid w:val="00A8407C"/>
    <w:rsid w:val="00AB428F"/>
    <w:rsid w:val="00AD153D"/>
    <w:rsid w:val="00B867EC"/>
    <w:rsid w:val="00C32FF4"/>
    <w:rsid w:val="00CD5C4F"/>
    <w:rsid w:val="00D65506"/>
    <w:rsid w:val="00D85A50"/>
    <w:rsid w:val="00DD0CF0"/>
    <w:rsid w:val="00E970EA"/>
    <w:rsid w:val="00F9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108DE"/>
  <w15:docId w15:val="{9D8E33E4-2C12-4E77-B259-7530BAA1B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0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2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2369</TotalTime>
  <Pages>1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Gregor</cp:lastModifiedBy>
  <cp:revision>8</cp:revision>
  <dcterms:created xsi:type="dcterms:W3CDTF">2021-05-10T21:35:00Z</dcterms:created>
  <dcterms:modified xsi:type="dcterms:W3CDTF">2021-05-13T07:30:00Z</dcterms:modified>
</cp:coreProperties>
</file>