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7515B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7515B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7515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7515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7515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7515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7515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7515B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7515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7515B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7515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7515B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  <w:bookmarkStart w:id="60" w:name="_GoBack"/>
      <w:bookmarkEnd w:id="60"/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50DB19A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 xml:space="preserve">, once the </w:t>
      </w:r>
      <w:r w:rsidR="00DF75F8">
        <w:t>linear</w:t>
      </w:r>
      <w:r>
        <w:t>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411E6C5F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 xml:space="preserve">once the </w:t>
      </w:r>
      <w:r w:rsidR="00DF75F8">
        <w:t>linear</w:t>
      </w:r>
      <w:r w:rsidR="00B55C11">
        <w:t>-log transformation has taken place,</w:t>
      </w:r>
      <w:r w:rsidR="003A46DE">
        <w:t xml:space="preserve"> the </w:t>
      </w:r>
      <w:r w:rsidR="003A46DE">
        <w:t xml:space="preserve">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</w:t>
      </w:r>
      <w:r>
        <w:t xml:space="preserve">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1" w:name="_Toc25143592"/>
      <w:bookmarkStart w:id="62" w:name="_Toc25146719"/>
      <w:r>
        <w:t>Multicollinearity</w:t>
      </w:r>
    </w:p>
    <w:p w14:paraId="03308AFB" w14:textId="77DA8457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</w:t>
      </w:r>
      <w:r w:rsidR="00C77CCF">
        <w:rPr>
          <w:color w:val="FF0000"/>
        </w:rPr>
        <w:t>Tolerance</w:t>
      </w:r>
      <w:r w:rsidRPr="0077763F">
        <w:rPr>
          <w:color w:val="FF0000"/>
        </w:rPr>
        <w:t xml:space="preserve"> &lt; </w:t>
      </w:r>
      <w:r w:rsidRPr="00307DF3">
        <w:rPr>
          <w:color w:val="FF0000"/>
        </w:rPr>
        <w:t>1</w:t>
      </w:r>
      <w:r>
        <w:t xml:space="preserve"> [</w:t>
      </w:r>
      <w:r w:rsidR="00FD4A92">
        <w:rPr>
          <w:color w:val="FF0000"/>
        </w:rPr>
        <w:t>Figure</w:t>
      </w:r>
      <w:r w:rsidRPr="00447D93">
        <w:rPr>
          <w:color w:val="FF0000"/>
        </w:rPr>
        <w:t xml:space="preserve"> 5.1.</w:t>
      </w:r>
      <w:r w:rsidR="0006799E">
        <w:rPr>
          <w:color w:val="FF0000"/>
        </w:rPr>
        <w:t>1</w:t>
      </w:r>
      <w:r w:rsidR="00FD4A92">
        <w:rPr>
          <w:color w:val="FF0000"/>
        </w:rPr>
        <w:t>1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63" w:name="_Toc25664980"/>
      <w:r>
        <w:t>Comparing Competing Models</w:t>
      </w:r>
      <w:bookmarkEnd w:id="61"/>
      <w:bookmarkEnd w:id="62"/>
      <w:bookmarkEnd w:id="63"/>
    </w:p>
    <w:p w14:paraId="36AE01B0" w14:textId="3F00CC23" w:rsidR="00C07B3D" w:rsidRDefault="00C07B3D" w:rsidP="00DA632B">
      <w:pPr>
        <w:pStyle w:val="Heading4"/>
      </w:pPr>
      <w:bookmarkStart w:id="64" w:name="_Toc25143593"/>
      <w:r>
        <w:t>Adj R</w:t>
      </w:r>
      <w:r>
        <w:rPr>
          <w:vertAlign w:val="superscript"/>
        </w:rPr>
        <w:t>2</w:t>
      </w:r>
      <w:bookmarkEnd w:id="64"/>
    </w:p>
    <w:p w14:paraId="1CA42B57" w14:textId="3A329A55" w:rsidR="00C07B3D" w:rsidRDefault="00C07B3D" w:rsidP="00DA632B">
      <w:pPr>
        <w:pStyle w:val="Heading4"/>
      </w:pPr>
      <w:bookmarkStart w:id="65" w:name="_Toc25143594"/>
      <w:r>
        <w:t>Internal CV Press</w:t>
      </w:r>
      <w:bookmarkEnd w:id="65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6" w:name="_Toc25143595"/>
      <w:bookmarkStart w:id="67" w:name="_Toc25146720"/>
    </w:p>
    <w:p w14:paraId="42578E90" w14:textId="3197BFAE" w:rsidR="00C07B3D" w:rsidRDefault="00C07B3D" w:rsidP="00C07B3D">
      <w:pPr>
        <w:pStyle w:val="Heading2"/>
      </w:pPr>
      <w:bookmarkStart w:id="68" w:name="_Toc25664981"/>
      <w:r>
        <w:t>Parameters</w:t>
      </w:r>
      <w:bookmarkEnd w:id="66"/>
      <w:bookmarkEnd w:id="67"/>
      <w:bookmarkEnd w:id="68"/>
    </w:p>
    <w:p w14:paraId="1DCDCBB4" w14:textId="061201AE" w:rsidR="00C07B3D" w:rsidRDefault="00C07B3D" w:rsidP="00C07B3D">
      <w:pPr>
        <w:pStyle w:val="Heading3"/>
      </w:pPr>
      <w:bookmarkStart w:id="69" w:name="_Toc25143596"/>
      <w:bookmarkStart w:id="70" w:name="_Toc25146721"/>
      <w:bookmarkStart w:id="71" w:name="_Toc25664982"/>
      <w:r>
        <w:t>Estimates</w:t>
      </w:r>
      <w:bookmarkEnd w:id="69"/>
      <w:bookmarkEnd w:id="70"/>
      <w:bookmarkEnd w:id="71"/>
    </w:p>
    <w:p w14:paraId="79F67A64" w14:textId="77777777" w:rsidR="00487938" w:rsidRDefault="00C07B3D" w:rsidP="00487938">
      <w:pPr>
        <w:pStyle w:val="Heading3"/>
      </w:pPr>
      <w:bookmarkStart w:id="72" w:name="_Toc25143597"/>
      <w:bookmarkStart w:id="73" w:name="_Toc25146722"/>
      <w:bookmarkStart w:id="74" w:name="_Toc25664983"/>
      <w:r>
        <w:t>Interpretation</w:t>
      </w:r>
      <w:bookmarkEnd w:id="72"/>
      <w:bookmarkEnd w:id="73"/>
      <w:bookmarkEnd w:id="74"/>
    </w:p>
    <w:p w14:paraId="594B36F1" w14:textId="77777777" w:rsidR="00487938" w:rsidRDefault="00487938" w:rsidP="00487938">
      <w:pPr>
        <w:pStyle w:val="Heading4"/>
      </w:pPr>
    </w:p>
    <w:p w14:paraId="2F3B5AD4" w14:textId="77777777" w:rsidR="00487938" w:rsidRDefault="00487938" w:rsidP="00487938">
      <w:pPr>
        <w:pStyle w:val="Heading4"/>
      </w:pPr>
    </w:p>
    <w:p w14:paraId="22762630" w14:textId="77777777" w:rsidR="00487938" w:rsidRDefault="00487938" w:rsidP="00487938">
      <w:pPr>
        <w:pStyle w:val="Heading4"/>
      </w:pPr>
    </w:p>
    <w:p w14:paraId="09DF77FE" w14:textId="77777777" w:rsidR="00487938" w:rsidRDefault="00487938" w:rsidP="00487938">
      <w:pPr>
        <w:pStyle w:val="Heading4"/>
      </w:pPr>
    </w:p>
    <w:p w14:paraId="08B6AA9E" w14:textId="77777777" w:rsidR="00487938" w:rsidRDefault="00487938" w:rsidP="00487938">
      <w:pPr>
        <w:pStyle w:val="Heading4"/>
      </w:pPr>
    </w:p>
    <w:p w14:paraId="7749BD1B" w14:textId="62BC20C6" w:rsidR="00487938" w:rsidRPr="00487938" w:rsidRDefault="00487938" w:rsidP="00487938">
      <w:pPr>
        <w:pStyle w:val="Heading4"/>
      </w:pPr>
    </w:p>
    <w:p w14:paraId="6ADDD79A" w14:textId="773B1BBA" w:rsidR="00C07B3D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t>Confidence Intervals</w:t>
      </w:r>
      <w:bookmarkEnd w:id="75"/>
      <w:bookmarkEnd w:id="76"/>
      <w:bookmarkEnd w:id="77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lastRenderedPageBreak/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004E1D8B" w:rsidR="00A3495A" w:rsidRDefault="00A3495A" w:rsidP="00A3495A">
      <w:pPr>
        <w:pStyle w:val="Heading3"/>
      </w:pPr>
      <w:bookmarkStart w:id="124" w:name="_Toc25146745"/>
      <w:bookmarkEnd w:id="124"/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AA2"/>
    <w:rsid w:val="000D125F"/>
    <w:rsid w:val="000D5454"/>
    <w:rsid w:val="000E4278"/>
    <w:rsid w:val="000F3AB8"/>
    <w:rsid w:val="0010100B"/>
    <w:rsid w:val="00114F9F"/>
    <w:rsid w:val="001168AB"/>
    <w:rsid w:val="001313AE"/>
    <w:rsid w:val="001558E1"/>
    <w:rsid w:val="00163278"/>
    <w:rsid w:val="0016554F"/>
    <w:rsid w:val="00184B9A"/>
    <w:rsid w:val="00185CC2"/>
    <w:rsid w:val="00197277"/>
    <w:rsid w:val="001A7ECE"/>
    <w:rsid w:val="001B1699"/>
    <w:rsid w:val="001B72BC"/>
    <w:rsid w:val="001F790C"/>
    <w:rsid w:val="0020410A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929B8"/>
    <w:rsid w:val="002A49DD"/>
    <w:rsid w:val="002B5192"/>
    <w:rsid w:val="002E6F51"/>
    <w:rsid w:val="002E7C65"/>
    <w:rsid w:val="002F51D7"/>
    <w:rsid w:val="0030381B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D03E9"/>
    <w:rsid w:val="003E07D4"/>
    <w:rsid w:val="00410F58"/>
    <w:rsid w:val="00411ACF"/>
    <w:rsid w:val="004256F9"/>
    <w:rsid w:val="00442864"/>
    <w:rsid w:val="00442C67"/>
    <w:rsid w:val="00447D93"/>
    <w:rsid w:val="004564AB"/>
    <w:rsid w:val="00464485"/>
    <w:rsid w:val="00465F12"/>
    <w:rsid w:val="00487938"/>
    <w:rsid w:val="004A6541"/>
    <w:rsid w:val="004A7C1A"/>
    <w:rsid w:val="004C11E7"/>
    <w:rsid w:val="004C6B7D"/>
    <w:rsid w:val="004D6F28"/>
    <w:rsid w:val="004E1846"/>
    <w:rsid w:val="004E4DF4"/>
    <w:rsid w:val="004F27D0"/>
    <w:rsid w:val="005002F5"/>
    <w:rsid w:val="00510431"/>
    <w:rsid w:val="00513F4C"/>
    <w:rsid w:val="005263CC"/>
    <w:rsid w:val="0055267C"/>
    <w:rsid w:val="0056459B"/>
    <w:rsid w:val="00565118"/>
    <w:rsid w:val="00571B3C"/>
    <w:rsid w:val="005844C3"/>
    <w:rsid w:val="005A0EC7"/>
    <w:rsid w:val="005C1A66"/>
    <w:rsid w:val="005C66A7"/>
    <w:rsid w:val="005D13A4"/>
    <w:rsid w:val="005D1835"/>
    <w:rsid w:val="005E2CF9"/>
    <w:rsid w:val="005F5722"/>
    <w:rsid w:val="005F5C72"/>
    <w:rsid w:val="00614566"/>
    <w:rsid w:val="00614C59"/>
    <w:rsid w:val="00651AC1"/>
    <w:rsid w:val="00655C71"/>
    <w:rsid w:val="00680DF1"/>
    <w:rsid w:val="00682660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5585"/>
    <w:rsid w:val="007E1D30"/>
    <w:rsid w:val="007F6ADD"/>
    <w:rsid w:val="007F6F7F"/>
    <w:rsid w:val="00806CD2"/>
    <w:rsid w:val="00817AA6"/>
    <w:rsid w:val="00854427"/>
    <w:rsid w:val="00860199"/>
    <w:rsid w:val="00863EEA"/>
    <w:rsid w:val="008831D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B54B0"/>
    <w:rsid w:val="00AB6C20"/>
    <w:rsid w:val="00AE5451"/>
    <w:rsid w:val="00AF4D2A"/>
    <w:rsid w:val="00B00333"/>
    <w:rsid w:val="00B165A8"/>
    <w:rsid w:val="00B55C11"/>
    <w:rsid w:val="00B62126"/>
    <w:rsid w:val="00B668C3"/>
    <w:rsid w:val="00B83C25"/>
    <w:rsid w:val="00B96944"/>
    <w:rsid w:val="00B9740C"/>
    <w:rsid w:val="00BD1DCB"/>
    <w:rsid w:val="00BD247B"/>
    <w:rsid w:val="00BD4C26"/>
    <w:rsid w:val="00BE39A2"/>
    <w:rsid w:val="00BF690B"/>
    <w:rsid w:val="00C0014B"/>
    <w:rsid w:val="00C02F0A"/>
    <w:rsid w:val="00C05B19"/>
    <w:rsid w:val="00C07B3D"/>
    <w:rsid w:val="00C10F4F"/>
    <w:rsid w:val="00C16C5A"/>
    <w:rsid w:val="00C17882"/>
    <w:rsid w:val="00C24514"/>
    <w:rsid w:val="00C31153"/>
    <w:rsid w:val="00C324DC"/>
    <w:rsid w:val="00C6049F"/>
    <w:rsid w:val="00C6581D"/>
    <w:rsid w:val="00C77CCF"/>
    <w:rsid w:val="00C827BE"/>
    <w:rsid w:val="00C8404B"/>
    <w:rsid w:val="00C85AFF"/>
    <w:rsid w:val="00C94CF3"/>
    <w:rsid w:val="00C96D2E"/>
    <w:rsid w:val="00CB70EC"/>
    <w:rsid w:val="00CC7AE3"/>
    <w:rsid w:val="00CD0495"/>
    <w:rsid w:val="00CE2A57"/>
    <w:rsid w:val="00D20008"/>
    <w:rsid w:val="00D2734C"/>
    <w:rsid w:val="00D27A32"/>
    <w:rsid w:val="00D37C0C"/>
    <w:rsid w:val="00D57A12"/>
    <w:rsid w:val="00D81B18"/>
    <w:rsid w:val="00D84075"/>
    <w:rsid w:val="00DA632B"/>
    <w:rsid w:val="00DC2F45"/>
    <w:rsid w:val="00DD0F14"/>
    <w:rsid w:val="00DD19B6"/>
    <w:rsid w:val="00DE395E"/>
    <w:rsid w:val="00DF75F8"/>
    <w:rsid w:val="00E17BFE"/>
    <w:rsid w:val="00E60FF9"/>
    <w:rsid w:val="00E70DE5"/>
    <w:rsid w:val="00E72637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2445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704C0-43C8-8340-A2A4-8F146903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291</cp:revision>
  <dcterms:created xsi:type="dcterms:W3CDTF">2019-11-19T20:58:00Z</dcterms:created>
  <dcterms:modified xsi:type="dcterms:W3CDTF">2019-11-27T17:38:00Z</dcterms:modified>
</cp:coreProperties>
</file>