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2B4C"/>
          <w:sz w:val="40"/>
          <w:szCs w:val="40"/>
        </w:rPr>
        <w:t xml:space="preserve">TARA AI (MyGPGD J360) — Project Progress Report</w:t>
      </w:r>
    </w:p>
    <w:p>
      <w:pPr>
        <w:spacing w:after="40"/>
        <w:jc w:val="center"/>
      </w:pPr>
      <w:r>
        <w:rPr>
          <w:color w:val="595959"/>
          <w:sz w:val="22"/>
          <w:szCs w:val="22"/>
        </w:rPr>
        <w:t xml:space="preserve">Participant: Jayanthi Jayaraman</w:t>
      </w:r>
    </w:p>
    <w:p>
      <w:pPr>
        <w:pBdr>
          <w:bottom w:val="single" w:color="4C1D95" w:sz="6" w:space="8"/>
        </w:pBdr>
        <w:spacing w:after="300"/>
        <w:jc w:val="center"/>
      </w:pPr>
      <w:r>
        <w:rPr>
          <w:color w:val="595959"/>
          <w:sz w:val="22"/>
          <w:szCs w:val="22"/>
        </w:rPr>
        <w:t xml:space="preserve">Date: 20 August 2026</w:t>
      </w:r>
    </w:p>
    <w:p>
      <w:pPr>
        <w:pStyle w:val="Heading1"/>
        <w:spacing w:after="140" w:before="280"/>
      </w:pPr>
      <w:r>
        <w:rPr>
          <w:b/>
          <w:bCs/>
          <w:color w:val="1A2B4C"/>
        </w:rPr>
        <w:t xml:space="preserve">1. Project Overview</w:t>
      </w:r>
    </w:p>
    <w:p>
      <w:pPr>
        <w:spacing w:after="140"/>
      </w:pPr>
      <w:r>
        <w:t xml:space="preserve">TARA AI (MyGPGD J360) is a Django web application built for the Malaysian Ministry of Education (MOE) to run the GPGD digital-leader recognition programme end to end. It takes raw certification exports from three technology providers (Google, Microsoft, Apple), turns them into a deduplicated and eligibility-classified teacher roster, invites eligible teachers to apply, scores and ranks the applications, routes them through two human approval gates (State Officer, then MoE Officer), and then tracks the ongoing professional development of every recognised GPGD through a monthly reporting cycle.</w:t>
      </w:r>
    </w:p>
    <w:p>
      <w:pPr>
        <w:spacing w:after="140"/>
      </w:pPr>
      <w:r>
        <w:t xml:space="preserve">The system is built as a Django 6.0 web application, developed using Claude Code in VS Code, containerised with Docker, and deployed on Google Cloud Platform (Compute Engine, with a Caddy reverse proxy providing automatic Let’s Encrypt TLS). An autonomous pipeline agent built on the Claude API drives everything between the file upload and the first human approval gate. The codebase currently stands at roughly 3,200 lines of Python across 11 models, 38 URL routes, and 22 templates.</w:t>
      </w:r>
    </w:p>
    <w:p>
      <w:pPr>
        <w:spacing w:after="140"/>
      </w:pPr>
      <w: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Pr>
          <w:p>
            <w:pPr>
              <w:spacing w:after="40" w:before="40"/>
            </w:pPr>
            <w:r>
              <w:rPr>
                <w:b/>
                <w:bCs/>
              </w:rPr>
              <w:t xml:space="preserve">Component</w:t>
            </w:r>
          </w:p>
        </w:tc>
        <w:tc>
          <w:tcPr>
            <w:tcW w:type="dxa" w:w="6160"/>
          </w:tcPr>
          <w:p>
            <w:pPr>
              <w:spacing w:after="40" w:before="40"/>
            </w:pPr>
            <w:r>
              <w:rPr>
                <w:b/>
                <w:bCs/>
              </w:rPr>
              <w:t xml:space="preserve">Role</w:t>
            </w:r>
          </w:p>
        </w:tc>
      </w:tr>
      <w:tr>
        <w:trPr>
          <w:tblHeader w:val="false"/>
        </w:trPr>
        <w:tc>
          <w:tcPr>
            <w:tcW w:type="dxa" w:w="3200"/>
          </w:tcPr>
          <w:p>
            <w:pPr>
              <w:spacing w:after="40" w:before="40"/>
            </w:pPr>
            <w:r>
              <w:rPr>
                <w:b w:val="false"/>
                <w:bCs w:val="false"/>
              </w:rPr>
              <w:t xml:space="preserve">Certification collector &amp; normaliser (collector.py)</w:t>
            </w:r>
          </w:p>
        </w:tc>
        <w:tc>
          <w:tcPr>
            <w:tcW w:type="dxa" w:w="6160"/>
          </w:tcPr>
          <w:p>
            <w:pPr>
              <w:spacing w:after="40" w:before="40"/>
            </w:pPr>
            <w:r>
              <w:rPr>
                <w:b w:val="false"/>
                <w:bCs w:val="false"/>
              </w:rPr>
              <w:t xml:space="preserve">Validates each uploaded provider file, flags missing values cell-by-cell, and normalises three different provider formats into one common schema</w:t>
            </w:r>
          </w:p>
        </w:tc>
      </w:tr>
      <w:tr>
        <w:trPr>
          <w:tblHeader w:val="false"/>
        </w:trPr>
        <w:tc>
          <w:tcPr>
            <w:tcW w:type="dxa" w:w="3200"/>
          </w:tcPr>
          <w:p>
            <w:pPr>
              <w:spacing w:after="40" w:before="40"/>
            </w:pPr>
            <w:r>
              <w:rPr>
                <w:b w:val="false"/>
                <w:bCs w:val="false"/>
              </w:rPr>
              <w:t xml:space="preserve">Eligibility engine (eligibility.py)</w:t>
            </w:r>
          </w:p>
        </w:tc>
        <w:tc>
          <w:tcPr>
            <w:tcW w:type="dxa" w:w="6160"/>
          </w:tcPr>
          <w:p>
            <w:pPr>
              <w:spacing w:after="40" w:before="40"/>
            </w:pPr>
            <w:r>
              <w:rPr>
                <w:b w:val="false"/>
                <w:bCs w:val="false"/>
              </w:rPr>
              <w:t xml:space="preserve">Deduplicates teachers by IC number, merges multi-provider records, and classifies each against database-driven CertificationRule keyword rules</w:t>
            </w:r>
          </w:p>
        </w:tc>
      </w:tr>
      <w:tr>
        <w:trPr>
          <w:tblHeader w:val="false"/>
        </w:trPr>
        <w:tc>
          <w:tcPr>
            <w:tcW w:type="dxa" w:w="3200"/>
          </w:tcPr>
          <w:p>
            <w:pPr>
              <w:spacing w:after="40" w:before="40"/>
            </w:pPr>
            <w:r>
              <w:rPr>
                <w:b w:val="false"/>
                <w:bCs w:val="false"/>
              </w:rPr>
              <w:t xml:space="preserve">Autonomous pipeline agent (ai_agent.py)</w:t>
            </w:r>
          </w:p>
        </w:tc>
        <w:tc>
          <w:tcPr>
            <w:tcW w:type="dxa" w:w="6160"/>
          </w:tcPr>
          <w:p>
            <w:pPr>
              <w:spacing w:after="40" w:before="40"/>
            </w:pPr>
            <w:r>
              <w:rPr>
                <w:b w:val="false"/>
                <w:bCs w:val="false"/>
              </w:rPr>
              <w:t xml:space="preserve">A Claude API tool-use agent with six tools; decides for itself whether to run the pipeline, send invitations, or compile and rank, and writes a plain-language summary of every run to the activity log</w:t>
            </w:r>
          </w:p>
        </w:tc>
      </w:tr>
      <w:tr>
        <w:trPr>
          <w:tblHeader w:val="false"/>
        </w:trPr>
        <w:tc>
          <w:tcPr>
            <w:tcW w:type="dxa" w:w="3200"/>
          </w:tcPr>
          <w:p>
            <w:pPr>
              <w:spacing w:after="40" w:before="40"/>
            </w:pPr>
            <w:r>
              <w:rPr>
                <w:b w:val="false"/>
                <w:bCs w:val="false"/>
              </w:rPr>
              <w:t xml:space="preserve">Ranking &amp; compilation engine (ranking.py)</w:t>
            </w:r>
          </w:p>
        </w:tc>
        <w:tc>
          <w:tcPr>
            <w:tcW w:type="dxa" w:w="6160"/>
          </w:tcPr>
          <w:p>
            <w:pPr>
              <w:spacing w:after="40" w:before="40"/>
            </w:pPr>
            <w:r>
              <w:rPr>
                <w:b w:val="false"/>
                <w:bCs w:val="false"/>
              </w:rPr>
              <w:t xml:space="preserve">Scores each application on a weighted 0–100 blend (LNPT 35%, certification 25%, experience 20%, awards 10%, multi-certification 10%), ranks within state, and auto-flags a minimum quota per district and technology track</w:t>
            </w:r>
          </w:p>
        </w:tc>
      </w:tr>
      <w:tr>
        <w:trPr>
          <w:tblHeader w:val="false"/>
        </w:trPr>
        <w:tc>
          <w:tcPr>
            <w:tcW w:type="dxa" w:w="3200"/>
          </w:tcPr>
          <w:p>
            <w:pPr>
              <w:spacing w:after="40" w:before="40"/>
            </w:pPr>
            <w:r>
              <w:rPr>
                <w:b w:val="false"/>
                <w:bCs w:val="false"/>
              </w:rPr>
              <w:t xml:space="preserve">Two-tier approval workflow (views.py)</w:t>
            </w:r>
          </w:p>
        </w:tc>
        <w:tc>
          <w:tcPr>
            <w:tcW w:type="dxa" w:w="6160"/>
          </w:tcPr>
          <w:p>
            <w:pPr>
              <w:spacing w:after="40" w:before="40"/>
            </w:pPr>
            <w:r>
              <w:rPr>
                <w:b w:val="false"/>
                <w:bCs w:val="false"/>
              </w:rPr>
              <w:t xml:space="preserve">Role-gated State Officer and MoE Officer review screens, a seven-state application status machine, and automatic recognition letters on final approval</w:t>
            </w:r>
          </w:p>
        </w:tc>
      </w:tr>
      <w:tr>
        <w:trPr>
          <w:tblHeader w:val="false"/>
        </w:trPr>
        <w:tc>
          <w:tcPr>
            <w:tcW w:type="dxa" w:w="3200"/>
          </w:tcPr>
          <w:p>
            <w:pPr>
              <w:spacing w:after="40" w:before="40"/>
            </w:pPr>
            <w:r>
              <w:rPr>
                <w:b w:val="false"/>
                <w:bCs w:val="false"/>
              </w:rPr>
              <w:t xml:space="preserve">Recognition &amp; activity dashboards</w:t>
            </w:r>
          </w:p>
        </w:tc>
        <w:tc>
          <w:tcPr>
            <w:tcW w:type="dxa" w:w="6160"/>
          </w:tcPr>
          <w:p>
            <w:pPr>
              <w:spacing w:after="40" w:before="40"/>
            </w:pPr>
            <w:r>
              <w:rPr>
                <w:b w:val="false"/>
                <w:bCs w:val="false"/>
              </w:rPr>
              <w:t xml:space="preserve">Nationwide view of recognised GPGDs with filters, charts, and a Malaysia state map, plus a monthly activity-reporting cycle with photo and document evidence</w:t>
            </w:r>
          </w:p>
        </w:tc>
      </w:tr>
    </w:tbl>
    <w:p>
      <w:pPr>
        <w:spacing w:after="140"/>
      </w:pPr>
    </w:p>
    <w:p>
      <w:pPr>
        <w:pStyle w:val="Heading1"/>
        <w:spacing w:after="140" w:before="280"/>
      </w:pPr>
      <w:r>
        <w:rPr>
          <w:b/>
          <w:bCs/>
          <w:color w:val="1A2B4C"/>
        </w:rPr>
        <w:t xml:space="preserve">2. Progress to Date</w:t>
      </w:r>
    </w:p>
    <w:p>
      <w:pPr>
        <w:pStyle w:val="Heading2"/>
        <w:spacing w:after="140" w:before="280"/>
      </w:pPr>
      <w:r>
        <w:rPr>
          <w:b/>
          <w:bCs/>
          <w:color w:val="4C1D95"/>
        </w:rPr>
        <w:t xml:space="preserve">Phase 1–2: Data intake and certification pipeline</w:t>
      </w:r>
    </w:p>
    <w:p>
      <w:pPr>
        <w:pStyle w:val="ListParagraph"/>
        <w:numPr>
          <w:ilvl w:val="0"/>
          <w:numId w:val="2"/>
        </w:numPr>
        <w:spacing w:after="90"/>
      </w:pPr>
      <w:r>
        <w:t xml:space="preserve">Django project (mygpgd) and agents app scaffolded; 11 models across 10 migrations, 38 URL routes, and 22 Bootstrap templates behind a consistent officer UI.</w:t>
      </w:r>
    </w:p>
    <w:p>
      <w:pPr>
        <w:pStyle w:val="ListParagraph"/>
        <w:numPr>
          <w:ilvl w:val="0"/>
          <w:numId w:val="2"/>
        </w:numPr>
        <w:spacing w:after="90"/>
      </w:pPr>
      <w:r>
        <w:t xml:space="preserve">Upload screen accepts Excel files for all three providers with per-file validation, record counts, and error messages — and returns a downloadable copy of the file with every missing cell highlighted for the uploader to fix.</w:t>
      </w:r>
    </w:p>
    <w:p>
      <w:pPr>
        <w:pStyle w:val="ListParagraph"/>
        <w:numPr>
          <w:ilvl w:val="0"/>
          <w:numId w:val="2"/>
        </w:numPr>
        <w:spacing w:after="90"/>
      </w:pPr>
      <w:r>
        <w:t xml:space="preserve">Provider formats normalised into a common schema; combined, deduplicated, and eligible-candidate rosters can all be exported to Excel.</w:t>
      </w:r>
    </w:p>
    <w:p>
      <w:pPr>
        <w:pStyle w:val="Heading2"/>
        <w:spacing w:after="140" w:before="280"/>
      </w:pPr>
      <w:r>
        <w:rPr>
          <w:b/>
          <w:bCs/>
          <w:color w:val="4C1D95"/>
        </w:rPr>
        <w:t xml:space="preserve">Phase 3: Eligibility rules moved into the database</w:t>
      </w:r>
    </w:p>
    <w:p>
      <w:pPr>
        <w:pStyle w:val="ListParagraph"/>
        <w:numPr>
          <w:ilvl w:val="0"/>
          <w:numId w:val="2"/>
        </w:numPr>
        <w:spacing w:after="90"/>
      </w:pPr>
      <w:r>
        <w:t xml:space="preserve">CertificationRule model added so programme staff can define recognised certifications themselves — required keywords, exclusion keywords, eligibility flag, and match priority — rather than needing a code change. 9 rules across 3 providers are currently loaded.</w:t>
      </w:r>
    </w:p>
    <w:p>
      <w:pPr>
        <w:pStyle w:val="ListParagraph"/>
        <w:numPr>
          <w:ilvl w:val="0"/>
          <w:numId w:val="2"/>
        </w:numPr>
        <w:spacing w:after="90"/>
      </w:pPr>
      <w:r>
        <w:t xml:space="preserve">In-system management screens added for providers, rules, teachers, and applications, so day-to-day work no longer requires the Django admin.</w:t>
      </w:r>
    </w:p>
    <w:p>
      <w:pPr>
        <w:pStyle w:val="Heading2"/>
        <w:spacing w:after="140" w:before="280"/>
      </w:pPr>
      <w:r>
        <w:rPr>
          <w:b/>
          <w:bCs/>
          <w:color w:val="4C1D95"/>
        </w:rPr>
        <w:t xml:space="preserve">Phase 4: Invitations and the application form</w:t>
      </w:r>
    </w:p>
    <w:p>
      <w:pPr>
        <w:pStyle w:val="ListParagraph"/>
        <w:numPr>
          <w:ilvl w:val="0"/>
          <w:numId w:val="2"/>
        </w:numPr>
        <w:spacing w:after="90"/>
      </w:pPr>
      <w:r>
        <w:t xml:space="preserve">Eligible teachers receive a signed, expiring application link by email; tokens are per-IC and single-use, and revisiting a used link shows a clear “already applied” page.</w:t>
      </w:r>
    </w:p>
    <w:p>
      <w:pPr>
        <w:pStyle w:val="ListParagraph"/>
        <w:numPr>
          <w:ilvl w:val="0"/>
          <w:numId w:val="2"/>
        </w:numPr>
        <w:spacing w:after="90"/>
      </w:pPr>
      <w:r>
        <w:t xml:space="preserve">Public application form captures personal details, technology track, certifications, three years of LNPT scores, training experience, and awards, then issues a GPGD reference number with an acknowledgement email.</w:t>
      </w:r>
    </w:p>
    <w:p>
      <w:pPr>
        <w:pStyle w:val="ListParagraph"/>
        <w:numPr>
          <w:ilvl w:val="0"/>
          <w:numId w:val="2"/>
        </w:numPr>
        <w:spacing w:after="90"/>
      </w:pPr>
      <w:r>
        <w:t xml:space="preserve">Programme-wide submission deadline is configurable in-app rather than hard-coded.</w:t>
      </w:r>
    </w:p>
    <w:p>
      <w:pPr>
        <w:pStyle w:val="Heading2"/>
        <w:spacing w:after="140" w:before="280"/>
      </w:pPr>
      <w:r>
        <w:rPr>
          <w:b/>
          <w:bCs/>
          <w:color w:val="4C1D95"/>
        </w:rPr>
        <w:t xml:space="preserve">Phase 5: Compilation, ranking, and the two approval gates</w:t>
      </w:r>
    </w:p>
    <w:p>
      <w:pPr>
        <w:pStyle w:val="ListParagraph"/>
        <w:numPr>
          <w:ilvl w:val="0"/>
          <w:numId w:val="2"/>
        </w:numPr>
        <w:spacing w:after="90"/>
      </w:pPr>
      <w:r>
        <w:t xml:space="preserve">Compile-and-rank scores every submitted application on the weighted blend above, ranks within state, and auto-flags a minimum quota per district per technology track (2 per district; 5 state-wide for Perlis, WP Putrajaya, and WP Labuan, which have no district subdivisions).</w:t>
      </w:r>
    </w:p>
    <w:p>
      <w:pPr>
        <w:pStyle w:val="ListParagraph"/>
        <w:numPr>
          <w:ilvl w:val="0"/>
          <w:numId w:val="2"/>
        </w:numPr>
        <w:spacing w:after="90"/>
      </w:pPr>
      <w:r>
        <w:t xml:space="preserve">State Officer and MoE Officer review screens are role-gated via OfficerProfile, with State Officers scoped to their own state. 17 officer accounts are provisioned (16 state, 1 MoE).</w:t>
      </w:r>
    </w:p>
    <w:p>
      <w:pPr>
        <w:pStyle w:val="ListParagraph"/>
        <w:numPr>
          <w:ilvl w:val="0"/>
          <w:numId w:val="2"/>
        </w:numPr>
        <w:spacing w:after="90"/>
      </w:pPr>
      <w:r>
        <w:t xml:space="preserve">MoE approval stamps the recognition year and award category and sends the recognition letter automatically.</w:t>
      </w:r>
    </w:p>
    <w:p>
      <w:pPr>
        <w:pStyle w:val="Heading2"/>
        <w:spacing w:after="140" w:before="280"/>
      </w:pPr>
      <w:r>
        <w:rPr>
          <w:b/>
          <w:bCs/>
          <w:color w:val="4C1D95"/>
        </w:rPr>
        <w:t xml:space="preserve">Phase 6: Autonomous pipeline agent</w:t>
      </w:r>
    </w:p>
    <w:p>
      <w:pPr>
        <w:pStyle w:val="ListParagraph"/>
        <w:numPr>
          <w:ilvl w:val="0"/>
          <w:numId w:val="2"/>
        </w:numPr>
        <w:spacing w:after="90"/>
      </w:pPr>
      <w:r>
        <w:t xml:space="preserve">Agent implemented as a Claude API tool-use loop with six tools (check upload status, run certification pipeline, send invitation emails, list pending applications, compile and rank, log note), capped at six steps per run and dispatched on a background thread so it never blocks an officer’s request.</w:t>
      </w:r>
    </w:p>
    <w:p>
      <w:pPr>
        <w:pStyle w:val="ListParagraph"/>
        <w:numPr>
          <w:ilvl w:val="0"/>
          <w:numId w:val="2"/>
        </w:numPr>
        <w:spacing w:after="90"/>
      </w:pPr>
      <w:r>
        <w:t xml:space="preserve">Every run is written to AgentActivityLog with its trigger reason, ordered tool calls, and a two-to-four sentence plain-language summary written for non-technical programme staff. 35 runs are on record (23 success, 12 error).</w:t>
      </w:r>
    </w:p>
    <w:p>
      <w:pPr>
        <w:pStyle w:val="ListParagraph"/>
        <w:numPr>
          <w:ilvl w:val="0"/>
          <w:numId w:val="2"/>
        </w:numPr>
        <w:spacing w:after="90"/>
      </w:pPr>
      <w:r>
        <w:t xml:space="preserve">An Agent Activity panel on the dashboard surfaces those runs to officers, so a failed agent run is visible rather than silent.</w:t>
      </w:r>
    </w:p>
    <w:p>
      <w:pPr>
        <w:pStyle w:val="Heading2"/>
        <w:spacing w:after="140" w:before="280"/>
      </w:pPr>
      <w:r>
        <w:rPr>
          <w:b/>
          <w:bCs/>
          <w:color w:val="4C1D95"/>
        </w:rPr>
        <w:t xml:space="preserve">Phase 7: Recognition dashboard and monthly activity reporting</w:t>
      </w:r>
    </w:p>
    <w:p>
      <w:pPr>
        <w:pStyle w:val="ListParagraph"/>
        <w:numPr>
          <w:ilvl w:val="0"/>
          <w:numId w:val="2"/>
        </w:numPr>
        <w:spacing w:after="90"/>
      </w:pPr>
      <w:r>
        <w:t xml:space="preserve">Recognition dashboard built: nationwide view of approved GPGDs with filters (track, state, district, school, year, award category), distribution charts, an interactive Malaysia state map, name/IC search, and pagination.</w:t>
      </w:r>
    </w:p>
    <w:p>
      <w:pPr>
        <w:pStyle w:val="ListParagraph"/>
        <w:numPr>
          <w:ilvl w:val="0"/>
          <w:numId w:val="2"/>
        </w:numPr>
        <w:spacing w:after="90"/>
      </w:pPr>
      <w:r>
        <w:t xml:space="preserve">Monthly reporting cycle built: a management command emails every recognised GPGD a signed 60-day link on the 1st of each month, with MonthlyReminderLog making it idempotent per application and period.</w:t>
      </w:r>
    </w:p>
    <w:p>
      <w:pPr>
        <w:pStyle w:val="ListParagraph"/>
        <w:numPr>
          <w:ilvl w:val="0"/>
          <w:numId w:val="2"/>
        </w:numPr>
        <w:spacing w:after="90"/>
      </w:pPr>
      <w:r>
        <w:t xml:space="preserve">Activity reports capture title, date, hours, target audience, participant count, delivery mode, venue, plus two mandatory photos and an optional supporting document; the activity dashboard aggregates them.</w:t>
      </w:r>
    </w:p>
    <w:p>
      <w:pPr>
        <w:pStyle w:val="Heading2"/>
        <w:spacing w:after="140" w:before="280"/>
      </w:pPr>
      <w:r>
        <w:rPr>
          <w:b/>
          <w:bCs/>
          <w:color w:val="4C1D95"/>
        </w:rPr>
        <w:t xml:space="preserve">Phase 8: Operations, error handling, and email reliability</w:t>
      </w:r>
    </w:p>
    <w:p>
      <w:pPr>
        <w:pStyle w:val="ListParagraph"/>
        <w:numPr>
          <w:ilvl w:val="0"/>
          <w:numId w:val="2"/>
        </w:numPr>
        <w:spacing w:after="90"/>
      </w:pPr>
      <w:r>
        <w:t xml:space="preserve">ErrorLog model and a dedicated dashboard tab classify each failure into a plain-language category (authentication failed, timed out, could not connect, invalid recipient) with suggested action, so a programme officer can tell what broke without reading a traceback. 82 failures captured to date, dominated by SMTP timeouts (60).</w:t>
      </w:r>
    </w:p>
    <w:p>
      <w:pPr>
        <w:pStyle w:val="ListParagraph"/>
        <w:numPr>
          <w:ilvl w:val="0"/>
          <w:numId w:val="2"/>
        </w:numPr>
        <w:spacing w:after="90"/>
      </w:pPr>
      <w:r>
        <w:t xml:space="preserve">Email sending hardened after it caused a real outage: a hard 20-second timeout was added because an unreachable SMTP server was hanging the entire “Send Invitations” request indefinitely, and all bulk sends were moved onto background threads.</w:t>
      </w:r>
    </w:p>
    <w:p>
      <w:pPr>
        <w:pStyle w:val="Heading2"/>
        <w:spacing w:after="140" w:before="280"/>
      </w:pPr>
      <w:r>
        <w:rPr>
          <w:b/>
          <w:bCs/>
          <w:color w:val="4C1D95"/>
        </w:rPr>
        <w:t xml:space="preserve">Phase 9: Containerisation and GCP deployment</w:t>
      </w:r>
    </w:p>
    <w:p>
      <w:pPr>
        <w:pStyle w:val="ListParagraph"/>
        <w:numPr>
          <w:ilvl w:val="0"/>
          <w:numId w:val="2"/>
        </w:numPr>
        <w:spacing w:after="90"/>
      </w:pPr>
      <w:r>
        <w:t xml:space="preserve">Dockerfile (python:3.13-slim, non-root user, gunicorn) and docker-compose with named volumes so the database, media, and temp uploads survive rebuilds.</w:t>
      </w:r>
    </w:p>
    <w:p>
      <w:pPr>
        <w:pStyle w:val="ListParagraph"/>
        <w:numPr>
          <w:ilvl w:val="0"/>
          <w:numId w:val="2"/>
        </w:numPr>
        <w:spacing w:after="90"/>
      </w:pPr>
      <w:r>
        <w:t xml:space="preserve">Five idempotent GCP scripts: setup.sh (network, subnet, firewall, static IP, VM), startup-script.sh, deploy.sh (SCP over an IAP tunnel), smoke-test.sh (five-check post-deploy health verification), and release.sh, which chains setup, backup, deploy, and smoke test with automatic rollback to the previous release if the smoke test fails.</w:t>
      </w:r>
    </w:p>
    <w:p>
      <w:pPr>
        <w:pStyle w:val="ListParagraph"/>
        <w:numPr>
          <w:ilvl w:val="0"/>
          <w:numId w:val="2"/>
        </w:numPr>
        <w:spacing w:after="90"/>
      </w:pPr>
      <w:r>
        <w:t xml:space="preserve">Two deployment blockers diagnosed and cleared: an organisation-level policy (compute.vmExternalIpAccess) denying external IPs on the VM, and then a container crash on boot caused by Pillow missing from requirements.txt despite ActivityReport using ImageField.</w:t>
      </w:r>
    </w:p>
    <w:p>
      <w:pPr>
        <w:pStyle w:val="ListParagraph"/>
        <w:numPr>
          <w:ilvl w:val="0"/>
          <w:numId w:val="2"/>
        </w:numPr>
        <w:spacing w:after="90"/>
      </w:pPr>
      <w:r>
        <w:t xml:space="preserve">Caddy reverse proxy added for automatic Let’s Encrypt TLS, with SECURE_PROXY_SSL_HEADER set so Django trusts the forwarded protocol instead of redirect-looping. Live and verified end-to-end at https://34-124-176-218.sslip.io/ since 31 July 2026, with a valid certificate and no domain purchase required.</w:t>
      </w:r>
    </w:p>
    <w:p>
      <w:pPr>
        <w:pStyle w:val="ListParagraph"/>
        <w:numPr>
          <w:ilvl w:val="0"/>
          <w:numId w:val="2"/>
        </w:numPr>
        <w:spacing w:after="90"/>
      </w:pPr>
      <w:r>
        <w:t xml:space="preserve">Security settings (HTTPS redirect, secure cookies, HSTS) auto-enable whenever DEBUG=False, and manage.py check --deploy passes with 0 issues under production environment variables.</w:t>
      </w:r>
    </w:p>
    <w:p>
      <w:pPr>
        <w:pStyle w:val="Heading2"/>
        <w:spacing w:after="140" w:before="280"/>
      </w:pPr>
      <w:r>
        <w:rPr>
          <w:b/>
          <w:bCs/>
          <w:color w:val="4C1D95"/>
        </w:rPr>
        <w:t xml:space="preserve">Additional work beyond the original build scope</w:t>
      </w:r>
    </w:p>
    <w:p>
      <w:pPr>
        <w:pStyle w:val="ListParagraph"/>
        <w:numPr>
          <w:ilvl w:val="0"/>
          <w:numId w:val="2"/>
        </w:numPr>
        <w:spacing w:after="90"/>
      </w:pPr>
      <w:r>
        <w:t xml:space="preserve">In-system management screens for providers, certification rules, teachers, and applications, replacing day-to-day use of the Django admin by non-technical staff.</w:t>
      </w:r>
    </w:p>
    <w:p>
      <w:pPr>
        <w:pStyle w:val="ListParagraph"/>
        <w:numPr>
          <w:ilvl w:val="0"/>
          <w:numId w:val="2"/>
        </w:numPr>
        <w:spacing w:after="90"/>
      </w:pPr>
      <w:r>
        <w:t xml:space="preserve">Missing-value highlighting written back into the returned Excel file, so uploaders can see exactly which cells failed validation.</w:t>
      </w:r>
    </w:p>
    <w:p>
      <w:pPr>
        <w:pStyle w:val="ListParagraph"/>
        <w:numPr>
          <w:ilvl w:val="0"/>
          <w:numId w:val="2"/>
        </w:numPr>
        <w:spacing w:after="90"/>
      </w:pPr>
      <w:r>
        <w:t xml:space="preserve">Interactive Malaysia state map on the recognition dashboard.</w:t>
      </w:r>
    </w:p>
    <w:p>
      <w:pPr>
        <w:pStyle w:val="ListParagraph"/>
        <w:numPr>
          <w:ilvl w:val="0"/>
          <w:numId w:val="2"/>
        </w:numPr>
        <w:spacing w:after="90"/>
      </w:pPr>
      <w:r>
        <w:t xml:space="preserve">Automatic rollback in release.sh — a failed smoke test restores the previous release rather than leaving a broken deployment live.</w:t>
      </w:r>
    </w:p>
    <w:p>
      <w:pPr>
        <w:pStyle w:val="ListParagraph"/>
        <w:numPr>
          <w:ilvl w:val="0"/>
          <w:numId w:val="2"/>
        </w:numPr>
        <w:spacing w:after="90"/>
      </w:pPr>
      <w:r>
        <w:t xml:space="preserve">The entire monthly activity-reporting cycle (evidence capture, signed reminder links, activity dashboard), which extends the system past one-off recognition into ongoing programme monitoring.</w:t>
      </w:r>
    </w:p>
    <w:p>
      <w:pPr>
        <w:pStyle w:val="Heading2"/>
        <w:spacing w:after="140" w:before="280"/>
      </w:pPr>
      <w:r>
        <w:rPr>
          <w:b/>
          <w:bCs/>
          <w:color w:val="4C1D95"/>
        </w:rPr>
        <w:t xml:space="preserve">Current 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Pr>
          <w:p>
            <w:pPr>
              <w:spacing w:after="40" w:before="40"/>
            </w:pPr>
            <w:r>
              <w:rPr>
                <w:b/>
                <w:bCs/>
              </w:rPr>
              <w:t xml:space="preserve">Item</w:t>
            </w:r>
          </w:p>
        </w:tc>
        <w:tc>
          <w:tcPr>
            <w:tcW w:type="dxa" w:w="3600"/>
          </w:tcPr>
          <w:p>
            <w:pPr>
              <w:spacing w:after="40" w:before="40"/>
            </w:pPr>
            <w:r>
              <w:rPr>
                <w:b/>
                <w:bCs/>
              </w:rPr>
              <w:t xml:space="preserve">Status</w:t>
            </w:r>
          </w:p>
        </w:tc>
      </w:tr>
      <w:tr>
        <w:trPr>
          <w:tblHeader w:val="false"/>
        </w:trPr>
        <w:tc>
          <w:tcPr>
            <w:tcW w:type="dxa" w:w="5760"/>
          </w:tcPr>
          <w:p>
            <w:pPr>
              <w:spacing w:after="40" w:before="40"/>
            </w:pPr>
            <w:r>
              <w:rPr>
                <w:b w:val="false"/>
                <w:bCs w:val="false"/>
              </w:rPr>
              <w:t xml:space="preserve">Certification upload, validation &amp; normalisation</w:t>
            </w:r>
          </w:p>
        </w:tc>
        <w:tc>
          <w:tcPr>
            <w:tcW w:type="dxa" w:w="3600"/>
          </w:tcPr>
          <w:p>
            <w:pPr>
              <w:spacing w:after="40" w:before="40"/>
            </w:pPr>
            <w:r>
              <w:rPr>
                <w:b w:val="false"/>
                <w:bCs w:val="false"/>
              </w:rPr>
              <w:t xml:space="preserve">✅ Complete — 3 providers</w:t>
            </w:r>
          </w:p>
        </w:tc>
      </w:tr>
      <w:tr>
        <w:trPr>
          <w:tblHeader w:val="false"/>
        </w:trPr>
        <w:tc>
          <w:tcPr>
            <w:tcW w:type="dxa" w:w="5760"/>
          </w:tcPr>
          <w:p>
            <w:pPr>
              <w:spacing w:after="40" w:before="40"/>
            </w:pPr>
            <w:r>
              <w:rPr>
                <w:b w:val="false"/>
                <w:bCs w:val="false"/>
              </w:rPr>
              <w:t xml:space="preserve">Database-driven eligibility rules</w:t>
            </w:r>
          </w:p>
        </w:tc>
        <w:tc>
          <w:tcPr>
            <w:tcW w:type="dxa" w:w="3600"/>
          </w:tcPr>
          <w:p>
            <w:pPr>
              <w:spacing w:after="40" w:before="40"/>
            </w:pPr>
            <w:r>
              <w:rPr>
                <w:b w:val="false"/>
                <w:bCs w:val="false"/>
              </w:rPr>
              <w:t xml:space="preserve">✅ Complete — 9 rules loaded</w:t>
            </w:r>
          </w:p>
        </w:tc>
      </w:tr>
      <w:tr>
        <w:trPr>
          <w:tblHeader w:val="false"/>
        </w:trPr>
        <w:tc>
          <w:tcPr>
            <w:tcW w:type="dxa" w:w="5760"/>
          </w:tcPr>
          <w:p>
            <w:pPr>
              <w:spacing w:after="40" w:before="40"/>
            </w:pPr>
            <w:r>
              <w:rPr>
                <w:b w:val="false"/>
                <w:bCs w:val="false"/>
              </w:rPr>
              <w:t xml:space="preserve">Deduplication &amp; eligible-candidate roster</w:t>
            </w:r>
          </w:p>
        </w:tc>
        <w:tc>
          <w:tcPr>
            <w:tcW w:type="dxa" w:w="3600"/>
          </w:tcPr>
          <w:p>
            <w:pPr>
              <w:spacing w:after="40" w:before="40"/>
            </w:pPr>
            <w:r>
              <w:rPr>
                <w:b w:val="false"/>
                <w:bCs w:val="false"/>
              </w:rPr>
              <w:t xml:space="preserve">✅ Complete — 22 teachers processed, 11 eligible</w:t>
            </w:r>
          </w:p>
        </w:tc>
      </w:tr>
      <w:tr>
        <w:trPr>
          <w:tblHeader w:val="false"/>
        </w:trPr>
        <w:tc>
          <w:tcPr>
            <w:tcW w:type="dxa" w:w="5760"/>
          </w:tcPr>
          <w:p>
            <w:pPr>
              <w:spacing w:after="40" w:before="40"/>
            </w:pPr>
            <w:r>
              <w:rPr>
                <w:b w:val="false"/>
                <w:bCs w:val="false"/>
              </w:rPr>
              <w:t xml:space="preserve">Invitation emails &amp; secure application form</w:t>
            </w:r>
          </w:p>
        </w:tc>
        <w:tc>
          <w:tcPr>
            <w:tcW w:type="dxa" w:w="3600"/>
          </w:tcPr>
          <w:p>
            <w:pPr>
              <w:spacing w:after="40" w:before="40"/>
            </w:pPr>
            <w:r>
              <w:rPr>
                <w:b w:val="false"/>
                <w:bCs w:val="false"/>
              </w:rPr>
              <w:t xml:space="preserve">✅ Complete</w:t>
            </w:r>
          </w:p>
        </w:tc>
      </w:tr>
      <w:tr>
        <w:trPr>
          <w:tblHeader w:val="false"/>
        </w:trPr>
        <w:tc>
          <w:tcPr>
            <w:tcW w:type="dxa" w:w="5760"/>
          </w:tcPr>
          <w:p>
            <w:pPr>
              <w:spacing w:after="40" w:before="40"/>
            </w:pPr>
            <w:r>
              <w:rPr>
                <w:b w:val="false"/>
                <w:bCs w:val="false"/>
              </w:rPr>
              <w:t xml:space="preserve">Scoring, ranking &amp; quota flagging</w:t>
            </w:r>
          </w:p>
        </w:tc>
        <w:tc>
          <w:tcPr>
            <w:tcW w:type="dxa" w:w="3600"/>
          </w:tcPr>
          <w:p>
            <w:pPr>
              <w:spacing w:after="40" w:before="40"/>
            </w:pPr>
            <w:r>
              <w:rPr>
                <w:b w:val="false"/>
                <w:bCs w:val="false"/>
              </w:rPr>
              <w:t xml:space="preserve">✅ Complete</w:t>
            </w:r>
          </w:p>
        </w:tc>
      </w:tr>
      <w:tr>
        <w:trPr>
          <w:tblHeader w:val="false"/>
        </w:trPr>
        <w:tc>
          <w:tcPr>
            <w:tcW w:type="dxa" w:w="5760"/>
          </w:tcPr>
          <w:p>
            <w:pPr>
              <w:spacing w:after="40" w:before="40"/>
            </w:pPr>
            <w:r>
              <w:rPr>
                <w:b w:val="false"/>
                <w:bCs w:val="false"/>
              </w:rPr>
              <w:t xml:space="preserve">Two-tier approval workflow (State → MoE)</w:t>
            </w:r>
          </w:p>
        </w:tc>
        <w:tc>
          <w:tcPr>
            <w:tcW w:type="dxa" w:w="3600"/>
          </w:tcPr>
          <w:p>
            <w:pPr>
              <w:spacing w:after="40" w:before="40"/>
            </w:pPr>
            <w:r>
              <w:rPr>
                <w:b w:val="false"/>
                <w:bCs w:val="false"/>
              </w:rPr>
              <w:t xml:space="preserve">✅ Complete — 17 officer accounts</w:t>
            </w:r>
          </w:p>
        </w:tc>
      </w:tr>
      <w:tr>
        <w:trPr>
          <w:tblHeader w:val="false"/>
        </w:trPr>
        <w:tc>
          <w:tcPr>
            <w:tcW w:type="dxa" w:w="5760"/>
          </w:tcPr>
          <w:p>
            <w:pPr>
              <w:spacing w:after="40" w:before="40"/>
            </w:pPr>
            <w:r>
              <w:rPr>
                <w:b w:val="false"/>
                <w:bCs w:val="false"/>
              </w:rPr>
              <w:t xml:space="preserve">Autonomous pipeline agent + activity log</w:t>
            </w:r>
          </w:p>
        </w:tc>
        <w:tc>
          <w:tcPr>
            <w:tcW w:type="dxa" w:w="3600"/>
          </w:tcPr>
          <w:p>
            <w:pPr>
              <w:spacing w:after="40" w:before="40"/>
            </w:pPr>
            <w:r>
              <w:rPr>
                <w:b w:val="false"/>
                <w:bCs w:val="false"/>
              </w:rPr>
              <w:t xml:space="preserve">✅ Built — 35 runs logged (23 success / 12 error)</w:t>
            </w:r>
          </w:p>
        </w:tc>
      </w:tr>
      <w:tr>
        <w:trPr>
          <w:tblHeader w:val="false"/>
        </w:trPr>
        <w:tc>
          <w:tcPr>
            <w:tcW w:type="dxa" w:w="5760"/>
          </w:tcPr>
          <w:p>
            <w:pPr>
              <w:spacing w:after="40" w:before="40"/>
            </w:pPr>
            <w:r>
              <w:rPr>
                <w:b w:val="false"/>
                <w:bCs w:val="false"/>
              </w:rPr>
              <w:t xml:space="preserve">Recognition dashboard (filters, charts, map)</w:t>
            </w:r>
          </w:p>
        </w:tc>
        <w:tc>
          <w:tcPr>
            <w:tcW w:type="dxa" w:w="3600"/>
          </w:tcPr>
          <w:p>
            <w:pPr>
              <w:spacing w:after="40" w:before="40"/>
            </w:pPr>
            <w:r>
              <w:rPr>
                <w:b w:val="false"/>
                <w:bCs w:val="false"/>
              </w:rPr>
              <w:t xml:space="preserve">✅ Complete</w:t>
            </w:r>
          </w:p>
        </w:tc>
      </w:tr>
      <w:tr>
        <w:trPr>
          <w:tblHeader w:val="false"/>
        </w:trPr>
        <w:tc>
          <w:tcPr>
            <w:tcW w:type="dxa" w:w="5760"/>
          </w:tcPr>
          <w:p>
            <w:pPr>
              <w:spacing w:after="40" w:before="40"/>
            </w:pPr>
            <w:r>
              <w:rPr>
                <w:b w:val="false"/>
                <w:bCs w:val="false"/>
              </w:rPr>
              <w:t xml:space="preserve">Monthly activity reporting &amp; reminders</w:t>
            </w:r>
          </w:p>
        </w:tc>
        <w:tc>
          <w:tcPr>
            <w:tcW w:type="dxa" w:w="3600"/>
          </w:tcPr>
          <w:p>
            <w:pPr>
              <w:spacing w:after="40" w:before="40"/>
            </w:pPr>
            <w:r>
              <w:rPr>
                <w:b w:val="false"/>
                <w:bCs w:val="false"/>
              </w:rPr>
              <w:t xml:space="preserve">✅ Built — not yet on a server scheduler</w:t>
            </w:r>
          </w:p>
        </w:tc>
      </w:tr>
      <w:tr>
        <w:trPr>
          <w:tblHeader w:val="false"/>
        </w:trPr>
        <w:tc>
          <w:tcPr>
            <w:tcW w:type="dxa" w:w="5760"/>
          </w:tcPr>
          <w:p>
            <w:pPr>
              <w:spacing w:after="40" w:before="40"/>
            </w:pPr>
            <w:r>
              <w:rPr>
                <w:b w:val="false"/>
                <w:bCs w:val="false"/>
              </w:rPr>
              <w:t xml:space="preserve">Error log dashboard</w:t>
            </w:r>
          </w:p>
        </w:tc>
        <w:tc>
          <w:tcPr>
            <w:tcW w:type="dxa" w:w="3600"/>
          </w:tcPr>
          <w:p>
            <w:pPr>
              <w:spacing w:after="40" w:before="40"/>
            </w:pPr>
            <w:r>
              <w:rPr>
                <w:b w:val="false"/>
                <w:bCs w:val="false"/>
              </w:rPr>
              <w:t xml:space="preserve">✅ Complete — 82 failures captured</w:t>
            </w:r>
          </w:p>
        </w:tc>
      </w:tr>
      <w:tr>
        <w:trPr>
          <w:tblHeader w:val="false"/>
        </w:trPr>
        <w:tc>
          <w:tcPr>
            <w:tcW w:type="dxa" w:w="5760"/>
          </w:tcPr>
          <w:p>
            <w:pPr>
              <w:spacing w:after="40" w:before="40"/>
            </w:pPr>
            <w:r>
              <w:rPr>
                <w:b w:val="false"/>
                <w:bCs w:val="false"/>
              </w:rPr>
              <w:t xml:space="preserve">Docker + GCP deploy scripts with rollback</w:t>
            </w:r>
          </w:p>
        </w:tc>
        <w:tc>
          <w:tcPr>
            <w:tcW w:type="dxa" w:w="3600"/>
          </w:tcPr>
          <w:p>
            <w:pPr>
              <w:spacing w:after="40" w:before="40"/>
            </w:pPr>
            <w:r>
              <w:rPr>
                <w:b w:val="false"/>
                <w:bCs w:val="false"/>
              </w:rPr>
              <w:t xml:space="preserve">✅ Complete</w:t>
            </w:r>
          </w:p>
        </w:tc>
      </w:tr>
      <w:tr>
        <w:trPr>
          <w:tblHeader w:val="false"/>
        </w:trPr>
        <w:tc>
          <w:tcPr>
            <w:tcW w:type="dxa" w:w="5760"/>
          </w:tcPr>
          <w:p>
            <w:pPr>
              <w:spacing w:after="40" w:before="40"/>
            </w:pPr>
            <w:r>
              <w:rPr>
                <w:b w:val="false"/>
                <w:bCs w:val="false"/>
              </w:rPr>
              <w:t xml:space="preserve">Live HTTPS deployment</w:t>
            </w:r>
          </w:p>
        </w:tc>
        <w:tc>
          <w:tcPr>
            <w:tcW w:type="dxa" w:w="3600"/>
          </w:tcPr>
          <w:p>
            <w:pPr>
              <w:spacing w:after="40" w:before="40"/>
            </w:pPr>
            <w:r>
              <w:rPr>
                <w:b w:val="false"/>
                <w:bCs w:val="false"/>
              </w:rPr>
              <w:t xml:space="preserve">✅ Live since 31 July 2026 (interim sslip.io host)</w:t>
            </w:r>
          </w:p>
        </w:tc>
      </w:tr>
      <w:tr>
        <w:trPr>
          <w:tblHeader w:val="false"/>
        </w:trPr>
        <w:tc>
          <w:tcPr>
            <w:tcW w:type="dxa" w:w="5760"/>
          </w:tcPr>
          <w:p>
            <w:pPr>
              <w:spacing w:after="40" w:before="40"/>
            </w:pPr>
            <w:r>
              <w:rPr>
                <w:b w:val="false"/>
                <w:bCs w:val="false"/>
              </w:rPr>
              <w:t xml:space="preserve">Automated test suite</w:t>
            </w:r>
          </w:p>
        </w:tc>
        <w:tc>
          <w:tcPr>
            <w:tcW w:type="dxa" w:w="3600"/>
          </w:tcPr>
          <w:p>
            <w:pPr>
              <w:spacing w:after="40" w:before="40"/>
            </w:pPr>
            <w:r>
              <w:rPr>
                <w:b w:val="false"/>
                <w:bCs w:val="false"/>
              </w:rPr>
              <w:t xml:space="preserve">🔴 Not started — tests.py is still the empty scaffold</w:t>
            </w:r>
          </w:p>
        </w:tc>
      </w:tr>
      <w:tr>
        <w:trPr>
          <w:tblHeader w:val="false"/>
        </w:trPr>
        <w:tc>
          <w:tcPr>
            <w:tcW w:type="dxa" w:w="5760"/>
          </w:tcPr>
          <w:p>
            <w:pPr>
              <w:spacing w:after="40" w:before="40"/>
            </w:pPr>
            <w:r>
              <w:rPr>
                <w:b w:val="false"/>
                <w:bCs w:val="false"/>
              </w:rPr>
              <w:t xml:space="preserve">Production email configuration</w:t>
            </w:r>
          </w:p>
        </w:tc>
        <w:tc>
          <w:tcPr>
            <w:tcW w:type="dxa" w:w="3600"/>
          </w:tcPr>
          <w:p>
            <w:pPr>
              <w:spacing w:after="40" w:before="40"/>
            </w:pPr>
            <w:r>
              <w:rPr>
                <w:b w:val="false"/>
                <w:bCs w:val="false"/>
              </w:rPr>
              <w:t xml:space="preserve">🔴 Broken — malformed SMTP host in .env.production</w:t>
            </w:r>
          </w:p>
        </w:tc>
      </w:tr>
      <w:tr>
        <w:trPr>
          <w:tblHeader w:val="false"/>
        </w:trPr>
        <w:tc>
          <w:tcPr>
            <w:tcW w:type="dxa" w:w="5760"/>
          </w:tcPr>
          <w:p>
            <w:pPr>
              <w:spacing w:after="40" w:before="40"/>
            </w:pPr>
            <w:r>
              <w:rPr>
                <w:b w:val="false"/>
                <w:bCs w:val="false"/>
              </w:rPr>
              <w:t xml:space="preserve">Agent model ID</w:t>
            </w:r>
          </w:p>
        </w:tc>
        <w:tc>
          <w:tcPr>
            <w:tcW w:type="dxa" w:w="3600"/>
          </w:tcPr>
          <w:p>
            <w:pPr>
              <w:spacing w:after="40" w:before="40"/>
            </w:pPr>
            <w:r>
              <w:rPr>
                <w:b w:val="false"/>
                <w:bCs w:val="false"/>
              </w:rPr>
              <w:t xml:space="preserve">🔴 Invalid — pinned to a non-existent model</w:t>
            </w:r>
          </w:p>
        </w:tc>
      </w:tr>
      <w:tr>
        <w:trPr>
          <w:tblHeader w:val="false"/>
        </w:trPr>
        <w:tc>
          <w:tcPr>
            <w:tcW w:type="dxa" w:w="5760"/>
          </w:tcPr>
          <w:p>
            <w:pPr>
              <w:spacing w:after="40" w:before="40"/>
            </w:pPr>
            <w:r>
              <w:rPr>
                <w:b w:val="false"/>
                <w:bCs w:val="false"/>
              </w:rPr>
              <w:t xml:space="preserve">Custom moe.gov.my domain</w:t>
            </w:r>
          </w:p>
        </w:tc>
        <w:tc>
          <w:tcPr>
            <w:tcW w:type="dxa" w:w="3600"/>
          </w:tcPr>
          <w:p>
            <w:pPr>
              <w:spacing w:after="40" w:before="40"/>
            </w:pPr>
            <w:r>
              <w:rPr>
                <w:b w:val="false"/>
                <w:bCs w:val="false"/>
              </w:rPr>
              <w:t xml:space="preserve">🟡 Pending — interim host in use</w:t>
            </w:r>
          </w:p>
        </w:tc>
      </w:tr>
      <w:tr>
        <w:trPr>
          <w:tblHeader w:val="false"/>
        </w:trPr>
        <w:tc>
          <w:tcPr>
            <w:tcW w:type="dxa" w:w="5760"/>
          </w:tcPr>
          <w:p>
            <w:pPr>
              <w:spacing w:after="40" w:before="40"/>
            </w:pPr>
            <w:r>
              <w:rPr>
                <w:b w:val="false"/>
                <w:bCs w:val="false"/>
              </w:rPr>
              <w:t xml:space="preserve">User acceptance testing with real officers</w:t>
            </w:r>
          </w:p>
        </w:tc>
        <w:tc>
          <w:tcPr>
            <w:tcW w:type="dxa" w:w="3600"/>
          </w:tcPr>
          <w:p>
            <w:pPr>
              <w:spacing w:after="40" w:before="40"/>
            </w:pPr>
            <w:r>
              <w:rPr>
                <w:b w:val="false"/>
                <w:bCs w:val="false"/>
              </w:rPr>
              <w:t xml:space="preserve">🟡 Not yet run</w:t>
            </w:r>
          </w:p>
        </w:tc>
      </w:tr>
    </w:tbl>
    <w:p>
      <w:pPr>
        <w:spacing w:after="140"/>
      </w:pPr>
    </w:p>
    <w:p>
      <w:pPr>
        <w:pStyle w:val="Heading1"/>
        <w:spacing w:after="140" w:before="280"/>
      </w:pPr>
      <w:r>
        <w:rPr>
          <w:b/>
          <w:bCs/>
          <w:color w:val="1A2B4C"/>
        </w:rPr>
        <w:t xml:space="preserve">3. Forward Plan / Next Steps</w:t>
      </w:r>
    </w:p>
    <w:p>
      <w:pPr>
        <w:spacing w:after="140"/>
      </w:pPr>
      <w:r>
        <w:t xml:space="preserve">Three defects should be cleared before anything else, because each one silently breaks a feature that currently reports as built:</w:t>
      </w:r>
    </w:p>
    <w:p>
      <w:pPr>
        <w:pStyle w:val="ListParagraph"/>
        <w:numPr>
          <w:ilvl w:val="0"/>
          <w:numId w:val="3"/>
        </w:numPr>
        <w:spacing w:after="90"/>
      </w:pPr>
      <w:r>
        <w:t xml:space="preserve">Correct the model ID in ai_agent.py. MODEL is pinned to “claude-opus-4-8”, which is not a valid model identifier, so every agent run fails at the API call. This is the most likely explanation for the 12 error runs in the activity log, and it means the autonomous pipeline is effectively offline despite the UI being complete.</w:t>
      </w:r>
    </w:p>
    <w:p>
      <w:pPr>
        <w:pStyle w:val="ListParagraph"/>
        <w:numPr>
          <w:ilvl w:val="0"/>
          <w:numId w:val="3"/>
        </w:numPr>
        <w:spacing w:after="90"/>
      </w:pPr>
      <w:r>
        <w:t xml:space="preserve">Fix GPGD_EMAIL_HOST in .env.production. It is currently set to an email address fragment rather than an SMTP hostname, so production email delivery cannot succeed — consistent with the 60 SMTP timeouts already in the error log. Invitations, acknowledgements, recognition letters, and monthly reminders all depend on this.</w:t>
      </w:r>
    </w:p>
    <w:p>
      <w:pPr>
        <w:pStyle w:val="ListParagraph"/>
        <w:numPr>
          <w:ilvl w:val="0"/>
          <w:numId w:val="3"/>
        </w:numPr>
        <w:spacing w:after="90"/>
      </w:pPr>
      <w:r>
        <w:t xml:space="preserve">Rotate the Anthropic API key and the Gmail app password. Both are still stored in plaintext in .env and .env.production, flagged early in deployment and never actioned. The files are gitignored, but the credentials have been sitting in a working directory for weeks and should be rotated and moved into GCP Secret Manager.</w:t>
      </w:r>
    </w:p>
    <w:p>
      <w:pPr>
        <w:spacing w:after="140"/>
      </w:pPr>
      <w:r>
        <w:t xml:space="preserve">Beyond those fixes:</w:t>
      </w:r>
    </w:p>
    <w:p>
      <w:pPr>
        <w:pStyle w:val="ListParagraph"/>
        <w:numPr>
          <w:ilvl w:val="0"/>
          <w:numId w:val="2"/>
        </w:numPr>
        <w:spacing w:after="90"/>
      </w:pPr>
      <w:r>
        <w:t xml:space="preserve">Build the automated test suite. agents/tests.py is still the three-line Django scaffold, so none of the programme logic is regression-protected. Priority coverage: eligibility keyword matching, deduplication and multi-certification merging, the ranking weights and district quota logic, application token expiry and single-use enforcement, and role gating on the state and MoE review screens.</w:t>
      </w:r>
    </w:p>
    <w:p>
      <w:pPr>
        <w:pStyle w:val="ListParagraph"/>
        <w:numPr>
          <w:ilvl w:val="0"/>
          <w:numId w:val="2"/>
        </w:numPr>
        <w:spacing w:after="90"/>
      </w:pPr>
      <w:r>
        <w:t xml:space="preserve">Schedule the monthly reminder job on the server. The command is written and idempotent, but it is currently only documented as a Windows Task Scheduler line — it needs a cron entry or Cloud Scheduler trigger on the deployed VM, or no recognised GPGD will actually be reminded.</w:t>
      </w:r>
    </w:p>
    <w:p>
      <w:pPr>
        <w:pStyle w:val="ListParagraph"/>
        <w:numPr>
          <w:ilvl w:val="0"/>
          <w:numId w:val="2"/>
        </w:numPr>
        <w:spacing w:after="90"/>
      </w:pPr>
      <w:r>
        <w:t xml:space="preserve">Migrate from SQLite to PostgreSQL (Cloud SQL) before real multi-officer use. Sixteen State Officers reviewing concurrently will hit SQLite’s single-writer lock; the database path is already environment-driven, so the change is contained.</w:t>
      </w:r>
    </w:p>
    <w:p>
      <w:pPr>
        <w:pStyle w:val="ListParagraph"/>
        <w:numPr>
          <w:ilvl w:val="0"/>
          <w:numId w:val="2"/>
        </w:numPr>
        <w:spacing w:after="90"/>
      </w:pPr>
      <w:r>
        <w:t xml:space="preserve">Move media and uploads to Cloud Storage. Activity evidence photos currently live on a container volume, which ties them to one VM and leaves them outside any backup.</w:t>
      </w:r>
    </w:p>
    <w:p>
      <w:pPr>
        <w:pStyle w:val="ListParagraph"/>
        <w:numPr>
          <w:ilvl w:val="0"/>
          <w:numId w:val="2"/>
        </w:numPr>
        <w:spacing w:after="90"/>
      </w:pPr>
      <w:r>
        <w:t xml:space="preserve">Establish a backup schedule. There is no database or media backup routine at present — this needs to exist before the system holds real applicant records.</w:t>
      </w:r>
    </w:p>
    <w:p>
      <w:pPr>
        <w:pStyle w:val="ListParagraph"/>
        <w:numPr>
          <w:ilvl w:val="0"/>
          <w:numId w:val="2"/>
        </w:numPr>
        <w:spacing w:after="90"/>
      </w:pPr>
      <w:r>
        <w:t xml:space="preserve">Finish the custom domain. Point a real MOE DNS record at the reserved static IP, add it to the Caddyfile and DJANGO_ALLOWED_HOSTS, and redeploy; the sslip.io host can remain as a fallback.</w:t>
      </w:r>
    </w:p>
    <w:p>
      <w:pPr>
        <w:pStyle w:val="ListParagraph"/>
        <w:numPr>
          <w:ilvl w:val="0"/>
          <w:numId w:val="2"/>
        </w:numPr>
        <w:spacing w:after="90"/>
      </w:pPr>
      <w:r>
        <w:t xml:space="preserve">Add rate limiting to the public /apply/ and /report/ endpoints. Both are internet-facing and token-gated rather than authenticated.</w:t>
      </w:r>
    </w:p>
    <w:p>
      <w:pPr>
        <w:pStyle w:val="ListParagraph"/>
        <w:numPr>
          <w:ilvl w:val="0"/>
          <w:numId w:val="2"/>
        </w:numPr>
        <w:spacing w:after="90"/>
      </w:pPr>
      <w:r>
        <w:t xml:space="preserve">Re-exercise the agent on realistic data. The last recorded agent run was 22 July 2026 against sample data; once the model ID is corrected it should be re-run against a full multi-provider dataset and its tool choices reviewed.</w:t>
      </w:r>
    </w:p>
    <w:p>
      <w:pPr>
        <w:pStyle w:val="ListParagraph"/>
        <w:numPr>
          <w:ilvl w:val="0"/>
          <w:numId w:val="2"/>
        </w:numPr>
        <w:spacing w:after="90"/>
      </w:pPr>
      <w:r>
        <w:t xml:space="preserve">Run user acceptance testing. A pilot with real State Officers across at least two states, plus one MoE Officer, is needed to validate that the ranking weights and district quota minimums match how the programme actually selects candidates — these are currently reasonable assumptions, not confirmed policy.</w:t>
      </w:r>
    </w:p>
    <w:p>
      <w:pPr>
        <w:spacing w:before="280"/>
      </w:pPr>
      <w:r>
        <w:rPr>
          <w:i/>
          <w:iCs/>
          <w:color w:val="595959"/>
          <w:sz w:val="20"/>
          <w:szCs w:val="20"/>
        </w:rPr>
        <w:t xml:space="preserve">Prepared as a project status summary based on the current codebase, migration history, deployment logs, and application database.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2026-08-20T13:24:11.384Z</dcterms:created>
  <dcterms:modified xsi:type="dcterms:W3CDTF">2026-08-20T13:24:11.386Z</dcterms:modified>
</cp:coreProperties>
</file>

<file path=docProps/custom.xml><?xml version="1.0" encoding="utf-8"?>
<Properties xmlns="http://schemas.openxmlformats.org/officeDocument/2006/custom-properties" xmlns:vt="http://schemas.openxmlformats.org/officeDocument/2006/docPropsVTypes"/>
</file>