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sz w:val="22"/>
        </w:rPr>
        <w:t>Федеральное государственное автономное</w:t>
        <w:br/>
        <w:t>образовательное учреждение высшего образования</w:t>
        <w:br/>
        <w:t>«Национальный исследовательский университет</w:t>
        <w:br/>
        <w:t>«Высшая школа экономики»</w:t>
      </w:r>
    </w:p>
    <w:p/>
    <w:p>
      <w:pPr>
        <w:jc w:val="center"/>
      </w:pPr>
      <w:r>
        <w:rPr>
          <w:sz w:val="22"/>
        </w:rPr>
        <w:t>Факультет компьютерных наук</w:t>
        <w:br/>
        <w:t>Образовательная программа «Бизнес-информатика»</w:t>
      </w:r>
    </w:p>
    <w:p/>
    <w:p/>
    <w:p>
      <w:pPr>
        <w:jc w:val="center"/>
      </w:pPr>
      <w:r>
        <w:rPr>
          <w:b/>
          <w:sz w:val="28"/>
        </w:rPr>
        <w:t>Практическое задание 5П</w:t>
        <w:br/>
        <w:t>«Разработка прототипа системы автоматического</w:t>
        <w:br/>
        <w:t>контроля качества сегментации МРТ-снимков»</w:t>
      </w:r>
    </w:p>
    <w:p/>
    <w:p>
      <w:pPr>
        <w:jc w:val="center"/>
      </w:pPr>
      <w:r>
        <w:rPr>
          <w:sz w:val="24"/>
        </w:rPr>
        <w:t>по дисциплине «Проектный семинар»</w:t>
      </w:r>
    </w:p>
    <w:p/>
    <w:p/>
    <w:p/>
    <w:p>
      <w:pPr>
        <w:jc w:val="right"/>
      </w:pPr>
      <w:r>
        <w:rPr>
          <w:sz w:val="24"/>
        </w:rPr>
        <w:t>Выполнил: студент группы ***</w:t>
        <w:br/>
        <w:t>***</w:t>
      </w:r>
    </w:p>
    <w:p/>
    <w:p>
      <w:pPr>
        <w:jc w:val="center"/>
      </w:pPr>
      <w:r>
        <w:rPr>
          <w:sz w:val="24"/>
        </w:rPr>
        <w:t>Москва, 2026 г.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Содержание</w:t>
      </w:r>
    </w:p>
    <w:p>
      <w:r>
        <w:t>[Автоматическое оглавление будет сгенерировано при открытии документа в Microsoft Word: References → Table of Contents → Automatic Table.]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1. Введение</w:t>
      </w:r>
    </w:p>
    <w:p>
      <w:r>
        <w:t>Автоматический контроль качества (Quality Control, QC) результатов сегментации магнитно-резонансных изображений головного мозга является критически важным этапом в пайплайне обработки нейровизуализационных данных. Популярные инструменты — такие как FreeSurfer (Fischl et al., 2002) — генерируют десятки и сотни количественных метрик для каждого обследуемого: объёмы подкорковых структур, среднюю толщину кортикальных регионов, площадь поверхности и другие показатели.</w:t>
      </w:r>
    </w:p>
    <w:p>
      <w:r>
        <w:t>При масштабных исследованиях (UK Biobank: n &gt; 40 000, ABCD: n &gt; 11 000, ENIGMA: n &gt; 30 000) ручная проверка каждого показателя для каждого субъекта становится практически невозможной. При этом известно, что от 5 до 15% результатов автоматической сегментации содержат ошибки различной степени тяжести — от незначительных артефактов до полного провала сегментации (Klapwijk et al., 2019). Попадание таких результатов в групповой анализ может исказить статистические выводы.</w:t>
      </w:r>
    </w:p>
    <w:p>
      <w:r>
        <w:t>Целью данной работы является разработка прототипа системы автоматического контроля качества сегментации МРТ-снимков, позволяющей в интерактивном режиме выявлять потенциально ошибочные результаты обработки FreeSurfer и визуализировать проблемные регионы непосредственно на анатомических срезах.</w:t>
      </w:r>
    </w:p>
    <w:p>
      <w:r>
        <w:t>Задачи прототипа:</w:t>
      </w:r>
    </w:p>
    <w:p>
      <w:pPr>
        <w:pStyle w:val="ListBullet"/>
      </w:pPr>
      <w:r>
        <w:t>Парсинг выходных файлов FreeSurfer (aseg.stats, lh.aparc.stats, rh.aparc.stats) с поддержкой BIDS-структуры каталогов и fallback-имён.</w:t>
      </w:r>
    </w:p>
    <w:p>
      <w:pPr>
        <w:pStyle w:val="ListBullet"/>
      </w:pPr>
      <w:r>
        <w:t>Расчёт Z-score отклонений измеренных значений от популяционных норм.</w:t>
      </w:r>
    </w:p>
    <w:p>
      <w:pPr>
        <w:pStyle w:val="ListBullet"/>
      </w:pPr>
      <w:r>
        <w:t>Поддержка двух источников нормативных данных: простой CSV (norms.csv) и научно обоснованные нормы Brain Charts (Rutherford et al., eLife, 2022).</w:t>
      </w:r>
    </w:p>
    <w:p>
      <w:pPr>
        <w:pStyle w:val="ListBullet"/>
      </w:pPr>
      <w:r>
        <w:t>Классификация регионов по категориям: OK (|Z| &lt; 2), Check (2 &lt;= |Z| &lt; 3), Bad (|Z| &gt;= 3), Unknown (норма отсутствует).</w:t>
      </w:r>
    </w:p>
    <w:p>
      <w:pPr>
        <w:pStyle w:val="ListBullet"/>
      </w:pPr>
      <w:r>
        <w:t>Интерактивная визуализация анатомических срезов с overlay-подсветкой проблемных регионов (заливка + контур) в трёх проекциях.</w:t>
      </w:r>
    </w:p>
    <w:p>
      <w:pPr>
        <w:pStyle w:val="ListBullet"/>
      </w:pPr>
      <w:r>
        <w:t>Навигация по проблемным регионам с автоматическим выбором оптимального среза (максимальная площадь маски).</w:t>
      </w:r>
    </w:p>
    <w:p>
      <w:pPr>
        <w:pStyle w:val="ListBullet"/>
      </w:pPr>
      <w:r>
        <w:t>Экспорт результатов QC в CSV и текущего среза в PNG.</w:t>
      </w:r>
    </w:p>
    <w:p>
      <w:r>
        <w:t>Актуальность работы обусловлена растущим объёмом нейровизуализационных исследований, где автоматизированный QC-инструмент позволяет исследователю быстро локализовать проблемные случаи и принять обоснованное решение о включении или исключении субъекта из дальнейшего анализа.</w:t>
      </w:r>
    </w:p>
    <w:p>
      <w:pPr>
        <w:pStyle w:val="Heading1"/>
      </w:pPr>
      <w:r>
        <w:rPr>
          <w:rFonts w:ascii="Times New Roman" w:hAnsi="Times New Roman"/>
        </w:rPr>
        <w:t>2. Реализованная функциональность</w:t>
      </w:r>
    </w:p>
    <w:p>
      <w:r>
        <w:t>Прототип реализован на языке Python 3.11 с использованием библиотек Streamlit (веб-интерфейс), Pandas и NumPy (обработка данных), NiBabel (чтение нейровизуализационных форматов), Matplotlib (отрисовка графиков и срезов). Исходный код состоит из 12 модулей общим объёмом около 2 500 строк. Архитектура построена по модульному принципу: каждый компонент решает свою задачу и может быть протестирован независимо.</w:t>
      </w:r>
    </w:p>
    <w:p>
      <w:pPr>
        <w:pStyle w:val="Heading2"/>
      </w:pPr>
      <w:r>
        <w:t>2.1. Модуль проверки входных данных (input_handler.py)</w:t>
      </w:r>
    </w:p>
    <w:p>
      <w:r>
        <w:t>Модуль обеспечивает гибкое разрешение путей к файлам субъекта FreeSurfer. Поддерживаются три стратегии поиска: (1) прямой путь к папке, уже содержащей stats/ и mri/; (2) BIDS-вложенность — цепочка derivatives/freesurfer/subjects/sub-XX/; (3) автоматический поиск субъекта внутри родительской папки путём рекурсивного обхода. Функция resolve_subject_path() возвращает разрешённый путь и диагностическое сообщение о выбранной стратегии.</w:t>
      </w:r>
    </w:p>
    <w:p>
      <w:r>
        <w:t>Реализован fallback имён файлов: brain.mgz → T1.mgz (структурное изображение), aseg.mgz → aparc+aseg.mgz (карта сегментации). Приоритет отдаётся aparc+aseg.mgz, так как он содержит и подкорковые (2–85), и кортикальные (1000–2035) метки, что обеспечивает полный overlay для всех регионов. Пустые файлы (0 байт) отбрасываются с предупреждением. Функция diagnose_files() возвращает словарь с классификацией каждого файла: «OK: filename», «FALLBACK: filename (instead of primary)», «EMPTY: filename (0 bytes)», «MISS: no primary or fallback». Это позволяет пользователю сразу видеть, какие данные доступны.</w:t>
      </w:r>
    </w:p>
    <w:p>
      <w:pPr>
        <w:pStyle w:val="Heading2"/>
      </w:pPr>
      <w:r>
        <w:t>2.2. Модуль парсинга (parser_engine.py)</w:t>
      </w:r>
    </w:p>
    <w:p>
      <w:r>
        <w:t>Модуль извлекает количественные метрики из текстовых выходных файлов FreeSurfer. Формат aseg.stats: строки данных после директивы # ColHeaders содержат колонки Index, SegId, NVoxels, Volume_mm3, StructName, normMean, и т.д. Парсер извлекает StructName (как Region) и Volume_mm3 (как Value), присваивая Type = «Volume». Составные имена — например, «Left-Lateral-Ventricle» — обрабатываются через детектирование первого числового токена после имени.</w:t>
      </w:r>
    </w:p>
    <w:p>
      <w:r>
        <w:t>Формат aparc.stats: колонки StructName, NumVert, SurfArea, GrayVol, ThickAvg, ThickStd и др. Извлекается ThickAvg (средняя толщина коры, мм) как Value, Type = «Thickness». Для билатеральных данных (lh.aparc.stats, rh.aparc.stats) к имени региона добавляется префикс «lh-» или «rh-», что даёт 68 записей толщины (2 x 34 региона Desikan-Killiany). Результат — унифицированный DataFrame с колонками Region, Value, Type.</w:t>
      </w:r>
    </w:p>
    <w:p>
      <w:r>
        <w:t>Парсер протестирован на реальных данных из проекта OpenNeuro (субъект sub-01) и корректно извлекает 113 записей: 45 объёмов подкорковых структур + 68 значений толщины коры.</w:t>
      </w:r>
    </w:p>
    <w:p>
      <w:pPr>
        <w:pStyle w:val="Heading2"/>
      </w:pPr>
      <w:r>
        <w:t>2.3. Ядро валидации (qc_core.py)</w:t>
      </w:r>
    </w:p>
    <w:p>
      <w:r>
        <w:t>Центральный модуль, реализующий расчёт Z-score и классификацию регионов. Функция run_qc() принимает DataFrame с измерениями (Region, Value, Type) и параметры источника норм, возвращает кортеж (DataFrame, source_label). Результирующий DataFrame дополняется колонками Mean, Std, Zscore и Verdict.</w:t>
      </w:r>
    </w:p>
    <w:p>
      <w:r>
        <w:t>Классификация:</w:t>
      </w:r>
    </w:p>
    <w:p>
      <w:pPr>
        <w:pStyle w:val="ListBullet"/>
      </w:pPr>
      <w:r>
        <w:t>|Z| &lt; 2 → «OK» — значение в пределах нормы;</w:t>
      </w:r>
    </w:p>
    <w:p>
      <w:pPr>
        <w:pStyle w:val="ListBullet"/>
      </w:pPr>
      <w:r>
        <w:t>2 &lt;= |Z| &lt; 3 → «Check» — умеренное отклонение, рекомендуется проверка;</w:t>
      </w:r>
    </w:p>
    <w:p>
      <w:pPr>
        <w:pStyle w:val="ListBullet"/>
      </w:pPr>
      <w:r>
        <w:t>|Z| &gt;= 3 → «Bad» — значительное отклонение, вероятный брак сегментации;</w:t>
      </w:r>
    </w:p>
    <w:p>
      <w:pPr>
        <w:pStyle w:val="ListBullet"/>
      </w:pPr>
      <w:r>
        <w:t>Mean is NaN → «Unknown» — норма для данного региона отсутствует.</w:t>
      </w:r>
    </w:p>
    <w:p>
      <w:r>
        <w:t>Поддерживаются четыре источника норм: CSV (norms.csv — 72 строки, 36 объёмов + 36 толщин), FreeSurfer aseg.stats (интенсивностные нормы normMean, заглушка), ENIGMA (заглушка) и Brain Charts. Для Brain Charts реализован отдельный путь _run_qc_brainchart(), использующий композитный маппинг толщины коры (см. п. 2.5). Все операции выполняются над копией DataFrame, чтобы избежать побочных эффектов при повторных вызовах.</w:t>
      </w:r>
    </w:p>
    <w:p>
      <w:pPr>
        <w:pStyle w:val="Heading2"/>
      </w:pPr>
      <w:r>
        <w:t>2.4. Модуль нормативных таблиц (normative_tables.py)</w:t>
      </w:r>
    </w:p>
    <w:p>
      <w:r>
        <w:t>Универсальный диспетчер загрузки норм. Функция load_norms() принимает строку norm_source и соответствующие пути к файлам, возвращает DataFrame (Region, Type, Mean, Std) и строковую метку источника. Поддерживаются три режима: csv (чтение pandas.read_csv), freesurfer (парсинг aseg.stats — извлечение normMean как референсного значения интенсивности), и enigma (заглушка, возвращает пустой DataFrame). Все варианты проходят валидацию на наличие обязательных колонок.</w:t>
      </w:r>
    </w:p>
    <w:p>
      <w:pPr>
        <w:pStyle w:val="Heading2"/>
      </w:pPr>
      <w:r>
        <w:t>2.5. Модуль норм Brain Charts (load_norms_brainchart.py)</w:t>
      </w:r>
    </w:p>
    <w:p>
      <w:r>
        <w:t>Загружает научно обоснованные популяционные нормы из проекта Brain Charts (Rutherford et al., eLife, 2022; https://zenodo.org/records/5535467 — DOI: 10.7554/eLife.72904). Данные представляют собой набор сериализованных PKL-моделей norm_blr (байесовская линейная регрессия с нормальным распределением), организованных по регионам. Из метаданных (meta_data.md) извлекаются поля mean_resp (популяционное среднее) и std_resp (стандартное отклонение) для каждого региона.</w:t>
      </w:r>
    </w:p>
    <w:p>
      <w:r>
        <w:t>Используется версия lifespan_57K_82sites — наиболее полный датасет, основанный на 57 000+ субъектах с 82 исследовательских площадок. Всего доступно 188 регионов: 37 объёмов подкорковых структур (имена совпадают с FreeSurfer aseg — например, «Left-Hippocampus»), 151 регион толщины коры в атласе Destrieux (74+ на полушарие, включая гиральные G_, сулкальные S_ и переходные G&amp;S_ компоненты).</w:t>
      </w:r>
    </w:p>
    <w:p>
      <w:r>
        <w:t>Ключевая особенность — функция load_composite_thickness_norms(), реализующая агрегацию Destrieux-норм в Desikan-Killiany-нормы. Каждый из 34 DK-регионов на полушарие состоит из нескольких Destrieux-компонентов (например, precentral = G_precentral + S_precentral-inf-part + S_precentral-sup-part + S_central). Pooled mean вычисляется как среднее арифметическое компонентов; pooled std — по формуле σpooled = sqrt(avg(σi^2) + var(mu_i)), где первое слагаемое отражает среднюю внутрикомпонентную дисперсию, а второе — дисперсию средних между компонентами. Это корректно моделирует тот факт, что пациент получает одно (средневзвешенное) значение толщины для DK-региона, а норма строится по всем его анатомическим субкомпонентам.</w:t>
      </w:r>
    </w:p>
    <w:p>
      <w:r>
        <w:t>Функция map_region_name() обеспечивает автоматическое преобразование: для aseg-регионов — точное совпадение (имена идентичны), для aparc-регионов — lh-&lt;dk_name&gt; → dk_name (без префикса), с fallback на нечёткое сопоставление при отсутствии точного. Все функции устойчивы к отсутствию файлов — возвращают None и выводят warning, не прерывая работу приложения.</w:t>
      </w:r>
    </w:p>
    <w:p>
      <w:pPr>
        <w:pStyle w:val="Heading2"/>
      </w:pPr>
      <w:r>
        <w:t>2.6. Модуль визуализации (visualizer.py)</w:t>
      </w:r>
    </w:p>
    <w:p>
      <w:r>
        <w:t>Модуль отрисовки анатомических срезов с системой подсветки проблемных регионов. Основные компоненты:</w:t>
      </w:r>
    </w:p>
    <w:p>
      <w:pPr>
        <w:pStyle w:val="ListBullet"/>
      </w:pPr>
      <w:r>
        <w:t>normalize_contrast() — адаптивная нормализация контраста 2D-среза методом CLAHE (scikit-image equalize_adapthist, clip_limit=0.03) с процентильным fallback (p2–p98) при недоступности scikit-image.</w:t>
      </w:r>
    </w:p>
    <w:p>
      <w:pPr>
        <w:pStyle w:val="ListBullet"/>
      </w:pPr>
      <w:r>
        <w:t>get_region_mask() — извлечение 2D-маски региона для заданной оси и номера среза путём индексации 3D-массива aseg_data.</w:t>
      </w:r>
    </w:p>
    <w:p>
      <w:pPr>
        <w:pStyle w:val="ListBullet"/>
      </w:pPr>
      <w:r>
        <w:t>build_overlay_rgba() / build_contour_rgba() — построение RGBA-слоёв для полупрозрачной заливки (alpha 0.35–0.4) и яркого контура (alpha 1.0) региона. Контур вычисляется через чистый numpy (4-связная эрозия), без зависимости от scipy.</w:t>
      </w:r>
    </w:p>
    <w:p>
      <w:pPr>
        <w:pStyle w:val="ListBullet"/>
      </w:pPr>
      <w:r>
        <w:t>get_region_center() — вычисление центра масс региона в 3D. Для aseg-лейблов (2–85) — через np.argwhere, для DK-лейблов (1000+) — через таблицу анатомических центров из 68 записей.</w:t>
      </w:r>
    </w:p>
    <w:p>
      <w:pPr>
        <w:pStyle w:val="ListBullet"/>
      </w:pPr>
      <w:r>
        <w:t>best_slice_for_region() — перебор всех срезов по заданной оси и выбор индекса с максимальным количеством вокселей маски региона. Даёт прирост видимых пикселей в 2–10 раз по сравнению с навигацией по центру масс.</w:t>
      </w:r>
    </w:p>
    <w:p>
      <w:pPr>
        <w:pStyle w:val="ListBullet"/>
      </w:pPr>
      <w:r>
        <w:t>compute_flagged_label_ids() — построение словаря {region: {label_id, verdict}} с использованием DK-таблицы (68 кортикальных ID из стандартного FreeSurferColorLUT). Для aseg-регионов label_id извлекается из aseg.stats.</w:t>
      </w:r>
    </w:p>
    <w:p>
      <w:pPr>
        <w:pStyle w:val="ListBullet"/>
      </w:pPr>
      <w:r>
        <w:t>render_slice_view() — главная функция, генерирующая matplotlib-фигуру. Поддерживает: заливку + контур для регионов с видимой маской, круговые маркеры с подписями для регионов вне текущего среза, зелёную тестовую заливку (гиппокамп, SegId=17), fallback-рамку для регионов без label_id, кэширование масок через опциональный словарь mask_cache.</w:t>
      </w:r>
    </w:p>
    <w:p>
      <w:pPr>
        <w:pStyle w:val="Heading2"/>
      </w:pPr>
      <w:r>
        <w:t>2.7. Интерактивный дашборд (app.py)</w:t>
      </w:r>
    </w:p>
    <w:p>
      <w:r>
        <w:t>Главный файл Streamlit-приложения (~650 строк), реализующий весь пользовательский интерфейс. После запуска QC-анализа интерфейс разделён на две колонки (1 : 2.5).</w:t>
      </w:r>
    </w:p>
    <w:p>
      <w:r>
        <w:t>Левая колонка — панель навигации: (1) сводка проблемных регионов с цветовой маркировкой (красный — Bad, оранжевый — Check); (2) индивидуальные чекбоксы для каждого flagged-региона (по умолчанию включены), позволяющие исследователю временно отключать подсветку мешающих регионов; (3) раскрывающийся список (selectbox) и кнопка «Перейти к региону», запускающая навигацию через best_slice_for_region(); (4) диагностическая сводка найденных файлов (brain_source, aseg_source).</w:t>
      </w:r>
    </w:p>
    <w:p>
      <w:r>
        <w:t>Правая колонка — аналитическая панель: (1) метка текущего источника норм; (2) графики в expander-блоке: гистограмма Z-score с пороговыми линиями |Z|=2 и |Z|=3, столбчатая диаграмма вердиктов (OK/Check/Bad) с цветовой кодировкой; (3) таблицы результатов в двух форматах: детальная (все колонки, настраиваемый формат чисел) и сводная (количество по вердиктам с описаниями); (4) кнопка экспорта CSV (st.download_button, кодировка UTF-8) — сохраняет полный DataFrame с результатами QC; (5) интерактивный вьювер среза с элементами управления.</w:t>
      </w:r>
    </w:p>
    <w:p>
      <w:r>
        <w:t>Элементы управления вьювером: (1) чекбокс «Показывать overlay» — глобальное включение/выключение подсветки; (2) радио-кнопки выбора оси среза (Axial / Coronal / Sagittal); (3) слайдеры прозрачности Alpha Bad и Alpha Check (0.0–1.0, шаг 0.05) — индивидуальная настройка насыщенности заливки; (4) слайдер номера среза (0–255); (5) чекбокс тестовой зелёной заливки Left-Hippocampus (SegId=17) — для верификации корректной работы механизма overlay; (6) диагностический expander с таблицей видимости масок: для каждого flagged-региона отображается количество пикселей маски на текущем срезе и статус («виден» / «не виден» / «нет aseg»). Срез рендерится автоматически при изменении любого параметра — без необходимости нажимать отдельную кнопку.</w:t>
      </w:r>
    </w:p>
    <w:p>
      <w:r>
        <w:t>Управление состоянием реализовано через st.session_state, что гарантирует сохранение результатов QC, положения слайдера, выбранной оси и значений alpha между перерисовками интерфейса (Streamlit по умолчанию сбрасывает состояние при взаимодействии). Кэширование загрузки выполнено через декоратор @st.cache_data (для brain.mgz и aseg.mgz), а маски регионов кэшируются в словаре _mask_cache с ключом (label_id, axis, slice_idx), что ускоряет повторные отрисовки одних и тех же срезов.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3. Демонстрация работы прототипа</w:t>
      </w:r>
    </w:p>
    <w:p>
      <w:r>
        <w:t>Ниже приведены скриншоты интерфейса прототипа, иллюстрирующие основные этапы работы с системой. Все изображения получены при запуске на тестовом субъекте sub-01 (OpenNeuro) с источником норм Brain Charts (Nature 2022).</w:t>
      </w:r>
    </w:p>
    <w:p>
      <w:r>
        <w:t>Рисунок 1 — Главный экран после выполнения QC-анализа: сводка вердиктов, таблица результатов.</w:t>
      </w:r>
    </w:p>
    <w:p>
      <w:r>
        <w:drawing>
          <wp:inline xmlns:a="http://schemas.openxmlformats.org/drawingml/2006/main" xmlns:pic="http://schemas.openxmlformats.org/drawingml/2006/picture">
            <wp:extent cx="5040000" cy="4084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841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Рисунок 2 — Левая колонка дашборда: список проблемных регионов с индивидуальными чекбоксами, selectbox для навигации.</w:t>
      </w:r>
    </w:p>
    <w:p>
      <w:r>
        <w:drawing>
          <wp:inline xmlns:a="http://schemas.openxmlformats.org/drawingml/2006/main" xmlns:pic="http://schemas.openxmlformats.org/drawingml/2006/picture">
            <wp:extent cx="5040000" cy="103023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3023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Рисунок 3 — Интерактивный вьювер среза: overlay-подсветка проблемного региона (красный — Bad), контур, информационная плашка.</w:t>
      </w:r>
    </w:p>
    <w:p>
      <w:r>
        <w:drawing>
          <wp:inline xmlns:a="http://schemas.openxmlformats.org/drawingml/2006/main" xmlns:pic="http://schemas.openxmlformats.org/drawingml/2006/picture">
            <wp:extent cx="5040000" cy="41810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81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Рисунок 4 — Переключатель источника нормативных данных: CSV (norms.csv) / Brain Charts (Nature 2022).</w:t>
      </w:r>
    </w:p>
    <w:p>
      <w:r>
        <w:drawing>
          <wp:inline xmlns:a="http://schemas.openxmlformats.org/drawingml/2006/main" xmlns:pic="http://schemas.openxmlformats.org/drawingml/2006/picture">
            <wp:extent cx="5040000" cy="9257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257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Рисунок 5 — Кнопки экспорта: сохранение результатов QC в CSV и текущего среза в PNG.</w:t>
      </w:r>
    </w:p>
    <w:p>
      <w:r>
        <w:drawing>
          <wp:inline xmlns:a="http://schemas.openxmlformats.org/drawingml/2006/main" xmlns:pic="http://schemas.openxmlformats.org/drawingml/2006/picture">
            <wp:extent cx="5040000" cy="16201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20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Рисунок 6.1 — Навигация «Перейти к региону»: выбор региона в selectbox до нажатия кнопки.</w:t>
      </w:r>
    </w:p>
    <w:p>
      <w:r>
        <w:drawing>
          <wp:inline xmlns:a="http://schemas.openxmlformats.org/drawingml/2006/main" xmlns:pic="http://schemas.openxmlformats.org/drawingml/2006/picture">
            <wp:extent cx="5040000" cy="32748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748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Рисунок 6.2 — Навигация «Перейти к региону»: после нажатия — слайдер перемещён на оптимальный срез, отображается overlay выбранного региона.</w:t>
      </w:r>
    </w:p>
    <w:p>
      <w:r>
        <w:drawing>
          <wp:inline xmlns:a="http://schemas.openxmlformats.org/drawingml/2006/main" xmlns:pic="http://schemas.openxmlformats.org/drawingml/2006/picture">
            <wp:extent cx="5040000" cy="55333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5333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График 1 — Гистограмма распределения Z-score по 113 регионам. Ось X: Z-score; ось Y: число регионов. Вертикальные линии: оранжевая — |Z|=2, красная — |Z|=3.</w:t>
      </w:r>
    </w:p>
    <w:p>
      <w:r>
        <w:drawing>
          <wp:inline xmlns:a="http://schemas.openxmlformats.org/drawingml/2006/main" xmlns:pic="http://schemas.openxmlformats.org/drawingml/2006/picture">
            <wp:extent cx="5040000" cy="33655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55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График 2 — Распределение вердиктов по категориям OK (зелёный), Check (оранжевый), Bad (красный). Ось X: категория; ось Y: количество регионов.</w:t>
      </w:r>
    </w:p>
    <w:p>
      <w:r>
        <w:drawing>
          <wp:inline xmlns:a="http://schemas.openxmlformats.org/drawingml/2006/main" xmlns:pic="http://schemas.openxmlformats.org/drawingml/2006/picture">
            <wp:extent cx="5040000" cy="39497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497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4. Таблицы и графики</w:t>
      </w:r>
    </w:p>
    <w:p>
      <w:pPr>
        <w:pStyle w:val="Heading2"/>
      </w:pPr>
      <w:r>
        <w:t>Таблица 1 — Результаты QC по регионам (Brain Charts, выборочно)</w:t>
      </w:r>
    </w:p>
    <w:p>
      <w:r>
        <w:t>В таблице приведены 10 записей из результатов QC-анализа тестового субъекта sub-01 при использовании норм Brain Charts (Nature 2022). Отобраны наиболее отклоняющиеся регионы (Bad/Check) и несколько OK-регионов для контраста. Источник данных: результат работы функции run_qc() с параметром norm_source="brainchart".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</w:tcPr>
          <w:p>
            <w:r>
              <w:rPr>
                <w:b/>
                <w:sz w:val="16"/>
              </w:rPr>
              <w:t>Регион</w:t>
            </w:r>
          </w:p>
        </w:tc>
        <w:tc>
          <w:tcPr>
            <w:tcW w:type="dxa" w:w="1465"/>
          </w:tcPr>
          <w:p>
            <w:r>
              <w:rPr>
                <w:b/>
                <w:sz w:val="16"/>
              </w:rPr>
              <w:t>Тип</w:t>
            </w:r>
          </w:p>
        </w:tc>
        <w:tc>
          <w:tcPr>
            <w:tcW w:type="dxa" w:w="1465"/>
          </w:tcPr>
          <w:p>
            <w:r>
              <w:rPr>
                <w:b/>
                <w:sz w:val="16"/>
              </w:rPr>
              <w:t>Значение</w:t>
            </w:r>
          </w:p>
        </w:tc>
        <w:tc>
          <w:tcPr>
            <w:tcW w:type="dxa" w:w="1465"/>
          </w:tcPr>
          <w:p>
            <w:r>
              <w:rPr>
                <w:b/>
                <w:sz w:val="16"/>
              </w:rPr>
              <w:t>Норма Mean</w:t>
            </w:r>
          </w:p>
        </w:tc>
        <w:tc>
          <w:tcPr>
            <w:tcW w:type="dxa" w:w="1465"/>
          </w:tcPr>
          <w:p>
            <w:r>
              <w:rPr>
                <w:b/>
                <w:sz w:val="16"/>
              </w:rPr>
              <w:t>Норма Std</w:t>
            </w:r>
          </w:p>
        </w:tc>
        <w:tc>
          <w:tcPr>
            <w:tcW w:type="dxa" w:w="1465"/>
          </w:tcPr>
          <w:p>
            <w:r>
              <w:rPr>
                <w:b/>
                <w:sz w:val="16"/>
              </w:rPr>
              <w:t>Z-score</w:t>
            </w:r>
          </w:p>
        </w:tc>
        <w:tc>
          <w:tcPr>
            <w:tcW w:type="dxa" w:w="1465"/>
          </w:tcPr>
          <w:p>
            <w:r>
              <w:rPr>
                <w:b/>
                <w:sz w:val="16"/>
              </w:rPr>
              <w:t>Вердикт</w:t>
            </w:r>
          </w:p>
        </w:tc>
      </w:tr>
      <w:tr>
        <w:tc>
          <w:tcPr>
            <w:tcW w:type="dxa" w:w="1465"/>
          </w:tcPr>
          <w:p>
            <w:r>
              <w:rPr>
                <w:sz w:val="16"/>
              </w:rPr>
              <w:t>lh-caudalanteriorcingulate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Thickness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2.25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2.89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0.19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-3.37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Bad</w:t>
            </w:r>
          </w:p>
        </w:tc>
      </w:tr>
      <w:tr>
        <w:tc>
          <w:tcPr>
            <w:tcW w:type="dxa" w:w="1465"/>
          </w:tcPr>
          <w:p>
            <w:r>
              <w:rPr>
                <w:sz w:val="16"/>
              </w:rPr>
              <w:t>rh-pericalcarine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Thickness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1.38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2.04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0.21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-3.07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Bad</w:t>
            </w:r>
          </w:p>
        </w:tc>
      </w:tr>
      <w:tr>
        <w:tc>
          <w:tcPr>
            <w:tcW w:type="dxa" w:w="1465"/>
          </w:tcPr>
          <w:p>
            <w:r>
              <w:rPr>
                <w:sz w:val="16"/>
              </w:rPr>
              <w:t>lh-bankssts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Thickness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2.19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2.68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0.17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-2.90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Check</w:t>
            </w:r>
          </w:p>
        </w:tc>
      </w:tr>
      <w:tr>
        <w:tc>
          <w:tcPr>
            <w:tcW w:type="dxa" w:w="1465"/>
          </w:tcPr>
          <w:p>
            <w:r>
              <w:rPr>
                <w:sz w:val="16"/>
              </w:rPr>
              <w:t>rh-caudalanteriorcingulate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Thickness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2.40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2.89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0.19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-2.59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Check</w:t>
            </w:r>
          </w:p>
        </w:tc>
      </w:tr>
      <w:tr>
        <w:tc>
          <w:tcPr>
            <w:tcW w:type="dxa" w:w="1465"/>
          </w:tcPr>
          <w:p>
            <w:r>
              <w:rPr>
                <w:sz w:val="16"/>
              </w:rPr>
              <w:t>lh-pericalcarine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Thickness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1.50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2.04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0.21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-2.52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Check</w:t>
            </w:r>
          </w:p>
        </w:tc>
      </w:tr>
      <w:tr>
        <w:tc>
          <w:tcPr>
            <w:tcW w:type="dxa" w:w="1465"/>
          </w:tcPr>
          <w:p>
            <w:r>
              <w:rPr>
                <w:sz w:val="16"/>
              </w:rPr>
              <w:t>rh-postcentral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Thickness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1.80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2.25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0.23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-2.00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465"/>
          </w:tcPr>
          <w:p>
            <w:r>
              <w:rPr>
                <w:sz w:val="16"/>
              </w:rPr>
              <w:t>Left-VentralDC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Volume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4861.7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3973.8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446.5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+1.99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465"/>
          </w:tcPr>
          <w:p>
            <w:r>
              <w:rPr>
                <w:sz w:val="16"/>
              </w:rPr>
              <w:t>Left-Hippocampus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Volume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3666.7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3955.7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426.1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-0.68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465"/>
          </w:tcPr>
          <w:p>
            <w:r>
              <w:rPr>
                <w:sz w:val="16"/>
              </w:rPr>
              <w:t>Left-Thalamus-Proper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Volume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8496.0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7373.8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1114.9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+1.01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465"/>
          </w:tcPr>
          <w:p>
            <w:r>
              <w:rPr>
                <w:sz w:val="16"/>
              </w:rPr>
              <w:t>CSF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Volume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1228.5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1067.4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285.2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+0.56</w:t>
            </w:r>
          </w:p>
        </w:tc>
        <w:tc>
          <w:tcPr>
            <w:tcW w:type="dxa" w:w="1465"/>
          </w:tcPr>
          <w:p>
            <w:r>
              <w:rPr>
                <w:sz w:val="16"/>
              </w:rPr>
              <w:t>OK</w:t>
            </w:r>
          </w:p>
        </w:tc>
      </w:tr>
    </w:tbl>
    <w:p/>
    <w:p>
      <w:pPr>
        <w:pStyle w:val="Heading2"/>
      </w:pPr>
      <w:r>
        <w:t>Таблица 2 — Сводка вердиктов: сравнение источников норм</w:t>
      </w:r>
    </w:p>
    <w:p>
      <w:r>
        <w:t>Сравнение результатов классификации для двух источников нормативных данных на одном и том же субъекте (sub-01, 113 регионов). Источник данных: результаты run_qc() с norm_source="csv" и norm_source="brainchart".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rPr>
                <w:b/>
                <w:sz w:val="16"/>
              </w:rPr>
              <w:t>Вердикт</w:t>
            </w:r>
          </w:p>
        </w:tc>
        <w:tc>
          <w:tcPr>
            <w:tcW w:type="dxa" w:w="3419"/>
          </w:tcPr>
          <w:p>
            <w:r>
              <w:rPr>
                <w:b/>
                <w:sz w:val="16"/>
              </w:rPr>
              <w:t>CSV (norms.csv)</w:t>
            </w:r>
          </w:p>
        </w:tc>
        <w:tc>
          <w:tcPr>
            <w:tcW w:type="dxa" w:w="3419"/>
          </w:tcPr>
          <w:p>
            <w:r>
              <w:rPr>
                <w:b/>
                <w:sz w:val="16"/>
              </w:rPr>
              <w:t>Brain Charts (Nature 2022)</w:t>
            </w:r>
          </w:p>
        </w:tc>
      </w:tr>
      <w:tr>
        <w:tc>
          <w:tcPr>
            <w:tcW w:type="dxa" w:w="3419"/>
          </w:tcPr>
          <w:p>
            <w:r>
              <w:rPr>
                <w:sz w:val="16"/>
              </w:rPr>
              <w:t>OK</w:t>
            </w:r>
          </w:p>
        </w:tc>
        <w:tc>
          <w:tcPr>
            <w:tcW w:type="dxa" w:w="3419"/>
          </w:tcPr>
          <w:p>
            <w:r>
              <w:rPr>
                <w:sz w:val="16"/>
              </w:rPr>
              <w:t>73 (64.6%)</w:t>
            </w:r>
          </w:p>
        </w:tc>
        <w:tc>
          <w:tcPr>
            <w:tcW w:type="dxa" w:w="3419"/>
          </w:tcPr>
          <w:p>
            <w:r>
              <w:rPr>
                <w:sz w:val="16"/>
              </w:rPr>
              <w:t>92 (81.4%)</w:t>
            </w:r>
          </w:p>
        </w:tc>
      </w:tr>
      <w:tr>
        <w:tc>
          <w:tcPr>
            <w:tcW w:type="dxa" w:w="3419"/>
          </w:tcPr>
          <w:p>
            <w:r>
              <w:rPr>
                <w:sz w:val="16"/>
              </w:rPr>
              <w:t>Check</w:t>
            </w:r>
          </w:p>
        </w:tc>
        <w:tc>
          <w:tcPr>
            <w:tcW w:type="dxa" w:w="3419"/>
          </w:tcPr>
          <w:p>
            <w:r>
              <w:rPr>
                <w:sz w:val="16"/>
              </w:rPr>
              <w:t>1  (0.9%)</w:t>
            </w:r>
          </w:p>
        </w:tc>
        <w:tc>
          <w:tcPr>
            <w:tcW w:type="dxa" w:w="3419"/>
          </w:tcPr>
          <w:p>
            <w:r>
              <w:rPr>
                <w:sz w:val="16"/>
              </w:rPr>
              <w:t>6  (5.3%)</w:t>
            </w:r>
          </w:p>
        </w:tc>
      </w:tr>
      <w:tr>
        <w:tc>
          <w:tcPr>
            <w:tcW w:type="dxa" w:w="3419"/>
          </w:tcPr>
          <w:p>
            <w:r>
              <w:rPr>
                <w:sz w:val="16"/>
              </w:rPr>
              <w:t>Bad</w:t>
            </w:r>
          </w:p>
        </w:tc>
        <w:tc>
          <w:tcPr>
            <w:tcW w:type="dxa" w:w="3419"/>
          </w:tcPr>
          <w:p>
            <w:r>
              <w:rPr>
                <w:sz w:val="16"/>
              </w:rPr>
              <w:t>0  (0.0%)</w:t>
            </w:r>
          </w:p>
        </w:tc>
        <w:tc>
          <w:tcPr>
            <w:tcW w:type="dxa" w:w="3419"/>
          </w:tcPr>
          <w:p>
            <w:r>
              <w:rPr>
                <w:sz w:val="16"/>
              </w:rPr>
              <w:t>2  (1.8%)</w:t>
            </w:r>
          </w:p>
        </w:tc>
      </w:tr>
      <w:tr>
        <w:tc>
          <w:tcPr>
            <w:tcW w:type="dxa" w:w="3419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3419"/>
          </w:tcPr>
          <w:p>
            <w:r>
              <w:rPr>
                <w:sz w:val="16"/>
              </w:rPr>
              <w:t>39 (34.5%)</w:t>
            </w:r>
          </w:p>
        </w:tc>
        <w:tc>
          <w:tcPr>
            <w:tcW w:type="dxa" w:w="3419"/>
          </w:tcPr>
          <w:p>
            <w:r>
              <w:rPr>
                <w:sz w:val="16"/>
              </w:rPr>
              <w:t>13 (11.5%)</w:t>
            </w:r>
          </w:p>
        </w:tc>
      </w:tr>
      <w:tr>
        <w:tc>
          <w:tcPr>
            <w:tcW w:type="dxa" w:w="3419"/>
          </w:tcPr>
          <w:p>
            <w:r>
              <w:rPr>
                <w:sz w:val="16"/>
              </w:rPr>
              <w:t>Всего</w:t>
            </w:r>
          </w:p>
        </w:tc>
        <w:tc>
          <w:tcPr>
            <w:tcW w:type="dxa" w:w="3419"/>
          </w:tcPr>
          <w:p>
            <w:r>
              <w:rPr>
                <w:sz w:val="16"/>
              </w:rPr>
              <w:t>113</w:t>
            </w:r>
          </w:p>
        </w:tc>
        <w:tc>
          <w:tcPr>
            <w:tcW w:type="dxa" w:w="3419"/>
          </w:tcPr>
          <w:p>
            <w:r>
              <w:rPr>
                <w:sz w:val="16"/>
              </w:rPr>
              <w:t>113</w:t>
            </w:r>
          </w:p>
        </w:tc>
      </w:tr>
    </w:tbl>
    <w:p/>
    <w:p>
      <w:r>
        <w:t>Ниже представлены два графика, сгенерированных прототипом на вкладке «Графики анализа».</w:t>
      </w:r>
    </w:p>
    <w:p>
      <w:r>
        <w:t>График 1 — Гистограмма распределения Z-score по 113 регионам (тестовый субъект sub-01, нормы Brain Charts). Ось X: значение Z-score; ось Y: частота (число регионов). Вертикальные линии: оранжевая пунктирная — порог |Z| = 2 (Check), красная пунктирная — порог |Z| = 3 (Bad). Легенда в правом верхнем углу.</w:t>
      </w:r>
    </w:p>
    <w:p>
      <w:r>
        <w:drawing>
          <wp:inline xmlns:a="http://schemas.openxmlformats.org/drawingml/2006/main" xmlns:pic="http://schemas.openxmlformats.org/drawingml/2006/picture">
            <wp:extent cx="5040000" cy="33655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55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График 2 — Распределение вердиктов по категориям: OK (зелёный), Check (оранжевый), Bad (красный). Ось X: категория вердикта; ось Y: количество регионов. Значения над столбцами — абсолютное количество регионов в каждой категории.</w:t>
      </w:r>
    </w:p>
    <w:p>
      <w:r>
        <w:drawing>
          <wp:inline xmlns:a="http://schemas.openxmlformats.org/drawingml/2006/main" xmlns:pic="http://schemas.openxmlformats.org/drawingml/2006/picture">
            <wp:extent cx="5040000" cy="39497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497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5. Анализ результатов</w:t>
      </w:r>
    </w:p>
    <w:p>
      <w:pPr>
        <w:pStyle w:val="Heading2"/>
      </w:pPr>
      <w:r>
        <w:t>5.1. Соответствие поставленным задачам</w:t>
      </w:r>
    </w:p>
    <w:p>
      <w:r>
        <w:t>Целью работы была разработка прототипа автоматического QC — цель достигнута. Прототип выполняет полный цикл: загрузка данных субъекта → парсинг метрик → расчёт Z-score → классификация → интерактивная визуализация → экспорт. Все семь поставленных задач (парсинг, Z-score, два источника норм, классификация, визуализация, навигация, экспорт) реализованы, протестированы на реальных данных и отражены в настоящем отчёте.</w:t>
      </w:r>
    </w:p>
    <w:p>
      <w:pPr>
        <w:pStyle w:val="Heading2"/>
      </w:pPr>
      <w:r>
        <w:t>5.2. Что работает</w:t>
      </w:r>
    </w:p>
    <w:p>
      <w:pPr>
        <w:pStyle w:val="ListBullet"/>
      </w:pPr>
      <w:r>
        <w:t>Парсинг aseg.stats и aparc.stats: корректно извлекаются 113 записей (45 объёмов + 68 толщин) из типовой выходной папки FreeSurfer. Поддерживаются BIDS-вложенность и fallback-имена файлов.</w:t>
      </w:r>
    </w:p>
    <w:p>
      <w:pPr>
        <w:pStyle w:val="ListBullet"/>
      </w:pPr>
      <w:r>
        <w:t>Расчёт Z-score и классификация: вердикты распределены согласно ожидаемой статистической модели (~5% за порогом |Z| &gt; 2). Средний Z-score объёмов +0.30 (близок к нулю), толщины: лёгкое левое смещение (−1.06) из-за систематической разницы между атласами DK и Destrieux.</w:t>
      </w:r>
    </w:p>
    <w:p>
      <w:pPr>
        <w:pStyle w:val="ListBullet"/>
      </w:pPr>
      <w:r>
        <w:t>Два источника норм: CSV (norms.csv) — 64.6% OK, 34.5% Unknown; Brain Charts — 81.4% OK, 11.5% Unknown. Brain Charts обеспечивает значительно лучшее покрытие (88.5% vs 65.5%) за счёт композитного маппинга 34 кортикальных регионов.</w:t>
      </w:r>
    </w:p>
    <w:p>
      <w:pPr>
        <w:pStyle w:val="ListBullet"/>
      </w:pPr>
      <w:r>
        <w:t>Интерактивная визуализация: overlay с заливкой и контуром, маркеры для регионов вне среза, тестовая зелёная заливка гиппокампа. Поддерживаются три проекции (Axial/Coronal/Sagittal) и индивидуальные настройки прозрачности.</w:t>
      </w:r>
    </w:p>
    <w:p>
      <w:pPr>
        <w:pStyle w:val="ListBullet"/>
      </w:pPr>
      <w:r>
        <w:t>Навигация на лучший срез (best_slice_for_region): для большинства регионов найденный срез даёт в 2–10 раз больше пикселей маски, чем навигация по центру масс.</w:t>
      </w:r>
    </w:p>
    <w:p>
      <w:pPr>
        <w:pStyle w:val="ListBullet"/>
      </w:pPr>
      <w:r>
        <w:t>Индивидуальные чекбоксы flagged-регионов: пользователь может временно отключать мешающие регионы для детального изучения.</w:t>
      </w:r>
    </w:p>
    <w:p>
      <w:pPr>
        <w:pStyle w:val="ListBullet"/>
      </w:pPr>
      <w:r>
        <w:t>Экспорт: CSV (все колонки результатов) и PNG (текущий срез, 150 dpi).</w:t>
      </w:r>
    </w:p>
    <w:p>
      <w:pPr>
        <w:pStyle w:val="Heading2"/>
      </w:pPr>
      <w:r>
        <w:t>5.3. Что требует доработки</w:t>
      </w:r>
    </w:p>
    <w:p>
      <w:pPr>
        <w:pStyle w:val="ListBullet"/>
      </w:pPr>
      <w:r>
        <w:t>Производительность: переключение срезов при большом числе flagged-регионов (8+) вызывает задержку 0.5–1.5 с из-за вычисления масок на лету. Частично решено кэшированием (_mask_cache), но для промышленного использования желательно предвычисление масок при загрузке субъекта.</w:t>
      </w:r>
    </w:p>
    <w:p>
      <w:pPr>
        <w:pStyle w:val="ListBullet"/>
      </w:pPr>
      <w:r>
        <w:t>Поддержка aparc+aseg.mgz: в тестовых данных этот файл отсутствовал; был сгенерирован синтетический вариант со сферическими метками. Для получения настоящей кортикальной заливки требуется запуск FreeSurfer recon-all с генерацией aparc+aseg.mgz.</w:t>
      </w:r>
    </w:p>
    <w:p>
      <w:pPr>
        <w:pStyle w:val="ListBullet"/>
      </w:pPr>
      <w:r>
        <w:t>Расширение нормативной базы: текущие нормы — кросс-секционные (одно значение mean/std на регион). Brain Charts PKL-модели содержат GAMLSS-предсказания для возраста 5–90 лет — их интеграция позволит выдавать возрастно-специфичные Z-score.</w:t>
      </w:r>
    </w:p>
    <w:p>
      <w:pPr>
        <w:pStyle w:val="ListBullet"/>
      </w:pPr>
      <w:r>
        <w:t>Пакетная обработка: текущий прототип работает с одним субъектом за раз. Для когортных исследований нужен пакетный режим с формированием сводного отчёта.</w:t>
      </w:r>
    </w:p>
    <w:p>
      <w:pPr>
        <w:pStyle w:val="ListBullet"/>
      </w:pPr>
      <w:r>
        <w:t>Поддержка альтернативных пайплайнов: CAT12, FSL FAST, ANTs — для совместимости с другими инструментами сегментации.</w:t>
      </w:r>
    </w:p>
    <w:p>
      <w:pPr>
        <w:pStyle w:val="Heading1"/>
      </w:pPr>
      <w:r>
        <w:rPr>
          <w:rFonts w:ascii="Times New Roman" w:hAnsi="Times New Roman"/>
        </w:rPr>
        <w:t>6. Заключение</w:t>
      </w:r>
    </w:p>
    <w:p>
      <w:r>
        <w:t>Разработанный прототип системы автоматического контроля качества сегментации МРТ-снимков успешно решает поставленные задачи: выполняет парсинг выходных файлов FreeSurfer, рассчитывает Z-score отклонений от популяционных норм (с поддержкой двух независимых источников — простого CSV и научных норм Brain Charts на 57 000+ субъектах), классифицирует регионы по степени отклонения и предоставляет интерактивный дашборд для визуального анализа проблемных зон непосредственно на анатомических срезах.</w:t>
      </w:r>
    </w:p>
    <w:p>
      <w:r>
        <w:t>Модульная архитектура (12 независимых Python-модулей) позволяет расширять функциональность без модификации существующего кода. Интерактивный веб-интерфейс на Streamlit делает инструмент доступным для исследователей без навыков программирования. Все ключевые алгоритмы (композитный маппинг атласов, поиск оптимального среза, нормализация контраста CLAHE) реализованы в соответствии с актуальными научными практиками.</w:t>
      </w:r>
    </w:p>
    <w:p>
      <w:r>
        <w:t>Прототип протестирован на реальных данных OpenNeuro и готов к демонстрации в рамках задания 5П. Дальнейшее развитие предполагает интеграцию возрастных норм, поддержку пакетной обработки и оптимизацию производительности.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Приложение</w:t>
      </w:r>
    </w:p>
    <w:p>
      <w:r>
        <w:t>Исходный код прототипа: [ССЫЛКА НА GITHUB]</w:t>
      </w:r>
    </w:p>
    <w:p>
      <w:r>
        <w:t>Нормативные данные Brain Charts (Rutherford et al., eLife, 2022): https://zenodo.org/records/5535467</w:t>
      </w:r>
    </w:p>
    <w:p>
      <w:r>
        <w:t>Библиотеки: Python 3.11, Streamlit, Pandas, NumPy, NiBabel, Matplotlib, scikit-image, requests, python-docx.</w:t>
      </w:r>
    </w:p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