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4622FF7" w14:textId="1B234681" w:rsidR="002751F7" w:rsidRDefault="002751F7">
      <w:pPr>
        <w:rPr>
          <w:lang w:val="en-US"/>
        </w:rPr>
      </w:pPr>
      <w:r>
        <w:rPr>
          <w:rFonts w:ascii="Trebuchet MS" w:eastAsia="Trebuchet MS" w:hAnsi="Trebuchet MS" w:cs="Trebuchet MS"/>
          <w:b/>
          <w:bCs/>
          <w:color w:val="1E3A5F"/>
          <w:sz w:val="26"/>
          <w:szCs w:val="26"/>
        </w:rPr>
        <w:t>Bank and fintech precedents</w:t>
      </w:r>
    </w:p>
    <w:p w14:paraId="5E9F37FB" w14:textId="77777777" w:rsidR="002751F7" w:rsidRDefault="002751F7">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250"/>
        <w:gridCol w:w="2600"/>
        <w:gridCol w:w="1700"/>
        <w:gridCol w:w="2110"/>
      </w:tblGrid>
      <w:tr w:rsidR="002751F7" w14:paraId="40FD3E41" w14:textId="77777777" w:rsidTr="00C33AA4">
        <w:tblPrEx>
          <w:tblCellMar>
            <w:top w:w="0" w:type="dxa"/>
            <w:bottom w:w="0" w:type="dxa"/>
          </w:tblCellMar>
        </w:tblPrEx>
        <w:trPr>
          <w:cantSplit/>
          <w:tblHeader/>
        </w:trPr>
        <w:tc>
          <w:tcPr>
            <w:tcW w:w="1700" w:type="dxa"/>
            <w:tcBorders>
              <w:top w:val="single" w:sz="4" w:space="0" w:color="C7CDD6"/>
              <w:left w:val="single" w:sz="4" w:space="0" w:color="C7CDD6"/>
              <w:bottom w:val="single" w:sz="4" w:space="0" w:color="C7CDD6"/>
              <w:right w:val="single" w:sz="4" w:space="0" w:color="C7CDD6"/>
            </w:tcBorders>
            <w:shd w:val="clear" w:color="auto" w:fill="0F2D52"/>
            <w:tcMar>
              <w:top w:w="60" w:type="dxa"/>
              <w:left w:w="90" w:type="dxa"/>
              <w:bottom w:w="60" w:type="dxa"/>
              <w:right w:w="90" w:type="dxa"/>
            </w:tcMar>
          </w:tcPr>
          <w:p w14:paraId="72710F7F" w14:textId="77777777" w:rsidR="002751F7" w:rsidRDefault="002751F7" w:rsidP="00C33AA4">
            <w:pPr>
              <w:spacing w:after="40" w:line="252" w:lineRule="auto"/>
            </w:pPr>
            <w:r>
              <w:rPr>
                <w:rFonts w:ascii="Trebuchet MS" w:eastAsia="Trebuchet MS" w:hAnsi="Trebuchet MS" w:cs="Trebuchet MS"/>
                <w:b/>
                <w:bCs/>
                <w:color w:val="FFFFFF"/>
                <w:sz w:val="19"/>
                <w:szCs w:val="19"/>
              </w:rPr>
              <w:t>Institution</w:t>
            </w:r>
          </w:p>
        </w:tc>
        <w:tc>
          <w:tcPr>
            <w:tcW w:w="1250" w:type="dxa"/>
            <w:tcBorders>
              <w:top w:val="single" w:sz="4" w:space="0" w:color="C7CDD6"/>
              <w:left w:val="single" w:sz="4" w:space="0" w:color="C7CDD6"/>
              <w:bottom w:val="single" w:sz="4" w:space="0" w:color="C7CDD6"/>
              <w:right w:val="single" w:sz="4" w:space="0" w:color="C7CDD6"/>
            </w:tcBorders>
            <w:shd w:val="clear" w:color="auto" w:fill="0F2D52"/>
            <w:tcMar>
              <w:top w:w="60" w:type="dxa"/>
              <w:left w:w="90" w:type="dxa"/>
              <w:bottom w:w="60" w:type="dxa"/>
              <w:right w:w="90" w:type="dxa"/>
            </w:tcMar>
          </w:tcPr>
          <w:p w14:paraId="766C6EAC" w14:textId="77777777" w:rsidR="002751F7" w:rsidRDefault="002751F7" w:rsidP="00C33AA4">
            <w:pPr>
              <w:spacing w:after="40" w:line="252" w:lineRule="auto"/>
            </w:pPr>
            <w:r>
              <w:rPr>
                <w:rFonts w:ascii="Trebuchet MS" w:eastAsia="Trebuchet MS" w:hAnsi="Trebuchet MS" w:cs="Trebuchet MS"/>
                <w:b/>
                <w:bCs/>
                <w:color w:val="FFFFFF"/>
                <w:sz w:val="19"/>
                <w:szCs w:val="19"/>
              </w:rPr>
              <w:t>Segment</w:t>
            </w:r>
          </w:p>
        </w:tc>
        <w:tc>
          <w:tcPr>
            <w:tcW w:w="2600" w:type="dxa"/>
            <w:tcBorders>
              <w:top w:val="single" w:sz="4" w:space="0" w:color="C7CDD6"/>
              <w:left w:val="single" w:sz="4" w:space="0" w:color="C7CDD6"/>
              <w:bottom w:val="single" w:sz="4" w:space="0" w:color="C7CDD6"/>
              <w:right w:val="single" w:sz="4" w:space="0" w:color="C7CDD6"/>
            </w:tcBorders>
            <w:shd w:val="clear" w:color="auto" w:fill="0F2D52"/>
            <w:tcMar>
              <w:top w:w="60" w:type="dxa"/>
              <w:left w:w="90" w:type="dxa"/>
              <w:bottom w:w="60" w:type="dxa"/>
              <w:right w:w="90" w:type="dxa"/>
            </w:tcMar>
          </w:tcPr>
          <w:p w14:paraId="38DEC022" w14:textId="77777777" w:rsidR="002751F7" w:rsidRDefault="002751F7" w:rsidP="00C33AA4">
            <w:pPr>
              <w:spacing w:after="40" w:line="252" w:lineRule="auto"/>
            </w:pPr>
            <w:r>
              <w:rPr>
                <w:rFonts w:ascii="Trebuchet MS" w:eastAsia="Trebuchet MS" w:hAnsi="Trebuchet MS" w:cs="Trebuchet MS"/>
                <w:b/>
                <w:bCs/>
                <w:color w:val="FFFFFF"/>
                <w:sz w:val="19"/>
                <w:szCs w:val="19"/>
              </w:rPr>
              <w:t>Launch pattern</w:t>
            </w:r>
          </w:p>
        </w:tc>
        <w:tc>
          <w:tcPr>
            <w:tcW w:w="1700" w:type="dxa"/>
            <w:tcBorders>
              <w:top w:val="single" w:sz="4" w:space="0" w:color="C7CDD6"/>
              <w:left w:val="single" w:sz="4" w:space="0" w:color="C7CDD6"/>
              <w:bottom w:val="single" w:sz="4" w:space="0" w:color="C7CDD6"/>
              <w:right w:val="single" w:sz="4" w:space="0" w:color="C7CDD6"/>
            </w:tcBorders>
            <w:shd w:val="clear" w:color="auto" w:fill="0F2D52"/>
            <w:tcMar>
              <w:top w:w="60" w:type="dxa"/>
              <w:left w:w="90" w:type="dxa"/>
              <w:bottom w:w="60" w:type="dxa"/>
              <w:right w:w="90" w:type="dxa"/>
            </w:tcMar>
          </w:tcPr>
          <w:p w14:paraId="547DB7BC" w14:textId="77777777" w:rsidR="002751F7" w:rsidRDefault="002751F7" w:rsidP="00C33AA4">
            <w:pPr>
              <w:spacing w:after="40" w:line="252" w:lineRule="auto"/>
            </w:pPr>
            <w:r>
              <w:rPr>
                <w:rFonts w:ascii="Trebuchet MS" w:eastAsia="Trebuchet MS" w:hAnsi="Trebuchet MS" w:cs="Trebuchet MS"/>
                <w:b/>
                <w:bCs/>
                <w:color w:val="FFFFFF"/>
                <w:sz w:val="19"/>
                <w:szCs w:val="19"/>
              </w:rPr>
              <w:t>Handoff</w:t>
            </w:r>
          </w:p>
        </w:tc>
        <w:tc>
          <w:tcPr>
            <w:tcW w:w="2110" w:type="dxa"/>
            <w:tcBorders>
              <w:top w:val="single" w:sz="4" w:space="0" w:color="C7CDD6"/>
              <w:left w:val="single" w:sz="4" w:space="0" w:color="C7CDD6"/>
              <w:bottom w:val="single" w:sz="4" w:space="0" w:color="C7CDD6"/>
              <w:right w:val="single" w:sz="4" w:space="0" w:color="C7CDD6"/>
            </w:tcBorders>
            <w:shd w:val="clear" w:color="auto" w:fill="0F2D52"/>
            <w:tcMar>
              <w:top w:w="60" w:type="dxa"/>
              <w:left w:w="90" w:type="dxa"/>
              <w:bottom w:w="60" w:type="dxa"/>
              <w:right w:w="90" w:type="dxa"/>
            </w:tcMar>
          </w:tcPr>
          <w:p w14:paraId="75FE89E6" w14:textId="77777777" w:rsidR="002751F7" w:rsidRDefault="002751F7" w:rsidP="00C33AA4">
            <w:pPr>
              <w:spacing w:after="40" w:line="252" w:lineRule="auto"/>
            </w:pPr>
            <w:r>
              <w:rPr>
                <w:rFonts w:ascii="Trebuchet MS" w:eastAsia="Trebuchet MS" w:hAnsi="Trebuchet MS" w:cs="Trebuchet MS"/>
                <w:b/>
                <w:bCs/>
                <w:color w:val="FFFFFF"/>
                <w:sz w:val="19"/>
                <w:szCs w:val="19"/>
              </w:rPr>
              <w:t>Published contact-volume evidence</w:t>
            </w:r>
          </w:p>
        </w:tc>
      </w:tr>
      <w:tr w:rsidR="002751F7" w14:paraId="54BADD2F" w14:textId="77777777" w:rsidTr="00C33AA4">
        <w:tblPrEx>
          <w:tblCellMar>
            <w:top w:w="0" w:type="dxa"/>
            <w:bottom w:w="0" w:type="dxa"/>
          </w:tblCellMar>
        </w:tblPrEx>
        <w:trPr>
          <w:cantSplit/>
        </w:trPr>
        <w:tc>
          <w:tcPr>
            <w:tcW w:w="1700" w:type="dxa"/>
            <w:tcBorders>
              <w:top w:val="single" w:sz="4" w:space="0" w:color="C7CDD6"/>
              <w:left w:val="single" w:sz="4" w:space="0" w:color="C7CDD6"/>
              <w:bottom w:val="single" w:sz="4" w:space="0" w:color="C7CDD6"/>
              <w:right w:val="single" w:sz="4" w:space="0" w:color="C7CDD6"/>
            </w:tcBorders>
            <w:tcMar>
              <w:top w:w="60" w:type="dxa"/>
              <w:left w:w="90" w:type="dxa"/>
              <w:bottom w:w="60" w:type="dxa"/>
              <w:right w:w="90" w:type="dxa"/>
            </w:tcMar>
          </w:tcPr>
          <w:p w14:paraId="4E4A2DA3" w14:textId="77777777" w:rsidR="002751F7" w:rsidRDefault="002751F7" w:rsidP="00C33AA4">
            <w:pPr>
              <w:spacing w:after="40" w:line="252" w:lineRule="auto"/>
            </w:pPr>
            <w:r>
              <w:rPr>
                <w:sz w:val="19"/>
                <w:szCs w:val="19"/>
              </w:rPr>
              <w:t>BofA CashPro Chat (Erica added Sept 2023)</w:t>
            </w:r>
          </w:p>
        </w:tc>
        <w:tc>
          <w:tcPr>
            <w:tcW w:w="1250" w:type="dxa"/>
            <w:tcBorders>
              <w:top w:val="single" w:sz="4" w:space="0" w:color="C7CDD6"/>
              <w:left w:val="single" w:sz="4" w:space="0" w:color="C7CDD6"/>
              <w:bottom w:val="single" w:sz="4" w:space="0" w:color="C7CDD6"/>
              <w:right w:val="single" w:sz="4" w:space="0" w:color="C7CDD6"/>
            </w:tcBorders>
            <w:tcMar>
              <w:top w:w="60" w:type="dxa"/>
              <w:left w:w="90" w:type="dxa"/>
              <w:bottom w:w="60" w:type="dxa"/>
              <w:right w:w="90" w:type="dxa"/>
            </w:tcMar>
          </w:tcPr>
          <w:p w14:paraId="0EC5A0E2" w14:textId="77777777" w:rsidR="002751F7" w:rsidRDefault="002751F7" w:rsidP="00C33AA4">
            <w:pPr>
              <w:spacing w:after="40" w:line="252" w:lineRule="auto"/>
            </w:pPr>
            <w:r>
              <w:rPr>
                <w:sz w:val="19"/>
                <w:szCs w:val="19"/>
              </w:rPr>
              <w:t>Commercial and corporate treasury</w:t>
            </w:r>
          </w:p>
        </w:tc>
        <w:tc>
          <w:tcPr>
            <w:tcW w:w="2600" w:type="dxa"/>
            <w:tcBorders>
              <w:top w:val="single" w:sz="4" w:space="0" w:color="C7CDD6"/>
              <w:left w:val="single" w:sz="4" w:space="0" w:color="C7CDD6"/>
              <w:bottom w:val="single" w:sz="4" w:space="0" w:color="C7CDD6"/>
              <w:right w:val="single" w:sz="4" w:space="0" w:color="C7CDD6"/>
            </w:tcBorders>
            <w:tcMar>
              <w:top w:w="60" w:type="dxa"/>
              <w:left w:w="90" w:type="dxa"/>
              <w:bottom w:w="60" w:type="dxa"/>
              <w:right w:w="90" w:type="dxa"/>
            </w:tcMar>
          </w:tcPr>
          <w:p w14:paraId="4EB9A956" w14:textId="77777777" w:rsidR="002751F7" w:rsidRDefault="002751F7" w:rsidP="00C33AA4">
            <w:pPr>
              <w:spacing w:after="40" w:line="252" w:lineRule="auto"/>
            </w:pPr>
            <w:r>
              <w:rPr>
                <w:sz w:val="19"/>
                <w:szCs w:val="19"/>
              </w:rPr>
              <w:t>AI layered into an existing live-chat servicing channel; narrow tasks first; question coverage more than doubled by Feb 2025</w:t>
            </w:r>
          </w:p>
        </w:tc>
        <w:tc>
          <w:tcPr>
            <w:tcW w:w="1700" w:type="dxa"/>
            <w:tcBorders>
              <w:top w:val="single" w:sz="4" w:space="0" w:color="C7CDD6"/>
              <w:left w:val="single" w:sz="4" w:space="0" w:color="C7CDD6"/>
              <w:bottom w:val="single" w:sz="4" w:space="0" w:color="C7CDD6"/>
              <w:right w:val="single" w:sz="4" w:space="0" w:color="C7CDD6"/>
            </w:tcBorders>
            <w:tcMar>
              <w:top w:w="60" w:type="dxa"/>
              <w:left w:w="90" w:type="dxa"/>
              <w:bottom w:w="60" w:type="dxa"/>
              <w:right w:w="90" w:type="dxa"/>
            </w:tcMar>
          </w:tcPr>
          <w:p w14:paraId="43A21AAA" w14:textId="77777777" w:rsidR="002751F7" w:rsidRDefault="002751F7" w:rsidP="00C33AA4">
            <w:pPr>
              <w:spacing w:after="40" w:line="252" w:lineRule="auto"/>
            </w:pPr>
            <w:r>
              <w:rPr>
                <w:sz w:val="19"/>
                <w:szCs w:val="19"/>
              </w:rPr>
              <w:t>Complex requests routed to specialised teams; live experts 24/5</w:t>
            </w:r>
          </w:p>
        </w:tc>
        <w:tc>
          <w:tcPr>
            <w:tcW w:w="2110" w:type="dxa"/>
            <w:tcBorders>
              <w:top w:val="single" w:sz="4" w:space="0" w:color="C7CDD6"/>
              <w:left w:val="single" w:sz="4" w:space="0" w:color="C7CDD6"/>
              <w:bottom w:val="single" w:sz="4" w:space="0" w:color="C7CDD6"/>
              <w:right w:val="single" w:sz="4" w:space="0" w:color="C7CDD6"/>
            </w:tcBorders>
            <w:tcMar>
              <w:top w:w="60" w:type="dxa"/>
              <w:left w:w="90" w:type="dxa"/>
              <w:bottom w:w="60" w:type="dxa"/>
              <w:right w:w="90" w:type="dxa"/>
            </w:tcMar>
          </w:tcPr>
          <w:p w14:paraId="3CE5BE1B" w14:textId="77777777" w:rsidR="002751F7" w:rsidRDefault="002751F7" w:rsidP="00C33AA4">
            <w:pPr>
              <w:spacing w:after="40" w:line="252" w:lineRule="auto"/>
            </w:pPr>
            <w:r>
              <w:rPr>
                <w:sz w:val="19"/>
                <w:szCs w:val="19"/>
              </w:rPr>
              <w:t>Chat volume +41% post-launch; 43% containment (Q3 2025); CashPro Search −20% phone/email among early adopters. All company-reported; no control group.</w:t>
            </w:r>
          </w:p>
        </w:tc>
      </w:tr>
      <w:tr w:rsidR="002751F7" w14:paraId="3C240DA6" w14:textId="77777777" w:rsidTr="00C33AA4">
        <w:tblPrEx>
          <w:tblCellMar>
            <w:top w:w="0" w:type="dxa"/>
            <w:bottom w:w="0" w:type="dxa"/>
          </w:tblCellMar>
        </w:tblPrEx>
        <w:trPr>
          <w:cantSplit/>
        </w:trPr>
        <w:tc>
          <w:tcPr>
            <w:tcW w:w="1700" w:type="dxa"/>
            <w:tcBorders>
              <w:top w:val="single" w:sz="4" w:space="0" w:color="C7CDD6"/>
              <w:left w:val="single" w:sz="4" w:space="0" w:color="C7CDD6"/>
              <w:bottom w:val="single" w:sz="4" w:space="0" w:color="C7CDD6"/>
              <w:right w:val="single" w:sz="4" w:space="0" w:color="C7CDD6"/>
            </w:tcBorders>
            <w:shd w:val="clear" w:color="auto" w:fill="F3F6FA"/>
            <w:tcMar>
              <w:top w:w="60" w:type="dxa"/>
              <w:left w:w="90" w:type="dxa"/>
              <w:bottom w:w="60" w:type="dxa"/>
              <w:right w:w="90" w:type="dxa"/>
            </w:tcMar>
          </w:tcPr>
          <w:p w14:paraId="1FC449F0" w14:textId="77777777" w:rsidR="002751F7" w:rsidRDefault="002751F7" w:rsidP="00C33AA4">
            <w:pPr>
              <w:spacing w:after="40" w:line="252" w:lineRule="auto"/>
            </w:pPr>
            <w:r>
              <w:rPr>
                <w:sz w:val="19"/>
                <w:szCs w:val="19"/>
              </w:rPr>
              <w:t>DBS Joy (IDEAL)</w:t>
            </w:r>
          </w:p>
        </w:tc>
        <w:tc>
          <w:tcPr>
            <w:tcW w:w="1250" w:type="dxa"/>
            <w:tcBorders>
              <w:top w:val="single" w:sz="4" w:space="0" w:color="C7CDD6"/>
              <w:left w:val="single" w:sz="4" w:space="0" w:color="C7CDD6"/>
              <w:bottom w:val="single" w:sz="4" w:space="0" w:color="C7CDD6"/>
              <w:right w:val="single" w:sz="4" w:space="0" w:color="C7CDD6"/>
            </w:tcBorders>
            <w:shd w:val="clear" w:color="auto" w:fill="F3F6FA"/>
            <w:tcMar>
              <w:top w:w="60" w:type="dxa"/>
              <w:left w:w="90" w:type="dxa"/>
              <w:bottom w:w="60" w:type="dxa"/>
              <w:right w:w="90" w:type="dxa"/>
            </w:tcMar>
          </w:tcPr>
          <w:p w14:paraId="48554B50" w14:textId="77777777" w:rsidR="002751F7" w:rsidRDefault="002751F7" w:rsidP="00C33AA4">
            <w:pPr>
              <w:spacing w:after="40" w:line="252" w:lineRule="auto"/>
            </w:pPr>
            <w:r>
              <w:rPr>
                <w:sz w:val="19"/>
                <w:szCs w:val="19"/>
              </w:rPr>
              <w:t>Corporate, largely SME</w:t>
            </w:r>
          </w:p>
        </w:tc>
        <w:tc>
          <w:tcPr>
            <w:tcW w:w="2600" w:type="dxa"/>
            <w:tcBorders>
              <w:top w:val="single" w:sz="4" w:space="0" w:color="C7CDD6"/>
              <w:left w:val="single" w:sz="4" w:space="0" w:color="C7CDD6"/>
              <w:bottom w:val="single" w:sz="4" w:space="0" w:color="C7CDD6"/>
              <w:right w:val="single" w:sz="4" w:space="0" w:color="C7CDD6"/>
            </w:tcBorders>
            <w:shd w:val="clear" w:color="auto" w:fill="F3F6FA"/>
            <w:tcMar>
              <w:top w:w="60" w:type="dxa"/>
              <w:left w:w="90" w:type="dxa"/>
              <w:bottom w:w="60" w:type="dxa"/>
              <w:right w:w="90" w:type="dxa"/>
            </w:tcMar>
          </w:tcPr>
          <w:p w14:paraId="0B370EB6" w14:textId="77777777" w:rsidR="002751F7" w:rsidRDefault="002751F7" w:rsidP="00C33AA4">
            <w:pPr>
              <w:spacing w:after="40" w:line="252" w:lineRule="auto"/>
            </w:pPr>
            <w:r>
              <w:rPr>
                <w:sz w:val="19"/>
                <w:szCs w:val="19"/>
              </w:rPr>
              <w:t>GenAI trialled Feb 2025; all corporate clients Nov 2025; agentic features July 2026</w:t>
            </w:r>
          </w:p>
        </w:tc>
        <w:tc>
          <w:tcPr>
            <w:tcW w:w="1700" w:type="dxa"/>
            <w:tcBorders>
              <w:top w:val="single" w:sz="4" w:space="0" w:color="C7CDD6"/>
              <w:left w:val="single" w:sz="4" w:space="0" w:color="C7CDD6"/>
              <w:bottom w:val="single" w:sz="4" w:space="0" w:color="C7CDD6"/>
              <w:right w:val="single" w:sz="4" w:space="0" w:color="C7CDD6"/>
            </w:tcBorders>
            <w:shd w:val="clear" w:color="auto" w:fill="F3F6FA"/>
            <w:tcMar>
              <w:top w:w="60" w:type="dxa"/>
              <w:left w:w="90" w:type="dxa"/>
              <w:bottom w:w="60" w:type="dxa"/>
              <w:right w:w="90" w:type="dxa"/>
            </w:tcMar>
          </w:tcPr>
          <w:p w14:paraId="5A3C1D01" w14:textId="77777777" w:rsidR="002751F7" w:rsidRDefault="002751F7" w:rsidP="00C33AA4">
            <w:pPr>
              <w:spacing w:after="40" w:line="252" w:lineRule="auto"/>
            </w:pPr>
            <w:r>
              <w:rPr>
                <w:sz w:val="19"/>
                <w:szCs w:val="19"/>
              </w:rPr>
              <w:t>Human specialist for complex needs; human evaluators review conversations</w:t>
            </w:r>
          </w:p>
        </w:tc>
        <w:tc>
          <w:tcPr>
            <w:tcW w:w="2110" w:type="dxa"/>
            <w:tcBorders>
              <w:top w:val="single" w:sz="4" w:space="0" w:color="C7CDD6"/>
              <w:left w:val="single" w:sz="4" w:space="0" w:color="C7CDD6"/>
              <w:bottom w:val="single" w:sz="4" w:space="0" w:color="C7CDD6"/>
              <w:right w:val="single" w:sz="4" w:space="0" w:color="C7CDD6"/>
            </w:tcBorders>
            <w:shd w:val="clear" w:color="auto" w:fill="F3F6FA"/>
            <w:tcMar>
              <w:top w:w="60" w:type="dxa"/>
              <w:left w:w="90" w:type="dxa"/>
              <w:bottom w:w="60" w:type="dxa"/>
              <w:right w:w="90" w:type="dxa"/>
            </w:tcMar>
          </w:tcPr>
          <w:p w14:paraId="4F3194BE" w14:textId="77777777" w:rsidR="002751F7" w:rsidRDefault="002751F7" w:rsidP="00C33AA4">
            <w:pPr>
              <w:spacing w:after="40" w:line="252" w:lineRule="auto"/>
            </w:pPr>
            <w:r>
              <w:rPr>
                <w:sz w:val="19"/>
                <w:szCs w:val="19"/>
              </w:rPr>
              <w:t>H1 2026: 7% reduction in calls or emails; chats +22%; satisfaction +17% (company-reported, before/after).</w:t>
            </w:r>
          </w:p>
        </w:tc>
      </w:tr>
      <w:tr w:rsidR="002751F7" w14:paraId="37C580D5" w14:textId="77777777" w:rsidTr="00C33AA4">
        <w:tblPrEx>
          <w:tblCellMar>
            <w:top w:w="0" w:type="dxa"/>
            <w:bottom w:w="0" w:type="dxa"/>
          </w:tblCellMar>
        </w:tblPrEx>
        <w:trPr>
          <w:cantSplit/>
        </w:trPr>
        <w:tc>
          <w:tcPr>
            <w:tcW w:w="1700" w:type="dxa"/>
            <w:tcBorders>
              <w:top w:val="single" w:sz="4" w:space="0" w:color="C7CDD6"/>
              <w:left w:val="single" w:sz="4" w:space="0" w:color="C7CDD6"/>
              <w:bottom w:val="single" w:sz="4" w:space="0" w:color="C7CDD6"/>
              <w:right w:val="single" w:sz="4" w:space="0" w:color="C7CDD6"/>
            </w:tcBorders>
            <w:tcMar>
              <w:top w:w="60" w:type="dxa"/>
              <w:left w:w="90" w:type="dxa"/>
              <w:bottom w:w="60" w:type="dxa"/>
              <w:right w:w="90" w:type="dxa"/>
            </w:tcMar>
          </w:tcPr>
          <w:p w14:paraId="4E2C5DDD" w14:textId="77777777" w:rsidR="002751F7" w:rsidRDefault="002751F7" w:rsidP="00C33AA4">
            <w:pPr>
              <w:spacing w:after="40" w:line="252" w:lineRule="auto"/>
            </w:pPr>
            <w:r>
              <w:rPr>
                <w:sz w:val="19"/>
                <w:szCs w:val="19"/>
              </w:rPr>
              <w:t>CBA CommBiz messaging (late 2024)</w:t>
            </w:r>
          </w:p>
        </w:tc>
        <w:tc>
          <w:tcPr>
            <w:tcW w:w="1250" w:type="dxa"/>
            <w:tcBorders>
              <w:top w:val="single" w:sz="4" w:space="0" w:color="C7CDD6"/>
              <w:left w:val="single" w:sz="4" w:space="0" w:color="C7CDD6"/>
              <w:bottom w:val="single" w:sz="4" w:space="0" w:color="C7CDD6"/>
              <w:right w:val="single" w:sz="4" w:space="0" w:color="C7CDD6"/>
            </w:tcBorders>
            <w:tcMar>
              <w:top w:w="60" w:type="dxa"/>
              <w:left w:w="90" w:type="dxa"/>
              <w:bottom w:w="60" w:type="dxa"/>
              <w:right w:w="90" w:type="dxa"/>
            </w:tcMar>
          </w:tcPr>
          <w:p w14:paraId="1719C8D8" w14:textId="77777777" w:rsidR="002751F7" w:rsidRDefault="002751F7" w:rsidP="00C33AA4">
            <w:pPr>
              <w:spacing w:after="40" w:line="252" w:lineRule="auto"/>
            </w:pPr>
            <w:r>
              <w:rPr>
                <w:sz w:val="19"/>
                <w:szCs w:val="19"/>
              </w:rPr>
              <w:t>Business banking</w:t>
            </w:r>
          </w:p>
        </w:tc>
        <w:tc>
          <w:tcPr>
            <w:tcW w:w="2600" w:type="dxa"/>
            <w:tcBorders>
              <w:top w:val="single" w:sz="4" w:space="0" w:color="C7CDD6"/>
              <w:left w:val="single" w:sz="4" w:space="0" w:color="C7CDD6"/>
              <w:bottom w:val="single" w:sz="4" w:space="0" w:color="C7CDD6"/>
              <w:right w:val="single" w:sz="4" w:space="0" w:color="C7CDD6"/>
            </w:tcBorders>
            <w:tcMar>
              <w:top w:w="60" w:type="dxa"/>
              <w:left w:w="90" w:type="dxa"/>
              <w:bottom w:w="60" w:type="dxa"/>
              <w:right w:w="90" w:type="dxa"/>
            </w:tcMar>
          </w:tcPr>
          <w:p w14:paraId="533ACCFA" w14:textId="77777777" w:rsidR="002751F7" w:rsidRDefault="002751F7" w:rsidP="00C33AA4">
            <w:pPr>
              <w:spacing w:after="40" w:line="252" w:lineRule="auto"/>
            </w:pPr>
            <w:r>
              <w:rPr>
                <w:sz w:val="19"/>
                <w:szCs w:val="19"/>
              </w:rPr>
              <w:t>Retrieval over 80+ user guides and FAQs; idea to production in six weeks</w:t>
            </w:r>
          </w:p>
        </w:tc>
        <w:tc>
          <w:tcPr>
            <w:tcW w:w="1700" w:type="dxa"/>
            <w:tcBorders>
              <w:top w:val="single" w:sz="4" w:space="0" w:color="C7CDD6"/>
              <w:left w:val="single" w:sz="4" w:space="0" w:color="C7CDD6"/>
              <w:bottom w:val="single" w:sz="4" w:space="0" w:color="C7CDD6"/>
              <w:right w:val="single" w:sz="4" w:space="0" w:color="C7CDD6"/>
            </w:tcBorders>
            <w:tcMar>
              <w:top w:w="60" w:type="dxa"/>
              <w:left w:w="90" w:type="dxa"/>
              <w:bottom w:w="60" w:type="dxa"/>
              <w:right w:w="90" w:type="dxa"/>
            </w:tcMar>
          </w:tcPr>
          <w:p w14:paraId="11D669BE" w14:textId="77777777" w:rsidR="002751F7" w:rsidRDefault="002751F7" w:rsidP="00C33AA4">
            <w:pPr>
              <w:spacing w:after="40" w:line="252" w:lineRule="auto"/>
            </w:pPr>
            <w:r>
              <w:rPr>
                <w:sz w:val="19"/>
                <w:szCs w:val="19"/>
              </w:rPr>
              <w:t>Not disclosed</w:t>
            </w:r>
          </w:p>
        </w:tc>
        <w:tc>
          <w:tcPr>
            <w:tcW w:w="2110" w:type="dxa"/>
            <w:tcBorders>
              <w:top w:val="single" w:sz="4" w:space="0" w:color="C7CDD6"/>
              <w:left w:val="single" w:sz="4" w:space="0" w:color="C7CDD6"/>
              <w:bottom w:val="single" w:sz="4" w:space="0" w:color="C7CDD6"/>
              <w:right w:val="single" w:sz="4" w:space="0" w:color="C7CDD6"/>
            </w:tcBorders>
            <w:tcMar>
              <w:top w:w="60" w:type="dxa"/>
              <w:left w:w="90" w:type="dxa"/>
              <w:bottom w:w="60" w:type="dxa"/>
              <w:right w:w="90" w:type="dxa"/>
            </w:tcMar>
          </w:tcPr>
          <w:p w14:paraId="69A3461C" w14:textId="77777777" w:rsidR="002751F7" w:rsidRDefault="002751F7" w:rsidP="00C33AA4">
            <w:pPr>
              <w:spacing w:after="40" w:line="252" w:lineRule="auto"/>
            </w:pPr>
            <w:r>
              <w:rPr>
                <w:sz w:val="19"/>
                <w:szCs w:val="19"/>
              </w:rPr>
              <w:t>None published. The widely quoted 40% wait-time figure is retail, not business.</w:t>
            </w:r>
          </w:p>
        </w:tc>
      </w:tr>
      <w:tr w:rsidR="002751F7" w14:paraId="192DB099" w14:textId="77777777" w:rsidTr="00C33AA4">
        <w:tblPrEx>
          <w:tblCellMar>
            <w:top w:w="0" w:type="dxa"/>
            <w:bottom w:w="0" w:type="dxa"/>
          </w:tblCellMar>
        </w:tblPrEx>
        <w:trPr>
          <w:cantSplit/>
        </w:trPr>
        <w:tc>
          <w:tcPr>
            <w:tcW w:w="1700" w:type="dxa"/>
            <w:tcBorders>
              <w:top w:val="single" w:sz="4" w:space="0" w:color="C7CDD6"/>
              <w:left w:val="single" w:sz="4" w:space="0" w:color="C7CDD6"/>
              <w:bottom w:val="single" w:sz="4" w:space="0" w:color="C7CDD6"/>
              <w:right w:val="single" w:sz="4" w:space="0" w:color="C7CDD6"/>
            </w:tcBorders>
            <w:shd w:val="clear" w:color="auto" w:fill="F3F6FA"/>
            <w:tcMar>
              <w:top w:w="60" w:type="dxa"/>
              <w:left w:w="90" w:type="dxa"/>
              <w:bottom w:w="60" w:type="dxa"/>
              <w:right w:w="90" w:type="dxa"/>
            </w:tcMar>
          </w:tcPr>
          <w:p w14:paraId="2EEC2AFF" w14:textId="77777777" w:rsidR="002751F7" w:rsidRDefault="002751F7" w:rsidP="00C33AA4">
            <w:pPr>
              <w:spacing w:after="40" w:line="252" w:lineRule="auto"/>
            </w:pPr>
            <w:r>
              <w:rPr>
                <w:sz w:val="19"/>
                <w:szCs w:val="19"/>
              </w:rPr>
              <w:t>JPMorgan Payments</w:t>
            </w:r>
          </w:p>
        </w:tc>
        <w:tc>
          <w:tcPr>
            <w:tcW w:w="1250" w:type="dxa"/>
            <w:tcBorders>
              <w:top w:val="single" w:sz="4" w:space="0" w:color="C7CDD6"/>
              <w:left w:val="single" w:sz="4" w:space="0" w:color="C7CDD6"/>
              <w:bottom w:val="single" w:sz="4" w:space="0" w:color="C7CDD6"/>
              <w:right w:val="single" w:sz="4" w:space="0" w:color="C7CDD6"/>
            </w:tcBorders>
            <w:shd w:val="clear" w:color="auto" w:fill="F3F6FA"/>
            <w:tcMar>
              <w:top w:w="60" w:type="dxa"/>
              <w:left w:w="90" w:type="dxa"/>
              <w:bottom w:w="60" w:type="dxa"/>
              <w:right w:w="90" w:type="dxa"/>
            </w:tcMar>
          </w:tcPr>
          <w:p w14:paraId="353A3448" w14:textId="77777777" w:rsidR="002751F7" w:rsidRDefault="002751F7" w:rsidP="00C33AA4">
            <w:pPr>
              <w:spacing w:after="40" w:line="252" w:lineRule="auto"/>
            </w:pPr>
            <w:r>
              <w:rPr>
                <w:sz w:val="19"/>
                <w:szCs w:val="19"/>
              </w:rPr>
              <w:t>Corporate</w:t>
            </w:r>
          </w:p>
        </w:tc>
        <w:tc>
          <w:tcPr>
            <w:tcW w:w="2600" w:type="dxa"/>
            <w:tcBorders>
              <w:top w:val="single" w:sz="4" w:space="0" w:color="C7CDD6"/>
              <w:left w:val="single" w:sz="4" w:space="0" w:color="C7CDD6"/>
              <w:bottom w:val="single" w:sz="4" w:space="0" w:color="C7CDD6"/>
              <w:right w:val="single" w:sz="4" w:space="0" w:color="C7CDD6"/>
            </w:tcBorders>
            <w:shd w:val="clear" w:color="auto" w:fill="F3F6FA"/>
            <w:tcMar>
              <w:top w:w="60" w:type="dxa"/>
              <w:left w:w="90" w:type="dxa"/>
              <w:bottom w:w="60" w:type="dxa"/>
              <w:right w:w="90" w:type="dxa"/>
            </w:tcMar>
          </w:tcPr>
          <w:p w14:paraId="14F4781D" w14:textId="77777777" w:rsidR="002751F7" w:rsidRDefault="002751F7" w:rsidP="00C33AA4">
            <w:pPr>
              <w:spacing w:after="40" w:line="252" w:lineRule="auto"/>
            </w:pPr>
            <w:r>
              <w:rPr>
                <w:sz w:val="19"/>
                <w:szCs w:val="19"/>
              </w:rPr>
              <w:t xml:space="preserve">First client-facing assistant scoped to Commerce </w:t>
            </w:r>
            <w:proofErr w:type="spellStart"/>
            <w:r>
              <w:rPr>
                <w:sz w:val="19"/>
                <w:szCs w:val="19"/>
              </w:rPr>
              <w:t>Center</w:t>
            </w:r>
            <w:proofErr w:type="spellEnd"/>
            <w:r>
              <w:rPr>
                <w:sz w:val="19"/>
                <w:szCs w:val="19"/>
              </w:rPr>
              <w:t xml:space="preserve"> reporting only; retrieval with LLM-as-judge testing</w:t>
            </w:r>
          </w:p>
        </w:tc>
        <w:tc>
          <w:tcPr>
            <w:tcW w:w="1700" w:type="dxa"/>
            <w:tcBorders>
              <w:top w:val="single" w:sz="4" w:space="0" w:color="C7CDD6"/>
              <w:left w:val="single" w:sz="4" w:space="0" w:color="C7CDD6"/>
              <w:bottom w:val="single" w:sz="4" w:space="0" w:color="C7CDD6"/>
              <w:right w:val="single" w:sz="4" w:space="0" w:color="C7CDD6"/>
            </w:tcBorders>
            <w:shd w:val="clear" w:color="auto" w:fill="F3F6FA"/>
            <w:tcMar>
              <w:top w:w="60" w:type="dxa"/>
              <w:left w:w="90" w:type="dxa"/>
              <w:bottom w:w="60" w:type="dxa"/>
              <w:right w:w="90" w:type="dxa"/>
            </w:tcMar>
          </w:tcPr>
          <w:p w14:paraId="01B0AEBB" w14:textId="77777777" w:rsidR="002751F7" w:rsidRDefault="002751F7" w:rsidP="00C33AA4">
            <w:pPr>
              <w:spacing w:after="40" w:line="252" w:lineRule="auto"/>
            </w:pPr>
            <w:r>
              <w:rPr>
                <w:sz w:val="19"/>
                <w:szCs w:val="19"/>
              </w:rPr>
              <w:t>Not disclosed</w:t>
            </w:r>
          </w:p>
        </w:tc>
        <w:tc>
          <w:tcPr>
            <w:tcW w:w="2110" w:type="dxa"/>
            <w:tcBorders>
              <w:top w:val="single" w:sz="4" w:space="0" w:color="C7CDD6"/>
              <w:left w:val="single" w:sz="4" w:space="0" w:color="C7CDD6"/>
              <w:bottom w:val="single" w:sz="4" w:space="0" w:color="C7CDD6"/>
              <w:right w:val="single" w:sz="4" w:space="0" w:color="C7CDD6"/>
            </w:tcBorders>
            <w:shd w:val="clear" w:color="auto" w:fill="F3F6FA"/>
            <w:tcMar>
              <w:top w:w="60" w:type="dxa"/>
              <w:left w:w="90" w:type="dxa"/>
              <w:bottom w:w="60" w:type="dxa"/>
              <w:right w:w="90" w:type="dxa"/>
            </w:tcMar>
          </w:tcPr>
          <w:p w14:paraId="722BE644" w14:textId="77777777" w:rsidR="002751F7" w:rsidRDefault="002751F7" w:rsidP="00C33AA4">
            <w:pPr>
              <w:spacing w:after="40" w:line="252" w:lineRule="auto"/>
            </w:pPr>
            <w:r>
              <w:rPr>
                <w:sz w:val="19"/>
                <w:szCs w:val="19"/>
              </w:rPr>
              <w:t>None published.</w:t>
            </w:r>
          </w:p>
        </w:tc>
      </w:tr>
      <w:tr w:rsidR="002751F7" w14:paraId="10AFC8C6" w14:textId="77777777" w:rsidTr="00C33AA4">
        <w:tblPrEx>
          <w:tblCellMar>
            <w:top w:w="0" w:type="dxa"/>
            <w:bottom w:w="0" w:type="dxa"/>
          </w:tblCellMar>
        </w:tblPrEx>
        <w:trPr>
          <w:cantSplit/>
        </w:trPr>
        <w:tc>
          <w:tcPr>
            <w:tcW w:w="1700" w:type="dxa"/>
            <w:tcBorders>
              <w:top w:val="single" w:sz="4" w:space="0" w:color="C7CDD6"/>
              <w:left w:val="single" w:sz="4" w:space="0" w:color="C7CDD6"/>
              <w:bottom w:val="single" w:sz="4" w:space="0" w:color="C7CDD6"/>
              <w:right w:val="single" w:sz="4" w:space="0" w:color="C7CDD6"/>
            </w:tcBorders>
            <w:tcMar>
              <w:top w:w="60" w:type="dxa"/>
              <w:left w:w="90" w:type="dxa"/>
              <w:bottom w:w="60" w:type="dxa"/>
              <w:right w:w="90" w:type="dxa"/>
            </w:tcMar>
          </w:tcPr>
          <w:p w14:paraId="08DCAB96" w14:textId="77777777" w:rsidR="002751F7" w:rsidRDefault="002751F7" w:rsidP="00C33AA4">
            <w:pPr>
              <w:spacing w:after="40" w:line="252" w:lineRule="auto"/>
            </w:pPr>
            <w:r>
              <w:rPr>
                <w:sz w:val="19"/>
                <w:szCs w:val="19"/>
              </w:rPr>
              <w:t>Citi</w:t>
            </w:r>
          </w:p>
        </w:tc>
        <w:tc>
          <w:tcPr>
            <w:tcW w:w="1250" w:type="dxa"/>
            <w:tcBorders>
              <w:top w:val="single" w:sz="4" w:space="0" w:color="C7CDD6"/>
              <w:left w:val="single" w:sz="4" w:space="0" w:color="C7CDD6"/>
              <w:bottom w:val="single" w:sz="4" w:space="0" w:color="C7CDD6"/>
              <w:right w:val="single" w:sz="4" w:space="0" w:color="C7CDD6"/>
            </w:tcBorders>
            <w:tcMar>
              <w:top w:w="60" w:type="dxa"/>
              <w:left w:w="90" w:type="dxa"/>
              <w:bottom w:w="60" w:type="dxa"/>
              <w:right w:w="90" w:type="dxa"/>
            </w:tcMar>
          </w:tcPr>
          <w:p w14:paraId="14AF5058" w14:textId="77777777" w:rsidR="002751F7" w:rsidRDefault="002751F7" w:rsidP="00C33AA4">
            <w:pPr>
              <w:spacing w:after="40" w:line="252" w:lineRule="auto"/>
            </w:pPr>
            <w:r>
              <w:rPr>
                <w:sz w:val="19"/>
                <w:szCs w:val="19"/>
              </w:rPr>
              <w:t>Corporate (Services)</w:t>
            </w:r>
          </w:p>
        </w:tc>
        <w:tc>
          <w:tcPr>
            <w:tcW w:w="2600" w:type="dxa"/>
            <w:tcBorders>
              <w:top w:val="single" w:sz="4" w:space="0" w:color="C7CDD6"/>
              <w:left w:val="single" w:sz="4" w:space="0" w:color="C7CDD6"/>
              <w:bottom w:val="single" w:sz="4" w:space="0" w:color="C7CDD6"/>
              <w:right w:val="single" w:sz="4" w:space="0" w:color="C7CDD6"/>
            </w:tcBorders>
            <w:tcMar>
              <w:top w:w="60" w:type="dxa"/>
              <w:left w:w="90" w:type="dxa"/>
              <w:bottom w:w="60" w:type="dxa"/>
              <w:right w:w="90" w:type="dxa"/>
            </w:tcMar>
          </w:tcPr>
          <w:p w14:paraId="24A9F1F3" w14:textId="77777777" w:rsidR="002751F7" w:rsidRDefault="002751F7" w:rsidP="00C33AA4">
            <w:pPr>
              <w:spacing w:after="40" w:line="252" w:lineRule="auto"/>
            </w:pPr>
            <w:r>
              <w:rPr>
                <w:sz w:val="19"/>
                <w:szCs w:val="19"/>
              </w:rPr>
              <w:t>Agent Assist for staff in 47 countries first; client-facing Client Assist piloted with a few customers</w:t>
            </w:r>
          </w:p>
        </w:tc>
        <w:tc>
          <w:tcPr>
            <w:tcW w:w="1700" w:type="dxa"/>
            <w:tcBorders>
              <w:top w:val="single" w:sz="4" w:space="0" w:color="C7CDD6"/>
              <w:left w:val="single" w:sz="4" w:space="0" w:color="C7CDD6"/>
              <w:bottom w:val="single" w:sz="4" w:space="0" w:color="C7CDD6"/>
              <w:right w:val="single" w:sz="4" w:space="0" w:color="C7CDD6"/>
            </w:tcBorders>
            <w:tcMar>
              <w:top w:w="60" w:type="dxa"/>
              <w:left w:w="90" w:type="dxa"/>
              <w:bottom w:w="60" w:type="dxa"/>
              <w:right w:w="90" w:type="dxa"/>
            </w:tcMar>
          </w:tcPr>
          <w:p w14:paraId="26B3B0AD" w14:textId="77777777" w:rsidR="002751F7" w:rsidRDefault="002751F7" w:rsidP="00C33AA4">
            <w:pPr>
              <w:spacing w:after="40" w:line="252" w:lineRule="auto"/>
            </w:pPr>
            <w:r>
              <w:rPr>
                <w:sz w:val="19"/>
                <w:szCs w:val="19"/>
              </w:rPr>
              <w:t>Agent-first</w:t>
            </w:r>
          </w:p>
        </w:tc>
        <w:tc>
          <w:tcPr>
            <w:tcW w:w="2110" w:type="dxa"/>
            <w:tcBorders>
              <w:top w:val="single" w:sz="4" w:space="0" w:color="C7CDD6"/>
              <w:left w:val="single" w:sz="4" w:space="0" w:color="C7CDD6"/>
              <w:bottom w:val="single" w:sz="4" w:space="0" w:color="C7CDD6"/>
              <w:right w:val="single" w:sz="4" w:space="0" w:color="C7CDD6"/>
            </w:tcBorders>
            <w:tcMar>
              <w:top w:w="60" w:type="dxa"/>
              <w:left w:w="90" w:type="dxa"/>
              <w:bottom w:w="60" w:type="dxa"/>
              <w:right w:w="90" w:type="dxa"/>
            </w:tcMar>
          </w:tcPr>
          <w:p w14:paraId="568D9591" w14:textId="77777777" w:rsidR="002751F7" w:rsidRDefault="002751F7" w:rsidP="00C33AA4">
            <w:pPr>
              <w:spacing w:after="40" w:line="252" w:lineRule="auto"/>
            </w:pPr>
            <w:r>
              <w:rPr>
                <w:sz w:val="19"/>
                <w:szCs w:val="19"/>
              </w:rPr>
              <w:t>None published.</w:t>
            </w:r>
          </w:p>
        </w:tc>
      </w:tr>
      <w:tr w:rsidR="002751F7" w14:paraId="1DDFE9E9" w14:textId="77777777" w:rsidTr="00C33AA4">
        <w:tblPrEx>
          <w:tblCellMar>
            <w:top w:w="0" w:type="dxa"/>
            <w:bottom w:w="0" w:type="dxa"/>
          </w:tblCellMar>
        </w:tblPrEx>
        <w:trPr>
          <w:cantSplit/>
        </w:trPr>
        <w:tc>
          <w:tcPr>
            <w:tcW w:w="1700" w:type="dxa"/>
            <w:tcBorders>
              <w:top w:val="single" w:sz="4" w:space="0" w:color="C7CDD6"/>
              <w:left w:val="single" w:sz="4" w:space="0" w:color="C7CDD6"/>
              <w:bottom w:val="single" w:sz="4" w:space="0" w:color="C7CDD6"/>
              <w:right w:val="single" w:sz="4" w:space="0" w:color="C7CDD6"/>
            </w:tcBorders>
            <w:shd w:val="clear" w:color="auto" w:fill="F3F6FA"/>
            <w:tcMar>
              <w:top w:w="60" w:type="dxa"/>
              <w:left w:w="90" w:type="dxa"/>
              <w:bottom w:w="60" w:type="dxa"/>
              <w:right w:w="90" w:type="dxa"/>
            </w:tcMar>
          </w:tcPr>
          <w:p w14:paraId="42B61963" w14:textId="77777777" w:rsidR="002751F7" w:rsidRDefault="002751F7" w:rsidP="00C33AA4">
            <w:pPr>
              <w:spacing w:after="40" w:line="252" w:lineRule="auto"/>
            </w:pPr>
            <w:r>
              <w:rPr>
                <w:sz w:val="19"/>
                <w:szCs w:val="19"/>
              </w:rPr>
              <w:t>HSBC</w:t>
            </w:r>
          </w:p>
        </w:tc>
        <w:tc>
          <w:tcPr>
            <w:tcW w:w="1250" w:type="dxa"/>
            <w:tcBorders>
              <w:top w:val="single" w:sz="4" w:space="0" w:color="C7CDD6"/>
              <w:left w:val="single" w:sz="4" w:space="0" w:color="C7CDD6"/>
              <w:bottom w:val="single" w:sz="4" w:space="0" w:color="C7CDD6"/>
              <w:right w:val="single" w:sz="4" w:space="0" w:color="C7CDD6"/>
            </w:tcBorders>
            <w:shd w:val="clear" w:color="auto" w:fill="F3F6FA"/>
            <w:tcMar>
              <w:top w:w="60" w:type="dxa"/>
              <w:left w:w="90" w:type="dxa"/>
              <w:bottom w:w="60" w:type="dxa"/>
              <w:right w:w="90" w:type="dxa"/>
            </w:tcMar>
          </w:tcPr>
          <w:p w14:paraId="5EF8D36A" w14:textId="77777777" w:rsidR="002751F7" w:rsidRDefault="002751F7" w:rsidP="00C33AA4">
            <w:pPr>
              <w:spacing w:after="40" w:line="252" w:lineRule="auto"/>
            </w:pPr>
            <w:r>
              <w:rPr>
                <w:sz w:val="19"/>
                <w:szCs w:val="19"/>
              </w:rPr>
              <w:t>Corporate and institutional</w:t>
            </w:r>
          </w:p>
        </w:tc>
        <w:tc>
          <w:tcPr>
            <w:tcW w:w="2600" w:type="dxa"/>
            <w:tcBorders>
              <w:top w:val="single" w:sz="4" w:space="0" w:color="C7CDD6"/>
              <w:left w:val="single" w:sz="4" w:space="0" w:color="C7CDD6"/>
              <w:bottom w:val="single" w:sz="4" w:space="0" w:color="C7CDD6"/>
              <w:right w:val="single" w:sz="4" w:space="0" w:color="C7CDD6"/>
            </w:tcBorders>
            <w:shd w:val="clear" w:color="auto" w:fill="F3F6FA"/>
            <w:tcMar>
              <w:top w:w="60" w:type="dxa"/>
              <w:left w:w="90" w:type="dxa"/>
              <w:bottom w:w="60" w:type="dxa"/>
              <w:right w:w="90" w:type="dxa"/>
            </w:tcMar>
          </w:tcPr>
          <w:p w14:paraId="0AD36B4B" w14:textId="77777777" w:rsidR="002751F7" w:rsidRDefault="002751F7" w:rsidP="00C33AA4">
            <w:pPr>
              <w:spacing w:after="40" w:line="252" w:lineRule="auto"/>
            </w:pPr>
            <w:r>
              <w:rPr>
                <w:sz w:val="19"/>
                <w:szCs w:val="19"/>
              </w:rPr>
              <w:t>GenAI assistant for servicing teams first (approximately 3 million interactions a year)</w:t>
            </w:r>
          </w:p>
        </w:tc>
        <w:tc>
          <w:tcPr>
            <w:tcW w:w="1700" w:type="dxa"/>
            <w:tcBorders>
              <w:top w:val="single" w:sz="4" w:space="0" w:color="C7CDD6"/>
              <w:left w:val="single" w:sz="4" w:space="0" w:color="C7CDD6"/>
              <w:bottom w:val="single" w:sz="4" w:space="0" w:color="C7CDD6"/>
              <w:right w:val="single" w:sz="4" w:space="0" w:color="C7CDD6"/>
            </w:tcBorders>
            <w:shd w:val="clear" w:color="auto" w:fill="F3F6FA"/>
            <w:tcMar>
              <w:top w:w="60" w:type="dxa"/>
              <w:left w:w="90" w:type="dxa"/>
              <w:bottom w:w="60" w:type="dxa"/>
              <w:right w:w="90" w:type="dxa"/>
            </w:tcMar>
          </w:tcPr>
          <w:p w14:paraId="6BC7D14B" w14:textId="77777777" w:rsidR="002751F7" w:rsidRDefault="002751F7" w:rsidP="00C33AA4">
            <w:pPr>
              <w:spacing w:after="40" w:line="252" w:lineRule="auto"/>
            </w:pPr>
            <w:r>
              <w:rPr>
                <w:sz w:val="19"/>
                <w:szCs w:val="19"/>
              </w:rPr>
              <w:t>Staff-facing</w:t>
            </w:r>
          </w:p>
        </w:tc>
        <w:tc>
          <w:tcPr>
            <w:tcW w:w="2110" w:type="dxa"/>
            <w:tcBorders>
              <w:top w:val="single" w:sz="4" w:space="0" w:color="C7CDD6"/>
              <w:left w:val="single" w:sz="4" w:space="0" w:color="C7CDD6"/>
              <w:bottom w:val="single" w:sz="4" w:space="0" w:color="C7CDD6"/>
              <w:right w:val="single" w:sz="4" w:space="0" w:color="C7CDD6"/>
            </w:tcBorders>
            <w:shd w:val="clear" w:color="auto" w:fill="F3F6FA"/>
            <w:tcMar>
              <w:top w:w="60" w:type="dxa"/>
              <w:left w:w="90" w:type="dxa"/>
              <w:bottom w:w="60" w:type="dxa"/>
              <w:right w:w="90" w:type="dxa"/>
            </w:tcMar>
          </w:tcPr>
          <w:p w14:paraId="6BB51B29" w14:textId="77777777" w:rsidR="002751F7" w:rsidRDefault="002751F7" w:rsidP="00C33AA4">
            <w:pPr>
              <w:spacing w:after="40" w:line="252" w:lineRule="auto"/>
            </w:pPr>
            <w:r>
              <w:rPr>
                <w:sz w:val="19"/>
                <w:szCs w:val="19"/>
              </w:rPr>
              <w:t>None published for clients.</w:t>
            </w:r>
          </w:p>
        </w:tc>
      </w:tr>
      <w:tr w:rsidR="002751F7" w14:paraId="2F635C97" w14:textId="77777777" w:rsidTr="00C33AA4">
        <w:tblPrEx>
          <w:tblCellMar>
            <w:top w:w="0" w:type="dxa"/>
            <w:bottom w:w="0" w:type="dxa"/>
          </w:tblCellMar>
        </w:tblPrEx>
        <w:trPr>
          <w:cantSplit/>
        </w:trPr>
        <w:tc>
          <w:tcPr>
            <w:tcW w:w="1700" w:type="dxa"/>
            <w:tcBorders>
              <w:top w:val="single" w:sz="4" w:space="0" w:color="C7CDD6"/>
              <w:left w:val="single" w:sz="4" w:space="0" w:color="C7CDD6"/>
              <w:bottom w:val="single" w:sz="4" w:space="0" w:color="C7CDD6"/>
              <w:right w:val="single" w:sz="4" w:space="0" w:color="C7CDD6"/>
            </w:tcBorders>
            <w:tcMar>
              <w:top w:w="60" w:type="dxa"/>
              <w:left w:w="90" w:type="dxa"/>
              <w:bottom w:w="60" w:type="dxa"/>
              <w:right w:w="90" w:type="dxa"/>
            </w:tcMar>
          </w:tcPr>
          <w:p w14:paraId="321D466B" w14:textId="77777777" w:rsidR="002751F7" w:rsidRDefault="002751F7" w:rsidP="00C33AA4">
            <w:pPr>
              <w:spacing w:after="40" w:line="252" w:lineRule="auto"/>
            </w:pPr>
            <w:r>
              <w:rPr>
                <w:sz w:val="19"/>
                <w:szCs w:val="19"/>
              </w:rPr>
              <w:t>NatWest Cora+ (June 2024)</w:t>
            </w:r>
          </w:p>
        </w:tc>
        <w:tc>
          <w:tcPr>
            <w:tcW w:w="1250" w:type="dxa"/>
            <w:tcBorders>
              <w:top w:val="single" w:sz="4" w:space="0" w:color="C7CDD6"/>
              <w:left w:val="single" w:sz="4" w:space="0" w:color="C7CDD6"/>
              <w:bottom w:val="single" w:sz="4" w:space="0" w:color="C7CDD6"/>
              <w:right w:val="single" w:sz="4" w:space="0" w:color="C7CDD6"/>
            </w:tcBorders>
            <w:tcMar>
              <w:top w:w="60" w:type="dxa"/>
              <w:left w:w="90" w:type="dxa"/>
              <w:bottom w:w="60" w:type="dxa"/>
              <w:right w:w="90" w:type="dxa"/>
            </w:tcMar>
          </w:tcPr>
          <w:p w14:paraId="2823483F" w14:textId="77777777" w:rsidR="002751F7" w:rsidRDefault="002751F7" w:rsidP="00C33AA4">
            <w:pPr>
              <w:spacing w:after="40" w:line="252" w:lineRule="auto"/>
            </w:pPr>
            <w:r>
              <w:rPr>
                <w:sz w:val="19"/>
                <w:szCs w:val="19"/>
              </w:rPr>
              <w:t>Retail</w:t>
            </w:r>
          </w:p>
        </w:tc>
        <w:tc>
          <w:tcPr>
            <w:tcW w:w="2600" w:type="dxa"/>
            <w:tcBorders>
              <w:top w:val="single" w:sz="4" w:space="0" w:color="C7CDD6"/>
              <w:left w:val="single" w:sz="4" w:space="0" w:color="C7CDD6"/>
              <w:bottom w:val="single" w:sz="4" w:space="0" w:color="C7CDD6"/>
              <w:right w:val="single" w:sz="4" w:space="0" w:color="C7CDD6"/>
            </w:tcBorders>
            <w:tcMar>
              <w:top w:w="60" w:type="dxa"/>
              <w:left w:w="90" w:type="dxa"/>
              <w:bottom w:w="60" w:type="dxa"/>
              <w:right w:w="90" w:type="dxa"/>
            </w:tcMar>
          </w:tcPr>
          <w:p w14:paraId="6C975667" w14:textId="77777777" w:rsidR="002751F7" w:rsidRDefault="002751F7" w:rsidP="00C33AA4">
            <w:pPr>
              <w:spacing w:after="40" w:line="252" w:lineRule="auto"/>
            </w:pPr>
            <w:r>
              <w:rPr>
                <w:sz w:val="19"/>
                <w:szCs w:val="19"/>
              </w:rPr>
              <w:t>12-week pilot on certain journeys before full rollout</w:t>
            </w:r>
          </w:p>
        </w:tc>
        <w:tc>
          <w:tcPr>
            <w:tcW w:w="1700" w:type="dxa"/>
            <w:tcBorders>
              <w:top w:val="single" w:sz="4" w:space="0" w:color="C7CDD6"/>
              <w:left w:val="single" w:sz="4" w:space="0" w:color="C7CDD6"/>
              <w:bottom w:val="single" w:sz="4" w:space="0" w:color="C7CDD6"/>
              <w:right w:val="single" w:sz="4" w:space="0" w:color="C7CDD6"/>
            </w:tcBorders>
            <w:tcMar>
              <w:top w:w="60" w:type="dxa"/>
              <w:left w:w="90" w:type="dxa"/>
              <w:bottom w:w="60" w:type="dxa"/>
              <w:right w:w="90" w:type="dxa"/>
            </w:tcMar>
          </w:tcPr>
          <w:p w14:paraId="04DA8C22" w14:textId="77777777" w:rsidR="002751F7" w:rsidRDefault="002751F7" w:rsidP="00C33AA4">
            <w:pPr>
              <w:spacing w:after="40" w:line="252" w:lineRule="auto"/>
            </w:pPr>
            <w:r>
              <w:rPr>
                <w:sz w:val="19"/>
                <w:szCs w:val="19"/>
              </w:rPr>
              <w:t>Human escalation retained</w:t>
            </w:r>
          </w:p>
        </w:tc>
        <w:tc>
          <w:tcPr>
            <w:tcW w:w="2110" w:type="dxa"/>
            <w:tcBorders>
              <w:top w:val="single" w:sz="4" w:space="0" w:color="C7CDD6"/>
              <w:left w:val="single" w:sz="4" w:space="0" w:color="C7CDD6"/>
              <w:bottom w:val="single" w:sz="4" w:space="0" w:color="C7CDD6"/>
              <w:right w:val="single" w:sz="4" w:space="0" w:color="C7CDD6"/>
            </w:tcBorders>
            <w:tcMar>
              <w:top w:w="60" w:type="dxa"/>
              <w:left w:w="90" w:type="dxa"/>
              <w:bottom w:w="60" w:type="dxa"/>
              <w:right w:w="90" w:type="dxa"/>
            </w:tcMar>
          </w:tcPr>
          <w:p w14:paraId="4F3E983E" w14:textId="77777777" w:rsidR="002751F7" w:rsidRDefault="002751F7" w:rsidP="00C33AA4">
            <w:pPr>
              <w:spacing w:after="40" w:line="252" w:lineRule="auto"/>
            </w:pPr>
            <w:r>
              <w:rPr>
                <w:sz w:val="19"/>
                <w:szCs w:val="19"/>
              </w:rPr>
              <w:t>Legacy Cora approximately 11 million queries in 2023; IBM claims approximately 150% satisfaction lift for some answers (vendor).</w:t>
            </w:r>
          </w:p>
        </w:tc>
      </w:tr>
      <w:tr w:rsidR="002751F7" w14:paraId="7F6847AE" w14:textId="77777777" w:rsidTr="00C33AA4">
        <w:tblPrEx>
          <w:tblCellMar>
            <w:top w:w="0" w:type="dxa"/>
            <w:bottom w:w="0" w:type="dxa"/>
          </w:tblCellMar>
        </w:tblPrEx>
        <w:trPr>
          <w:cantSplit/>
        </w:trPr>
        <w:tc>
          <w:tcPr>
            <w:tcW w:w="1700" w:type="dxa"/>
            <w:tcBorders>
              <w:top w:val="single" w:sz="4" w:space="0" w:color="C7CDD6"/>
              <w:left w:val="single" w:sz="4" w:space="0" w:color="C7CDD6"/>
              <w:bottom w:val="single" w:sz="4" w:space="0" w:color="C7CDD6"/>
              <w:right w:val="single" w:sz="4" w:space="0" w:color="C7CDD6"/>
            </w:tcBorders>
            <w:shd w:val="clear" w:color="auto" w:fill="F3F6FA"/>
            <w:tcMar>
              <w:top w:w="60" w:type="dxa"/>
              <w:left w:w="90" w:type="dxa"/>
              <w:bottom w:w="60" w:type="dxa"/>
              <w:right w:w="90" w:type="dxa"/>
            </w:tcMar>
          </w:tcPr>
          <w:p w14:paraId="11E3CD12" w14:textId="77777777" w:rsidR="002751F7" w:rsidRDefault="002751F7" w:rsidP="00C33AA4">
            <w:pPr>
              <w:spacing w:after="40" w:line="252" w:lineRule="auto"/>
            </w:pPr>
            <w:r>
              <w:rPr>
                <w:sz w:val="19"/>
                <w:szCs w:val="19"/>
              </w:rPr>
              <w:t xml:space="preserve">Wells Fargo </w:t>
            </w:r>
            <w:proofErr w:type="spellStart"/>
            <w:r>
              <w:rPr>
                <w:sz w:val="19"/>
                <w:szCs w:val="19"/>
              </w:rPr>
              <w:t>Fargo</w:t>
            </w:r>
            <w:proofErr w:type="spellEnd"/>
            <w:r>
              <w:rPr>
                <w:sz w:val="19"/>
                <w:szCs w:val="19"/>
              </w:rPr>
              <w:t xml:space="preserve"> (Mar 2023)</w:t>
            </w:r>
          </w:p>
        </w:tc>
        <w:tc>
          <w:tcPr>
            <w:tcW w:w="1250" w:type="dxa"/>
            <w:tcBorders>
              <w:top w:val="single" w:sz="4" w:space="0" w:color="C7CDD6"/>
              <w:left w:val="single" w:sz="4" w:space="0" w:color="C7CDD6"/>
              <w:bottom w:val="single" w:sz="4" w:space="0" w:color="C7CDD6"/>
              <w:right w:val="single" w:sz="4" w:space="0" w:color="C7CDD6"/>
            </w:tcBorders>
            <w:shd w:val="clear" w:color="auto" w:fill="F3F6FA"/>
            <w:tcMar>
              <w:top w:w="60" w:type="dxa"/>
              <w:left w:w="90" w:type="dxa"/>
              <w:bottom w:w="60" w:type="dxa"/>
              <w:right w:w="90" w:type="dxa"/>
            </w:tcMar>
          </w:tcPr>
          <w:p w14:paraId="6B3EF890" w14:textId="77777777" w:rsidR="002751F7" w:rsidRDefault="002751F7" w:rsidP="00C33AA4">
            <w:pPr>
              <w:spacing w:after="40" w:line="252" w:lineRule="auto"/>
            </w:pPr>
            <w:r>
              <w:rPr>
                <w:sz w:val="19"/>
                <w:szCs w:val="19"/>
              </w:rPr>
              <w:t>Consumer</w:t>
            </w:r>
          </w:p>
        </w:tc>
        <w:tc>
          <w:tcPr>
            <w:tcW w:w="2600" w:type="dxa"/>
            <w:tcBorders>
              <w:top w:val="single" w:sz="4" w:space="0" w:color="C7CDD6"/>
              <w:left w:val="single" w:sz="4" w:space="0" w:color="C7CDD6"/>
              <w:bottom w:val="single" w:sz="4" w:space="0" w:color="C7CDD6"/>
              <w:right w:val="single" w:sz="4" w:space="0" w:color="C7CDD6"/>
            </w:tcBorders>
            <w:shd w:val="clear" w:color="auto" w:fill="F3F6FA"/>
            <w:tcMar>
              <w:top w:w="60" w:type="dxa"/>
              <w:left w:w="90" w:type="dxa"/>
              <w:bottom w:w="60" w:type="dxa"/>
              <w:right w:w="90" w:type="dxa"/>
            </w:tcMar>
          </w:tcPr>
          <w:p w14:paraId="69D2A206" w14:textId="77777777" w:rsidR="002751F7" w:rsidRDefault="002751F7" w:rsidP="00C33AA4">
            <w:pPr>
              <w:spacing w:after="40" w:line="252" w:lineRule="auto"/>
            </w:pPr>
            <w:r>
              <w:rPr>
                <w:sz w:val="19"/>
                <w:szCs w:val="19"/>
              </w:rPr>
              <w:t>Phased capability additions; 21.3M interactions (2023), 245.4M (2024), more than 1 billion cumulative by Mar 2026</w:t>
            </w:r>
          </w:p>
        </w:tc>
        <w:tc>
          <w:tcPr>
            <w:tcW w:w="1700" w:type="dxa"/>
            <w:tcBorders>
              <w:top w:val="single" w:sz="4" w:space="0" w:color="C7CDD6"/>
              <w:left w:val="single" w:sz="4" w:space="0" w:color="C7CDD6"/>
              <w:bottom w:val="single" w:sz="4" w:space="0" w:color="C7CDD6"/>
              <w:right w:val="single" w:sz="4" w:space="0" w:color="C7CDD6"/>
            </w:tcBorders>
            <w:shd w:val="clear" w:color="auto" w:fill="F3F6FA"/>
            <w:tcMar>
              <w:top w:w="60" w:type="dxa"/>
              <w:left w:w="90" w:type="dxa"/>
              <w:bottom w:w="60" w:type="dxa"/>
              <w:right w:w="90" w:type="dxa"/>
            </w:tcMar>
          </w:tcPr>
          <w:p w14:paraId="509EA7CE" w14:textId="77777777" w:rsidR="002751F7" w:rsidRDefault="002751F7" w:rsidP="00C33AA4">
            <w:pPr>
              <w:spacing w:after="40" w:line="252" w:lineRule="auto"/>
            </w:pPr>
            <w:r>
              <w:rPr>
                <w:sz w:val="19"/>
                <w:szCs w:val="19"/>
              </w:rPr>
              <w:t>"Seamlessly connect users to a representative" at announcement</w:t>
            </w:r>
          </w:p>
        </w:tc>
        <w:tc>
          <w:tcPr>
            <w:tcW w:w="2110" w:type="dxa"/>
            <w:tcBorders>
              <w:top w:val="single" w:sz="4" w:space="0" w:color="C7CDD6"/>
              <w:left w:val="single" w:sz="4" w:space="0" w:color="C7CDD6"/>
              <w:bottom w:val="single" w:sz="4" w:space="0" w:color="C7CDD6"/>
              <w:right w:val="single" w:sz="4" w:space="0" w:color="C7CDD6"/>
            </w:tcBorders>
            <w:shd w:val="clear" w:color="auto" w:fill="F3F6FA"/>
            <w:tcMar>
              <w:top w:w="60" w:type="dxa"/>
              <w:left w:w="90" w:type="dxa"/>
              <w:bottom w:w="60" w:type="dxa"/>
              <w:right w:w="90" w:type="dxa"/>
            </w:tcMar>
          </w:tcPr>
          <w:p w14:paraId="71986BB1" w14:textId="77777777" w:rsidR="002751F7" w:rsidRDefault="002751F7" w:rsidP="00C33AA4">
            <w:pPr>
              <w:spacing w:after="40" w:line="252" w:lineRule="auto"/>
            </w:pPr>
            <w:r>
              <w:rPr>
                <w:sz w:val="19"/>
                <w:szCs w:val="19"/>
              </w:rPr>
              <w:t xml:space="preserve">No published deflection figure. Internal Wells Fargo data is the right source. </w:t>
            </w:r>
            <w:r>
              <w:rPr>
                <w:sz w:val="19"/>
                <w:szCs w:val="19"/>
                <w:highlight w:val="yellow"/>
              </w:rPr>
              <w:t>[INTERNAL DATA: Fargo call-deflection and escalation data, if shareable internally]</w:t>
            </w:r>
          </w:p>
        </w:tc>
      </w:tr>
      <w:tr w:rsidR="002751F7" w14:paraId="6C471EA4" w14:textId="77777777" w:rsidTr="00C33AA4">
        <w:tblPrEx>
          <w:tblCellMar>
            <w:top w:w="0" w:type="dxa"/>
            <w:bottom w:w="0" w:type="dxa"/>
          </w:tblCellMar>
        </w:tblPrEx>
        <w:trPr>
          <w:cantSplit/>
        </w:trPr>
        <w:tc>
          <w:tcPr>
            <w:tcW w:w="1700" w:type="dxa"/>
            <w:tcBorders>
              <w:top w:val="single" w:sz="4" w:space="0" w:color="C7CDD6"/>
              <w:left w:val="single" w:sz="4" w:space="0" w:color="C7CDD6"/>
              <w:bottom w:val="single" w:sz="4" w:space="0" w:color="C7CDD6"/>
              <w:right w:val="single" w:sz="4" w:space="0" w:color="C7CDD6"/>
            </w:tcBorders>
            <w:tcMar>
              <w:top w:w="60" w:type="dxa"/>
              <w:left w:w="90" w:type="dxa"/>
              <w:bottom w:w="60" w:type="dxa"/>
              <w:right w:w="90" w:type="dxa"/>
            </w:tcMar>
          </w:tcPr>
          <w:p w14:paraId="5E92CB15" w14:textId="77777777" w:rsidR="002751F7" w:rsidRDefault="002751F7" w:rsidP="00C33AA4">
            <w:pPr>
              <w:spacing w:after="40" w:line="252" w:lineRule="auto"/>
            </w:pPr>
            <w:r>
              <w:rPr>
                <w:sz w:val="19"/>
                <w:szCs w:val="19"/>
              </w:rPr>
              <w:t>Klarna (Feb 2024)</w:t>
            </w:r>
          </w:p>
        </w:tc>
        <w:tc>
          <w:tcPr>
            <w:tcW w:w="1250" w:type="dxa"/>
            <w:tcBorders>
              <w:top w:val="single" w:sz="4" w:space="0" w:color="C7CDD6"/>
              <w:left w:val="single" w:sz="4" w:space="0" w:color="C7CDD6"/>
              <w:bottom w:val="single" w:sz="4" w:space="0" w:color="C7CDD6"/>
              <w:right w:val="single" w:sz="4" w:space="0" w:color="C7CDD6"/>
            </w:tcBorders>
            <w:tcMar>
              <w:top w:w="60" w:type="dxa"/>
              <w:left w:w="90" w:type="dxa"/>
              <w:bottom w:w="60" w:type="dxa"/>
              <w:right w:w="90" w:type="dxa"/>
            </w:tcMar>
          </w:tcPr>
          <w:p w14:paraId="4085BB9F" w14:textId="77777777" w:rsidR="002751F7" w:rsidRDefault="002751F7" w:rsidP="00C33AA4">
            <w:pPr>
              <w:spacing w:after="40" w:line="252" w:lineRule="auto"/>
            </w:pPr>
            <w:r>
              <w:rPr>
                <w:sz w:val="19"/>
                <w:szCs w:val="19"/>
              </w:rPr>
              <w:t>Consumer fintech</w:t>
            </w:r>
          </w:p>
        </w:tc>
        <w:tc>
          <w:tcPr>
            <w:tcW w:w="2600" w:type="dxa"/>
            <w:tcBorders>
              <w:top w:val="single" w:sz="4" w:space="0" w:color="C7CDD6"/>
              <w:left w:val="single" w:sz="4" w:space="0" w:color="C7CDD6"/>
              <w:bottom w:val="single" w:sz="4" w:space="0" w:color="C7CDD6"/>
              <w:right w:val="single" w:sz="4" w:space="0" w:color="C7CDD6"/>
            </w:tcBorders>
            <w:tcMar>
              <w:top w:w="60" w:type="dxa"/>
              <w:left w:w="90" w:type="dxa"/>
              <w:bottom w:w="60" w:type="dxa"/>
              <w:right w:w="90" w:type="dxa"/>
            </w:tcMar>
          </w:tcPr>
          <w:p w14:paraId="657B982E" w14:textId="77777777" w:rsidR="002751F7" w:rsidRDefault="002751F7" w:rsidP="00C33AA4">
            <w:pPr>
              <w:spacing w:after="40" w:line="252" w:lineRule="auto"/>
            </w:pPr>
            <w:r>
              <w:rPr>
                <w:sz w:val="19"/>
                <w:szCs w:val="19"/>
              </w:rPr>
              <w:t>Broad scope from day one; later reintroduced human agents for complex cases</w:t>
            </w:r>
          </w:p>
        </w:tc>
        <w:tc>
          <w:tcPr>
            <w:tcW w:w="1700" w:type="dxa"/>
            <w:tcBorders>
              <w:top w:val="single" w:sz="4" w:space="0" w:color="C7CDD6"/>
              <w:left w:val="single" w:sz="4" w:space="0" w:color="C7CDD6"/>
              <w:bottom w:val="single" w:sz="4" w:space="0" w:color="C7CDD6"/>
              <w:right w:val="single" w:sz="4" w:space="0" w:color="C7CDD6"/>
            </w:tcBorders>
            <w:tcMar>
              <w:top w:w="60" w:type="dxa"/>
              <w:left w:w="90" w:type="dxa"/>
              <w:bottom w:w="60" w:type="dxa"/>
              <w:right w:w="90" w:type="dxa"/>
            </w:tcMar>
          </w:tcPr>
          <w:p w14:paraId="5189F93F" w14:textId="77777777" w:rsidR="002751F7" w:rsidRDefault="002751F7" w:rsidP="00C33AA4">
            <w:pPr>
              <w:spacing w:after="40" w:line="252" w:lineRule="auto"/>
            </w:pPr>
            <w:r>
              <w:rPr>
                <w:sz w:val="19"/>
                <w:szCs w:val="19"/>
              </w:rPr>
              <w:t>Initially weak; restored in 2025</w:t>
            </w:r>
          </w:p>
        </w:tc>
        <w:tc>
          <w:tcPr>
            <w:tcW w:w="2110" w:type="dxa"/>
            <w:tcBorders>
              <w:top w:val="single" w:sz="4" w:space="0" w:color="C7CDD6"/>
              <w:left w:val="single" w:sz="4" w:space="0" w:color="C7CDD6"/>
              <w:bottom w:val="single" w:sz="4" w:space="0" w:color="C7CDD6"/>
              <w:right w:val="single" w:sz="4" w:space="0" w:color="C7CDD6"/>
            </w:tcBorders>
            <w:tcMar>
              <w:top w:w="60" w:type="dxa"/>
              <w:left w:w="90" w:type="dxa"/>
              <w:bottom w:w="60" w:type="dxa"/>
              <w:right w:w="90" w:type="dxa"/>
            </w:tcMar>
          </w:tcPr>
          <w:p w14:paraId="352BCC3D" w14:textId="77777777" w:rsidR="002751F7" w:rsidRDefault="002751F7" w:rsidP="00C33AA4">
            <w:pPr>
              <w:spacing w:after="40" w:line="252" w:lineRule="auto"/>
            </w:pPr>
            <w:r>
              <w:rPr>
                <w:sz w:val="19"/>
                <w:szCs w:val="19"/>
              </w:rPr>
              <w:t>First-month: two-thirds of chats, 25% fewer repeat inquiries (company claims). CEO acknowledged quality loss in May 2025.</w:t>
            </w:r>
          </w:p>
        </w:tc>
      </w:tr>
      <w:tr w:rsidR="002751F7" w14:paraId="467DD5EA" w14:textId="77777777" w:rsidTr="00C33AA4">
        <w:tblPrEx>
          <w:tblCellMar>
            <w:top w:w="0" w:type="dxa"/>
            <w:bottom w:w="0" w:type="dxa"/>
          </w:tblCellMar>
        </w:tblPrEx>
        <w:trPr>
          <w:cantSplit/>
        </w:trPr>
        <w:tc>
          <w:tcPr>
            <w:tcW w:w="1700" w:type="dxa"/>
            <w:tcBorders>
              <w:top w:val="single" w:sz="4" w:space="0" w:color="C7CDD6"/>
              <w:left w:val="single" w:sz="4" w:space="0" w:color="C7CDD6"/>
              <w:bottom w:val="single" w:sz="4" w:space="0" w:color="C7CDD6"/>
              <w:right w:val="single" w:sz="4" w:space="0" w:color="C7CDD6"/>
            </w:tcBorders>
            <w:shd w:val="clear" w:color="auto" w:fill="F3F6FA"/>
            <w:tcMar>
              <w:top w:w="60" w:type="dxa"/>
              <w:left w:w="90" w:type="dxa"/>
              <w:bottom w:w="60" w:type="dxa"/>
              <w:right w:w="90" w:type="dxa"/>
            </w:tcMar>
          </w:tcPr>
          <w:p w14:paraId="7F6F7BA6" w14:textId="77777777" w:rsidR="002751F7" w:rsidRDefault="002751F7" w:rsidP="00C33AA4">
            <w:pPr>
              <w:spacing w:after="40" w:line="252" w:lineRule="auto"/>
            </w:pPr>
            <w:r>
              <w:rPr>
                <w:sz w:val="19"/>
                <w:szCs w:val="19"/>
              </w:rPr>
              <w:lastRenderedPageBreak/>
              <w:t>Morgan Stanley (2023)</w:t>
            </w:r>
          </w:p>
        </w:tc>
        <w:tc>
          <w:tcPr>
            <w:tcW w:w="1250" w:type="dxa"/>
            <w:tcBorders>
              <w:top w:val="single" w:sz="4" w:space="0" w:color="C7CDD6"/>
              <w:left w:val="single" w:sz="4" w:space="0" w:color="C7CDD6"/>
              <w:bottom w:val="single" w:sz="4" w:space="0" w:color="C7CDD6"/>
              <w:right w:val="single" w:sz="4" w:space="0" w:color="C7CDD6"/>
            </w:tcBorders>
            <w:shd w:val="clear" w:color="auto" w:fill="F3F6FA"/>
            <w:tcMar>
              <w:top w:w="60" w:type="dxa"/>
              <w:left w:w="90" w:type="dxa"/>
              <w:bottom w:w="60" w:type="dxa"/>
              <w:right w:w="90" w:type="dxa"/>
            </w:tcMar>
          </w:tcPr>
          <w:p w14:paraId="72E79C18" w14:textId="77777777" w:rsidR="002751F7" w:rsidRDefault="002751F7" w:rsidP="00C33AA4">
            <w:pPr>
              <w:spacing w:after="40" w:line="252" w:lineRule="auto"/>
            </w:pPr>
            <w:r>
              <w:rPr>
                <w:sz w:val="19"/>
                <w:szCs w:val="19"/>
              </w:rPr>
              <w:t>Wealth advisors (internal)</w:t>
            </w:r>
          </w:p>
        </w:tc>
        <w:tc>
          <w:tcPr>
            <w:tcW w:w="2600" w:type="dxa"/>
            <w:tcBorders>
              <w:top w:val="single" w:sz="4" w:space="0" w:color="C7CDD6"/>
              <w:left w:val="single" w:sz="4" w:space="0" w:color="C7CDD6"/>
              <w:bottom w:val="single" w:sz="4" w:space="0" w:color="C7CDD6"/>
              <w:right w:val="single" w:sz="4" w:space="0" w:color="C7CDD6"/>
            </w:tcBorders>
            <w:shd w:val="clear" w:color="auto" w:fill="F3F6FA"/>
            <w:tcMar>
              <w:top w:w="60" w:type="dxa"/>
              <w:left w:w="90" w:type="dxa"/>
              <w:bottom w:w="60" w:type="dxa"/>
              <w:right w:w="90" w:type="dxa"/>
            </w:tcMar>
          </w:tcPr>
          <w:p w14:paraId="3A5C2A3F" w14:textId="77777777" w:rsidR="002751F7" w:rsidRDefault="002751F7" w:rsidP="00C33AA4">
            <w:pPr>
              <w:spacing w:after="40" w:line="252" w:lineRule="auto"/>
            </w:pPr>
            <w:r>
              <w:rPr>
                <w:sz w:val="19"/>
                <w:szCs w:val="19"/>
              </w:rPr>
              <w:t>Internal-first; 98% advisor-team adoption; scope grew from 7,000 questions to a 100,000-document corpus</w:t>
            </w:r>
          </w:p>
        </w:tc>
        <w:tc>
          <w:tcPr>
            <w:tcW w:w="1700" w:type="dxa"/>
            <w:tcBorders>
              <w:top w:val="single" w:sz="4" w:space="0" w:color="C7CDD6"/>
              <w:left w:val="single" w:sz="4" w:space="0" w:color="C7CDD6"/>
              <w:bottom w:val="single" w:sz="4" w:space="0" w:color="C7CDD6"/>
              <w:right w:val="single" w:sz="4" w:space="0" w:color="C7CDD6"/>
            </w:tcBorders>
            <w:shd w:val="clear" w:color="auto" w:fill="F3F6FA"/>
            <w:tcMar>
              <w:top w:w="60" w:type="dxa"/>
              <w:left w:w="90" w:type="dxa"/>
              <w:bottom w:w="60" w:type="dxa"/>
              <w:right w:w="90" w:type="dxa"/>
            </w:tcMar>
          </w:tcPr>
          <w:p w14:paraId="7CCD9185" w14:textId="77777777" w:rsidR="002751F7" w:rsidRDefault="002751F7" w:rsidP="00C33AA4">
            <w:pPr>
              <w:spacing w:after="40" w:line="252" w:lineRule="auto"/>
            </w:pPr>
            <w:r>
              <w:rPr>
                <w:sz w:val="19"/>
                <w:szCs w:val="19"/>
              </w:rPr>
              <w:t>Advisor in the loop</w:t>
            </w:r>
          </w:p>
        </w:tc>
        <w:tc>
          <w:tcPr>
            <w:tcW w:w="2110" w:type="dxa"/>
            <w:tcBorders>
              <w:top w:val="single" w:sz="4" w:space="0" w:color="C7CDD6"/>
              <w:left w:val="single" w:sz="4" w:space="0" w:color="C7CDD6"/>
              <w:bottom w:val="single" w:sz="4" w:space="0" w:color="C7CDD6"/>
              <w:right w:val="single" w:sz="4" w:space="0" w:color="C7CDD6"/>
            </w:tcBorders>
            <w:shd w:val="clear" w:color="auto" w:fill="F3F6FA"/>
            <w:tcMar>
              <w:top w:w="60" w:type="dxa"/>
              <w:left w:w="90" w:type="dxa"/>
              <w:bottom w:w="60" w:type="dxa"/>
              <w:right w:w="90" w:type="dxa"/>
            </w:tcMar>
          </w:tcPr>
          <w:p w14:paraId="755484F6" w14:textId="77777777" w:rsidR="002751F7" w:rsidRDefault="002751F7" w:rsidP="00C33AA4">
            <w:pPr>
              <w:spacing w:after="40" w:line="252" w:lineRule="auto"/>
            </w:pPr>
            <w:r>
              <w:rPr>
                <w:sz w:val="19"/>
                <w:szCs w:val="19"/>
              </w:rPr>
              <w:t>Not applicable (internal).</w:t>
            </w:r>
          </w:p>
        </w:tc>
      </w:tr>
    </w:tbl>
    <w:p w14:paraId="5BEEC7BA" w14:textId="77777777" w:rsidR="002751F7" w:rsidRDefault="002751F7">
      <w:pPr>
        <w:rPr>
          <w:lang w:val="en-US"/>
        </w:rPr>
      </w:pPr>
    </w:p>
    <w:p w14:paraId="1BA5F4EA" w14:textId="77777777" w:rsidR="002751F7" w:rsidRDefault="002751F7">
      <w:pPr>
        <w:rPr>
          <w:lang w:val="en-US"/>
        </w:rPr>
      </w:pPr>
    </w:p>
    <w:p w14:paraId="13D4E9D9" w14:textId="77777777" w:rsidR="002751F7" w:rsidRDefault="002751F7" w:rsidP="002751F7">
      <w:pPr>
        <w:pStyle w:val="Heading1"/>
        <w:pBdr>
          <w:bottom w:val="single" w:sz="6" w:space="4" w:color="C9A961"/>
        </w:pBdr>
        <w:spacing w:after="160"/>
      </w:pPr>
      <w:r>
        <w:rPr>
          <w:rFonts w:ascii="Trebuchet MS" w:eastAsia="Trebuchet MS" w:hAnsi="Trebuchet MS" w:cs="Trebuchet MS"/>
          <w:b/>
          <w:bCs/>
          <w:color w:val="0F2D52"/>
          <w:sz w:val="32"/>
          <w:szCs w:val="32"/>
        </w:rPr>
        <w:t>Case study: BofA CashPro Chat</w:t>
      </w:r>
    </w:p>
    <w:p w14:paraId="6A1BEADE" w14:textId="77777777" w:rsidR="002751F7" w:rsidRDefault="002751F7" w:rsidP="002751F7">
      <w:pPr>
        <w:spacing w:after="120" w:line="276" w:lineRule="auto"/>
      </w:pPr>
      <w:r>
        <w:t>The closest commercial-banking analogue to Vantage Assistant. Everything below is BofA-reported unless stated; BofA has not published a controlled measurement.</w:t>
      </w:r>
    </w:p>
    <w:p w14:paraId="4C0E39F6" w14:textId="77777777" w:rsidR="002751F7" w:rsidRDefault="002751F7" w:rsidP="002751F7">
      <w:pPr>
        <w:pStyle w:val="Heading2"/>
        <w:spacing w:before="240" w:after="100"/>
      </w:pPr>
      <w:r>
        <w:rPr>
          <w:rFonts w:ascii="Trebuchet MS" w:eastAsia="Trebuchet MS" w:hAnsi="Trebuchet MS" w:cs="Trebuchet MS"/>
          <w:b/>
          <w:bCs/>
          <w:color w:val="1E3A5F"/>
          <w:sz w:val="26"/>
          <w:szCs w:val="26"/>
        </w:rPr>
        <w:t>6.1 What it is and what it does</w:t>
      </w:r>
    </w:p>
    <w:p w14:paraId="58D2811C" w14:textId="77777777" w:rsidR="002751F7" w:rsidRDefault="002751F7" w:rsidP="002751F7">
      <w:pPr>
        <w:pStyle w:val="ListParagraph"/>
        <w:numPr>
          <w:ilvl w:val="0"/>
          <w:numId w:val="1"/>
        </w:numPr>
        <w:spacing w:after="60" w:line="276" w:lineRule="auto"/>
        <w:contextualSpacing w:val="0"/>
      </w:pPr>
      <w:r>
        <w:t>CashPro Chat was already one of the most heavily used service functions on the CashPro platform (live chat with service advisors) before September 2023, when BofA added the AI and machine-learning capabilities behind Erica, its consumer assistant.</w:t>
      </w:r>
    </w:p>
    <w:p w14:paraId="1EAFFAD9" w14:textId="77777777" w:rsidR="002751F7" w:rsidRDefault="002751F7" w:rsidP="002751F7">
      <w:pPr>
        <w:pStyle w:val="ListParagraph"/>
        <w:numPr>
          <w:ilvl w:val="0"/>
          <w:numId w:val="1"/>
        </w:numPr>
        <w:spacing w:after="60" w:line="276" w:lineRule="auto"/>
        <w:contextualSpacing w:val="0"/>
      </w:pPr>
      <w:r>
        <w:t>Published capabilities: view transactions, find account information, navigate the platform, transaction tracking and service resolution; complex requests routed to specialised service teams.</w:t>
      </w:r>
    </w:p>
    <w:p w14:paraId="60370AFB" w14:textId="77777777" w:rsidR="002751F7" w:rsidRDefault="002751F7" w:rsidP="002751F7">
      <w:pPr>
        <w:pStyle w:val="ListParagraph"/>
        <w:numPr>
          <w:ilvl w:val="0"/>
          <w:numId w:val="1"/>
        </w:numPr>
        <w:spacing w:after="60" w:line="276" w:lineRule="auto"/>
        <w:contextualSpacing w:val="0"/>
      </w:pPr>
      <w:r>
        <w:t>24/7 availability with intelligent advisor routing to live experts available 24/5, average response under 30 seconds (October 2025).</w:t>
      </w:r>
    </w:p>
    <w:p w14:paraId="3AAD2935" w14:textId="77777777" w:rsidR="002751F7" w:rsidRDefault="002751F7" w:rsidP="002751F7">
      <w:pPr>
        <w:pStyle w:val="ListParagraph"/>
        <w:numPr>
          <w:ilvl w:val="0"/>
          <w:numId w:val="1"/>
        </w:numPr>
        <w:spacing w:after="60" w:line="276" w:lineRule="auto"/>
        <w:contextualSpacing w:val="0"/>
      </w:pPr>
      <w:r>
        <w:t xml:space="preserve">Companion tool </w:t>
      </w:r>
      <w:r>
        <w:rPr>
          <w:b/>
          <w:bCs/>
        </w:rPr>
        <w:t>CashPro Search</w:t>
      </w:r>
      <w:r>
        <w:t xml:space="preserve"> (launched early 2023): finds a specific transaction across potentially hundreds of accounts and validates payment status across payment types; routes inquiries to service teams with real-time tracking.</w:t>
      </w:r>
    </w:p>
    <w:p w14:paraId="2012B0EB" w14:textId="77777777" w:rsidR="002751F7" w:rsidRDefault="002751F7" w:rsidP="002751F7">
      <w:pPr>
        <w:pStyle w:val="ListParagraph"/>
        <w:numPr>
          <w:ilvl w:val="0"/>
          <w:numId w:val="1"/>
        </w:numPr>
        <w:spacing w:after="60" w:line="276" w:lineRule="auto"/>
        <w:contextualSpacing w:val="0"/>
      </w:pPr>
      <w:r>
        <w:t>Roadmap (October 2025): credit inquiries through CashPro Chat and streamlined workflows for routine treasury tasks.</w:t>
      </w:r>
    </w:p>
    <w:p w14:paraId="0819F8F9" w14:textId="77777777" w:rsidR="002751F7" w:rsidRDefault="002751F7" w:rsidP="002751F7">
      <w:pPr>
        <w:pStyle w:val="ListParagraph"/>
        <w:numPr>
          <w:ilvl w:val="0"/>
          <w:numId w:val="1"/>
        </w:numPr>
        <w:spacing w:after="60" w:line="276" w:lineRule="auto"/>
        <w:contextualSpacing w:val="0"/>
      </w:pPr>
      <w:r>
        <w:t>Not published: whether it uses a large language model or Erica's earlier NLU stack, how out-of-scope questions are handled, error rates, or any negative learnings.</w:t>
      </w:r>
    </w:p>
    <w:p w14:paraId="67711483" w14:textId="77777777" w:rsidR="002751F7" w:rsidRDefault="002751F7" w:rsidP="002751F7">
      <w:pPr>
        <w:pStyle w:val="Heading2"/>
        <w:spacing w:before="240" w:after="100"/>
      </w:pPr>
      <w:r>
        <w:rPr>
          <w:rFonts w:ascii="Trebuchet MS" w:eastAsia="Trebuchet MS" w:hAnsi="Trebuchet MS" w:cs="Trebuchet MS"/>
          <w:b/>
          <w:bCs/>
          <w:color w:val="1E3A5F"/>
          <w:sz w:val="26"/>
          <w:szCs w:val="26"/>
        </w:rPr>
        <w:t>6.2 Who it is for</w:t>
      </w:r>
    </w:p>
    <w:p w14:paraId="782CDE4C" w14:textId="77777777" w:rsidR="002751F7" w:rsidRDefault="002751F7" w:rsidP="002751F7">
      <w:pPr>
        <w:spacing w:after="120" w:line="276" w:lineRule="auto"/>
      </w:pPr>
      <w:r>
        <w:t>All CashPro users, with no segment carve-out found: business, commercial and corporate clients. CashPro was described as used by more than 40,000 corporate and commercial clients (2023) and by mid- to large-sized businesses in more than 145 jurisdictions (March 2026); a September 2026 trade article cites more than 35,000, which could not be reconciled. No verified evidence of a phased or cohort rollout; the 2023 launch reads as platform-wide.</w:t>
      </w:r>
    </w:p>
    <w:p w14:paraId="6C58FB59" w14:textId="77777777" w:rsidR="002751F7" w:rsidRDefault="002751F7" w:rsidP="002751F7">
      <w:pPr>
        <w:pStyle w:val="Heading2"/>
        <w:spacing w:before="240" w:after="100"/>
      </w:pPr>
      <w:r>
        <w:rPr>
          <w:rFonts w:ascii="Trebuchet MS" w:eastAsia="Trebuchet MS" w:hAnsi="Trebuchet MS" w:cs="Trebuchet MS"/>
          <w:b/>
          <w:bCs/>
          <w:color w:val="1E3A5F"/>
          <w:sz w:val="26"/>
          <w:szCs w:val="26"/>
        </w:rPr>
        <w:t>6.3 Adoption metrics (company-reported)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5360"/>
        <w:gridCol w:w="2500"/>
      </w:tblGrid>
      <w:tr w:rsidR="002751F7" w14:paraId="78FC0D2F" w14:textId="77777777" w:rsidTr="00C33AA4">
        <w:tblPrEx>
          <w:tblCellMar>
            <w:top w:w="0" w:type="dxa"/>
            <w:bottom w:w="0" w:type="dxa"/>
          </w:tblCellMar>
        </w:tblPrEx>
        <w:trPr>
          <w:cantSplit/>
          <w:tblHeader/>
        </w:trPr>
        <w:tc>
          <w:tcPr>
            <w:tcW w:w="1500" w:type="dxa"/>
            <w:tcBorders>
              <w:top w:val="single" w:sz="4" w:space="0" w:color="C7CDD6"/>
              <w:left w:val="single" w:sz="4" w:space="0" w:color="C7CDD6"/>
              <w:bottom w:val="single" w:sz="4" w:space="0" w:color="C7CDD6"/>
              <w:right w:val="single" w:sz="4" w:space="0" w:color="C7CDD6"/>
            </w:tcBorders>
            <w:shd w:val="clear" w:color="auto" w:fill="0F2D52"/>
            <w:tcMar>
              <w:top w:w="60" w:type="dxa"/>
              <w:left w:w="90" w:type="dxa"/>
              <w:bottom w:w="60" w:type="dxa"/>
              <w:right w:w="90" w:type="dxa"/>
            </w:tcMar>
          </w:tcPr>
          <w:p w14:paraId="2CAF7B32" w14:textId="77777777" w:rsidR="002751F7" w:rsidRDefault="002751F7" w:rsidP="00C33AA4">
            <w:pPr>
              <w:spacing w:after="40" w:line="252" w:lineRule="auto"/>
            </w:pPr>
            <w:r>
              <w:rPr>
                <w:rFonts w:ascii="Trebuchet MS" w:eastAsia="Trebuchet MS" w:hAnsi="Trebuchet MS" w:cs="Trebuchet MS"/>
                <w:b/>
                <w:bCs/>
                <w:color w:val="FFFFFF"/>
                <w:sz w:val="19"/>
                <w:szCs w:val="19"/>
              </w:rPr>
              <w:t>Date</w:t>
            </w:r>
          </w:p>
        </w:tc>
        <w:tc>
          <w:tcPr>
            <w:tcW w:w="5360" w:type="dxa"/>
            <w:tcBorders>
              <w:top w:val="single" w:sz="4" w:space="0" w:color="C7CDD6"/>
              <w:left w:val="single" w:sz="4" w:space="0" w:color="C7CDD6"/>
              <w:bottom w:val="single" w:sz="4" w:space="0" w:color="C7CDD6"/>
              <w:right w:val="single" w:sz="4" w:space="0" w:color="C7CDD6"/>
            </w:tcBorders>
            <w:shd w:val="clear" w:color="auto" w:fill="0F2D52"/>
            <w:tcMar>
              <w:top w:w="60" w:type="dxa"/>
              <w:left w:w="90" w:type="dxa"/>
              <w:bottom w:w="60" w:type="dxa"/>
              <w:right w:w="90" w:type="dxa"/>
            </w:tcMar>
          </w:tcPr>
          <w:p w14:paraId="6315FC5D" w14:textId="77777777" w:rsidR="002751F7" w:rsidRDefault="002751F7" w:rsidP="00C33AA4">
            <w:pPr>
              <w:spacing w:after="40" w:line="252" w:lineRule="auto"/>
            </w:pPr>
            <w:r>
              <w:rPr>
                <w:rFonts w:ascii="Trebuchet MS" w:eastAsia="Trebuchet MS" w:hAnsi="Trebuchet MS" w:cs="Trebuchet MS"/>
                <w:b/>
                <w:bCs/>
                <w:color w:val="FFFFFF"/>
                <w:sz w:val="19"/>
                <w:szCs w:val="19"/>
              </w:rPr>
              <w:t>Metric</w:t>
            </w:r>
          </w:p>
        </w:tc>
        <w:tc>
          <w:tcPr>
            <w:tcW w:w="2500" w:type="dxa"/>
            <w:tcBorders>
              <w:top w:val="single" w:sz="4" w:space="0" w:color="C7CDD6"/>
              <w:left w:val="single" w:sz="4" w:space="0" w:color="C7CDD6"/>
              <w:bottom w:val="single" w:sz="4" w:space="0" w:color="C7CDD6"/>
              <w:right w:val="single" w:sz="4" w:space="0" w:color="C7CDD6"/>
            </w:tcBorders>
            <w:shd w:val="clear" w:color="auto" w:fill="0F2D52"/>
            <w:tcMar>
              <w:top w:w="60" w:type="dxa"/>
              <w:left w:w="90" w:type="dxa"/>
              <w:bottom w:w="60" w:type="dxa"/>
              <w:right w:w="90" w:type="dxa"/>
            </w:tcMar>
          </w:tcPr>
          <w:p w14:paraId="5D7F5566" w14:textId="77777777" w:rsidR="002751F7" w:rsidRDefault="002751F7" w:rsidP="00C33AA4">
            <w:pPr>
              <w:spacing w:after="40" w:line="252" w:lineRule="auto"/>
            </w:pPr>
            <w:r>
              <w:rPr>
                <w:rFonts w:ascii="Trebuchet MS" w:eastAsia="Trebuchet MS" w:hAnsi="Trebuchet MS" w:cs="Trebuchet MS"/>
                <w:b/>
                <w:bCs/>
                <w:color w:val="FFFFFF"/>
                <w:sz w:val="19"/>
                <w:szCs w:val="19"/>
              </w:rPr>
              <w:t>Source</w:t>
            </w:r>
          </w:p>
        </w:tc>
      </w:tr>
      <w:tr w:rsidR="002751F7" w14:paraId="68AFD147" w14:textId="77777777" w:rsidTr="00C33AA4">
        <w:tblPrEx>
          <w:tblCellMar>
            <w:top w:w="0" w:type="dxa"/>
            <w:bottom w:w="0" w:type="dxa"/>
          </w:tblCellMar>
        </w:tblPrEx>
        <w:trPr>
          <w:cantSplit/>
        </w:trPr>
        <w:tc>
          <w:tcPr>
            <w:tcW w:w="1500" w:type="dxa"/>
            <w:tcBorders>
              <w:top w:val="single" w:sz="4" w:space="0" w:color="C7CDD6"/>
              <w:left w:val="single" w:sz="4" w:space="0" w:color="C7CDD6"/>
              <w:bottom w:val="single" w:sz="4" w:space="0" w:color="C7CDD6"/>
              <w:right w:val="single" w:sz="4" w:space="0" w:color="C7CDD6"/>
            </w:tcBorders>
            <w:tcMar>
              <w:top w:w="60" w:type="dxa"/>
              <w:left w:w="90" w:type="dxa"/>
              <w:bottom w:w="60" w:type="dxa"/>
              <w:right w:w="90" w:type="dxa"/>
            </w:tcMar>
          </w:tcPr>
          <w:p w14:paraId="7892A9D3" w14:textId="77777777" w:rsidR="002751F7" w:rsidRDefault="002751F7" w:rsidP="00C33AA4">
            <w:pPr>
              <w:spacing w:after="40" w:line="252" w:lineRule="auto"/>
            </w:pPr>
            <w:r>
              <w:rPr>
                <w:sz w:val="19"/>
                <w:szCs w:val="19"/>
              </w:rPr>
              <w:t>Sept 2023</w:t>
            </w:r>
          </w:p>
        </w:tc>
        <w:tc>
          <w:tcPr>
            <w:tcW w:w="5360" w:type="dxa"/>
            <w:tcBorders>
              <w:top w:val="single" w:sz="4" w:space="0" w:color="C7CDD6"/>
              <w:left w:val="single" w:sz="4" w:space="0" w:color="C7CDD6"/>
              <w:bottom w:val="single" w:sz="4" w:space="0" w:color="C7CDD6"/>
              <w:right w:val="single" w:sz="4" w:space="0" w:color="C7CDD6"/>
            </w:tcBorders>
            <w:tcMar>
              <w:top w:w="60" w:type="dxa"/>
              <w:left w:w="90" w:type="dxa"/>
              <w:bottom w:w="60" w:type="dxa"/>
              <w:right w:w="90" w:type="dxa"/>
            </w:tcMar>
          </w:tcPr>
          <w:p w14:paraId="2D89F71E" w14:textId="77777777" w:rsidR="002751F7" w:rsidRDefault="002751F7" w:rsidP="00C33AA4">
            <w:pPr>
              <w:spacing w:after="40" w:line="252" w:lineRule="auto"/>
            </w:pPr>
            <w:r>
              <w:rPr>
                <w:sz w:val="19"/>
                <w:szCs w:val="19"/>
              </w:rPr>
              <w:t>Chat volume up 41% versus the 2023 weekly average after Erica integration (chat usage, not phone calls).</w:t>
            </w:r>
          </w:p>
        </w:tc>
        <w:tc>
          <w:tcPr>
            <w:tcW w:w="2500" w:type="dxa"/>
            <w:tcBorders>
              <w:top w:val="single" w:sz="4" w:space="0" w:color="C7CDD6"/>
              <w:left w:val="single" w:sz="4" w:space="0" w:color="C7CDD6"/>
              <w:bottom w:val="single" w:sz="4" w:space="0" w:color="C7CDD6"/>
              <w:right w:val="single" w:sz="4" w:space="0" w:color="C7CDD6"/>
            </w:tcBorders>
            <w:tcMar>
              <w:top w:w="60" w:type="dxa"/>
              <w:left w:w="90" w:type="dxa"/>
              <w:bottom w:w="60" w:type="dxa"/>
              <w:right w:w="90" w:type="dxa"/>
            </w:tcMar>
          </w:tcPr>
          <w:p w14:paraId="20DA104B" w14:textId="77777777" w:rsidR="002751F7" w:rsidRDefault="002751F7" w:rsidP="00C33AA4">
            <w:pPr>
              <w:spacing w:after="40" w:line="252" w:lineRule="auto"/>
            </w:pPr>
            <w:r>
              <w:rPr>
                <w:sz w:val="19"/>
                <w:szCs w:val="19"/>
              </w:rPr>
              <w:t>BofA press release</w:t>
            </w:r>
          </w:p>
        </w:tc>
      </w:tr>
      <w:tr w:rsidR="002751F7" w14:paraId="52D50148" w14:textId="77777777" w:rsidTr="00C33AA4">
        <w:tblPrEx>
          <w:tblCellMar>
            <w:top w:w="0" w:type="dxa"/>
            <w:bottom w:w="0" w:type="dxa"/>
          </w:tblCellMar>
        </w:tblPrEx>
        <w:trPr>
          <w:cantSplit/>
        </w:trPr>
        <w:tc>
          <w:tcPr>
            <w:tcW w:w="1500" w:type="dxa"/>
            <w:tcBorders>
              <w:top w:val="single" w:sz="4" w:space="0" w:color="C7CDD6"/>
              <w:left w:val="single" w:sz="4" w:space="0" w:color="C7CDD6"/>
              <w:bottom w:val="single" w:sz="4" w:space="0" w:color="C7CDD6"/>
              <w:right w:val="single" w:sz="4" w:space="0" w:color="C7CDD6"/>
            </w:tcBorders>
            <w:shd w:val="clear" w:color="auto" w:fill="F3F6FA"/>
            <w:tcMar>
              <w:top w:w="60" w:type="dxa"/>
              <w:left w:w="90" w:type="dxa"/>
              <w:bottom w:w="60" w:type="dxa"/>
              <w:right w:w="90" w:type="dxa"/>
            </w:tcMar>
          </w:tcPr>
          <w:p w14:paraId="3BFC8E4C" w14:textId="77777777" w:rsidR="002751F7" w:rsidRDefault="002751F7" w:rsidP="00C33AA4">
            <w:pPr>
              <w:spacing w:after="40" w:line="252" w:lineRule="auto"/>
            </w:pPr>
            <w:r>
              <w:rPr>
                <w:sz w:val="19"/>
                <w:szCs w:val="19"/>
              </w:rPr>
              <w:t>Feb 2025</w:t>
            </w:r>
          </w:p>
        </w:tc>
        <w:tc>
          <w:tcPr>
            <w:tcW w:w="5360" w:type="dxa"/>
            <w:tcBorders>
              <w:top w:val="single" w:sz="4" w:space="0" w:color="C7CDD6"/>
              <w:left w:val="single" w:sz="4" w:space="0" w:color="C7CDD6"/>
              <w:bottom w:val="single" w:sz="4" w:space="0" w:color="C7CDD6"/>
              <w:right w:val="single" w:sz="4" w:space="0" w:color="C7CDD6"/>
            </w:tcBorders>
            <w:shd w:val="clear" w:color="auto" w:fill="F3F6FA"/>
            <w:tcMar>
              <w:top w:w="60" w:type="dxa"/>
              <w:left w:w="90" w:type="dxa"/>
              <w:bottom w:w="60" w:type="dxa"/>
              <w:right w:w="90" w:type="dxa"/>
            </w:tcMar>
          </w:tcPr>
          <w:p w14:paraId="62EBDCF6" w14:textId="77777777" w:rsidR="002751F7" w:rsidRDefault="002751F7" w:rsidP="00C33AA4">
            <w:pPr>
              <w:spacing w:after="40" w:line="252" w:lineRule="auto"/>
            </w:pPr>
            <w:r>
              <w:rPr>
                <w:sz w:val="19"/>
                <w:szCs w:val="19"/>
              </w:rPr>
              <w:t>More than half of corporate clients had used CashPro Chat; the questions it can assist with had more than doubled since the 2023 launch.</w:t>
            </w:r>
          </w:p>
        </w:tc>
        <w:tc>
          <w:tcPr>
            <w:tcW w:w="2500" w:type="dxa"/>
            <w:tcBorders>
              <w:top w:val="single" w:sz="4" w:space="0" w:color="C7CDD6"/>
              <w:left w:val="single" w:sz="4" w:space="0" w:color="C7CDD6"/>
              <w:bottom w:val="single" w:sz="4" w:space="0" w:color="C7CDD6"/>
              <w:right w:val="single" w:sz="4" w:space="0" w:color="C7CDD6"/>
            </w:tcBorders>
            <w:shd w:val="clear" w:color="auto" w:fill="F3F6FA"/>
            <w:tcMar>
              <w:top w:w="60" w:type="dxa"/>
              <w:left w:w="90" w:type="dxa"/>
              <w:bottom w:w="60" w:type="dxa"/>
              <w:right w:w="90" w:type="dxa"/>
            </w:tcMar>
          </w:tcPr>
          <w:p w14:paraId="0D88C407" w14:textId="77777777" w:rsidR="002751F7" w:rsidRDefault="002751F7" w:rsidP="00C33AA4">
            <w:pPr>
              <w:spacing w:after="40" w:line="252" w:lineRule="auto"/>
            </w:pPr>
            <w:r>
              <w:rPr>
                <w:sz w:val="19"/>
                <w:szCs w:val="19"/>
              </w:rPr>
              <w:t>BofA press release</w:t>
            </w:r>
          </w:p>
        </w:tc>
      </w:tr>
      <w:tr w:rsidR="002751F7" w14:paraId="7EB2722A" w14:textId="77777777" w:rsidTr="00C33AA4">
        <w:tblPrEx>
          <w:tblCellMar>
            <w:top w:w="0" w:type="dxa"/>
            <w:bottom w:w="0" w:type="dxa"/>
          </w:tblCellMar>
        </w:tblPrEx>
        <w:trPr>
          <w:cantSplit/>
        </w:trPr>
        <w:tc>
          <w:tcPr>
            <w:tcW w:w="1500" w:type="dxa"/>
            <w:tcBorders>
              <w:top w:val="single" w:sz="4" w:space="0" w:color="C7CDD6"/>
              <w:left w:val="single" w:sz="4" w:space="0" w:color="C7CDD6"/>
              <w:bottom w:val="single" w:sz="4" w:space="0" w:color="C7CDD6"/>
              <w:right w:val="single" w:sz="4" w:space="0" w:color="C7CDD6"/>
            </w:tcBorders>
            <w:tcMar>
              <w:top w:w="60" w:type="dxa"/>
              <w:left w:w="90" w:type="dxa"/>
              <w:bottom w:w="60" w:type="dxa"/>
              <w:right w:w="90" w:type="dxa"/>
            </w:tcMar>
          </w:tcPr>
          <w:p w14:paraId="509EFE99" w14:textId="77777777" w:rsidR="002751F7" w:rsidRDefault="002751F7" w:rsidP="00C33AA4">
            <w:pPr>
              <w:spacing w:after="40" w:line="252" w:lineRule="auto"/>
            </w:pPr>
            <w:r>
              <w:rPr>
                <w:sz w:val="19"/>
                <w:szCs w:val="19"/>
              </w:rPr>
              <w:lastRenderedPageBreak/>
              <w:t>Aug 2025</w:t>
            </w:r>
          </w:p>
        </w:tc>
        <w:tc>
          <w:tcPr>
            <w:tcW w:w="5360" w:type="dxa"/>
            <w:tcBorders>
              <w:top w:val="single" w:sz="4" w:space="0" w:color="C7CDD6"/>
              <w:left w:val="single" w:sz="4" w:space="0" w:color="C7CDD6"/>
              <w:bottom w:val="single" w:sz="4" w:space="0" w:color="C7CDD6"/>
              <w:right w:val="single" w:sz="4" w:space="0" w:color="C7CDD6"/>
            </w:tcBorders>
            <w:tcMar>
              <w:top w:w="60" w:type="dxa"/>
              <w:left w:w="90" w:type="dxa"/>
              <w:bottom w:w="60" w:type="dxa"/>
              <w:right w:w="90" w:type="dxa"/>
            </w:tcMar>
          </w:tcPr>
          <w:p w14:paraId="7E9A0C72" w14:textId="77777777" w:rsidR="002751F7" w:rsidRDefault="002751F7" w:rsidP="00C33AA4">
            <w:pPr>
              <w:spacing w:after="40" w:line="252" w:lineRule="auto"/>
            </w:pPr>
            <w:r>
              <w:rPr>
                <w:sz w:val="19"/>
                <w:szCs w:val="19"/>
              </w:rPr>
              <w:t>Used by 65% of clients, with Erica handling more than 40% of client interactions.</w:t>
            </w:r>
          </w:p>
        </w:tc>
        <w:tc>
          <w:tcPr>
            <w:tcW w:w="2500" w:type="dxa"/>
            <w:tcBorders>
              <w:top w:val="single" w:sz="4" w:space="0" w:color="C7CDD6"/>
              <w:left w:val="single" w:sz="4" w:space="0" w:color="C7CDD6"/>
              <w:bottom w:val="single" w:sz="4" w:space="0" w:color="C7CDD6"/>
              <w:right w:val="single" w:sz="4" w:space="0" w:color="C7CDD6"/>
            </w:tcBorders>
            <w:tcMar>
              <w:top w:w="60" w:type="dxa"/>
              <w:left w:w="90" w:type="dxa"/>
              <w:bottom w:w="60" w:type="dxa"/>
              <w:right w:w="90" w:type="dxa"/>
            </w:tcMar>
          </w:tcPr>
          <w:p w14:paraId="76DC5B96" w14:textId="77777777" w:rsidR="002751F7" w:rsidRDefault="002751F7" w:rsidP="00C33AA4">
            <w:pPr>
              <w:spacing w:after="40" w:line="252" w:lineRule="auto"/>
            </w:pPr>
            <w:r>
              <w:rPr>
                <w:sz w:val="19"/>
                <w:szCs w:val="19"/>
              </w:rPr>
              <w:t>BofA press release</w:t>
            </w:r>
          </w:p>
        </w:tc>
      </w:tr>
      <w:tr w:rsidR="002751F7" w14:paraId="7507E73E" w14:textId="77777777" w:rsidTr="00C33AA4">
        <w:tblPrEx>
          <w:tblCellMar>
            <w:top w:w="0" w:type="dxa"/>
            <w:bottom w:w="0" w:type="dxa"/>
          </w:tblCellMar>
        </w:tblPrEx>
        <w:trPr>
          <w:cantSplit/>
        </w:trPr>
        <w:tc>
          <w:tcPr>
            <w:tcW w:w="1500" w:type="dxa"/>
            <w:tcBorders>
              <w:top w:val="single" w:sz="4" w:space="0" w:color="C7CDD6"/>
              <w:left w:val="single" w:sz="4" w:space="0" w:color="C7CDD6"/>
              <w:bottom w:val="single" w:sz="4" w:space="0" w:color="C7CDD6"/>
              <w:right w:val="single" w:sz="4" w:space="0" w:color="C7CDD6"/>
            </w:tcBorders>
            <w:shd w:val="clear" w:color="auto" w:fill="F3F6FA"/>
            <w:tcMar>
              <w:top w:w="60" w:type="dxa"/>
              <w:left w:w="90" w:type="dxa"/>
              <w:bottom w:w="60" w:type="dxa"/>
              <w:right w:w="90" w:type="dxa"/>
            </w:tcMar>
          </w:tcPr>
          <w:p w14:paraId="1ED2AC06" w14:textId="77777777" w:rsidR="002751F7" w:rsidRDefault="002751F7" w:rsidP="00C33AA4">
            <w:pPr>
              <w:spacing w:after="40" w:line="252" w:lineRule="auto"/>
            </w:pPr>
            <w:r>
              <w:rPr>
                <w:sz w:val="19"/>
                <w:szCs w:val="19"/>
              </w:rPr>
              <w:t>Oct 2025</w:t>
            </w:r>
          </w:p>
        </w:tc>
        <w:tc>
          <w:tcPr>
            <w:tcW w:w="5360" w:type="dxa"/>
            <w:tcBorders>
              <w:top w:val="single" w:sz="4" w:space="0" w:color="C7CDD6"/>
              <w:left w:val="single" w:sz="4" w:space="0" w:color="C7CDD6"/>
              <w:bottom w:val="single" w:sz="4" w:space="0" w:color="C7CDD6"/>
              <w:right w:val="single" w:sz="4" w:space="0" w:color="C7CDD6"/>
            </w:tcBorders>
            <w:shd w:val="clear" w:color="auto" w:fill="F3F6FA"/>
            <w:tcMar>
              <w:top w:w="60" w:type="dxa"/>
              <w:left w:w="90" w:type="dxa"/>
              <w:bottom w:w="60" w:type="dxa"/>
              <w:right w:w="90" w:type="dxa"/>
            </w:tcMar>
          </w:tcPr>
          <w:p w14:paraId="131E11E9" w14:textId="77777777" w:rsidR="002751F7" w:rsidRDefault="002751F7" w:rsidP="00C33AA4">
            <w:pPr>
              <w:spacing w:after="40" w:line="252" w:lineRule="auto"/>
            </w:pPr>
            <w:r>
              <w:rPr>
                <w:sz w:val="19"/>
                <w:szCs w:val="19"/>
              </w:rPr>
              <w:t>Usage up 21% year on year; nearly 70% of corporate clients using it. Q3 2025 containment rate 43%. Top inquiries: payment processing, transaction status, authentication and access management.</w:t>
            </w:r>
          </w:p>
        </w:tc>
        <w:tc>
          <w:tcPr>
            <w:tcW w:w="2500" w:type="dxa"/>
            <w:tcBorders>
              <w:top w:val="single" w:sz="4" w:space="0" w:color="C7CDD6"/>
              <w:left w:val="single" w:sz="4" w:space="0" w:color="C7CDD6"/>
              <w:bottom w:val="single" w:sz="4" w:space="0" w:color="C7CDD6"/>
              <w:right w:val="single" w:sz="4" w:space="0" w:color="C7CDD6"/>
            </w:tcBorders>
            <w:shd w:val="clear" w:color="auto" w:fill="F3F6FA"/>
            <w:tcMar>
              <w:top w:w="60" w:type="dxa"/>
              <w:left w:w="90" w:type="dxa"/>
              <w:bottom w:w="60" w:type="dxa"/>
              <w:right w:w="90" w:type="dxa"/>
            </w:tcMar>
          </w:tcPr>
          <w:p w14:paraId="03A1E62C" w14:textId="77777777" w:rsidR="002751F7" w:rsidRDefault="002751F7" w:rsidP="00C33AA4">
            <w:pPr>
              <w:spacing w:after="40" w:line="252" w:lineRule="auto"/>
            </w:pPr>
            <w:r>
              <w:rPr>
                <w:sz w:val="19"/>
                <w:szCs w:val="19"/>
              </w:rPr>
              <w:t>BofA press release</w:t>
            </w:r>
          </w:p>
        </w:tc>
      </w:tr>
      <w:tr w:rsidR="002751F7" w14:paraId="11961DEF" w14:textId="77777777" w:rsidTr="00C33AA4">
        <w:tblPrEx>
          <w:tblCellMar>
            <w:top w:w="0" w:type="dxa"/>
            <w:bottom w:w="0" w:type="dxa"/>
          </w:tblCellMar>
        </w:tblPrEx>
        <w:trPr>
          <w:cantSplit/>
        </w:trPr>
        <w:tc>
          <w:tcPr>
            <w:tcW w:w="1500" w:type="dxa"/>
            <w:tcBorders>
              <w:top w:val="single" w:sz="4" w:space="0" w:color="C7CDD6"/>
              <w:left w:val="single" w:sz="4" w:space="0" w:color="C7CDD6"/>
              <w:bottom w:val="single" w:sz="4" w:space="0" w:color="C7CDD6"/>
              <w:right w:val="single" w:sz="4" w:space="0" w:color="C7CDD6"/>
            </w:tcBorders>
            <w:tcMar>
              <w:top w:w="60" w:type="dxa"/>
              <w:left w:w="90" w:type="dxa"/>
              <w:bottom w:w="60" w:type="dxa"/>
              <w:right w:w="90" w:type="dxa"/>
            </w:tcMar>
          </w:tcPr>
          <w:p w14:paraId="4B3F3DBE" w14:textId="77777777" w:rsidR="002751F7" w:rsidRDefault="002751F7" w:rsidP="00C33AA4">
            <w:pPr>
              <w:spacing w:after="40" w:line="252" w:lineRule="auto"/>
            </w:pPr>
            <w:r>
              <w:rPr>
                <w:sz w:val="19"/>
                <w:szCs w:val="19"/>
              </w:rPr>
              <w:t>Oct 2025</w:t>
            </w:r>
          </w:p>
        </w:tc>
        <w:tc>
          <w:tcPr>
            <w:tcW w:w="5360" w:type="dxa"/>
            <w:tcBorders>
              <w:top w:val="single" w:sz="4" w:space="0" w:color="C7CDD6"/>
              <w:left w:val="single" w:sz="4" w:space="0" w:color="C7CDD6"/>
              <w:bottom w:val="single" w:sz="4" w:space="0" w:color="C7CDD6"/>
              <w:right w:val="single" w:sz="4" w:space="0" w:color="C7CDD6"/>
            </w:tcBorders>
            <w:tcMar>
              <w:top w:w="60" w:type="dxa"/>
              <w:left w:w="90" w:type="dxa"/>
              <w:bottom w:w="60" w:type="dxa"/>
              <w:right w:w="90" w:type="dxa"/>
            </w:tcMar>
          </w:tcPr>
          <w:p w14:paraId="54308467" w14:textId="77777777" w:rsidR="002751F7" w:rsidRDefault="002751F7" w:rsidP="00C33AA4">
            <w:pPr>
              <w:spacing w:after="40" w:line="252" w:lineRule="auto"/>
            </w:pPr>
            <w:r>
              <w:rPr>
                <w:sz w:val="19"/>
                <w:szCs w:val="19"/>
              </w:rPr>
              <w:t>CashPro Search: more than 18 million searches since launch, nearly 2.4 million in Q3 2025; reduced phone and email inquiries by 20% among early adopters.</w:t>
            </w:r>
          </w:p>
        </w:tc>
        <w:tc>
          <w:tcPr>
            <w:tcW w:w="2500" w:type="dxa"/>
            <w:tcBorders>
              <w:top w:val="single" w:sz="4" w:space="0" w:color="C7CDD6"/>
              <w:left w:val="single" w:sz="4" w:space="0" w:color="C7CDD6"/>
              <w:bottom w:val="single" w:sz="4" w:space="0" w:color="C7CDD6"/>
              <w:right w:val="single" w:sz="4" w:space="0" w:color="C7CDD6"/>
            </w:tcBorders>
            <w:tcMar>
              <w:top w:w="60" w:type="dxa"/>
              <w:left w:w="90" w:type="dxa"/>
              <w:bottom w:w="60" w:type="dxa"/>
              <w:right w:w="90" w:type="dxa"/>
            </w:tcMar>
          </w:tcPr>
          <w:p w14:paraId="64545036" w14:textId="77777777" w:rsidR="002751F7" w:rsidRDefault="002751F7" w:rsidP="00C33AA4">
            <w:pPr>
              <w:spacing w:after="40" w:line="252" w:lineRule="auto"/>
            </w:pPr>
            <w:r>
              <w:rPr>
                <w:sz w:val="19"/>
                <w:szCs w:val="19"/>
              </w:rPr>
              <w:t>BofA press release</w:t>
            </w:r>
          </w:p>
        </w:tc>
      </w:tr>
      <w:tr w:rsidR="002751F7" w14:paraId="0E414270" w14:textId="77777777" w:rsidTr="00C33AA4">
        <w:tblPrEx>
          <w:tblCellMar>
            <w:top w:w="0" w:type="dxa"/>
            <w:bottom w:w="0" w:type="dxa"/>
          </w:tblCellMar>
        </w:tblPrEx>
        <w:trPr>
          <w:cantSplit/>
        </w:trPr>
        <w:tc>
          <w:tcPr>
            <w:tcW w:w="1500" w:type="dxa"/>
            <w:tcBorders>
              <w:top w:val="single" w:sz="4" w:space="0" w:color="C7CDD6"/>
              <w:left w:val="single" w:sz="4" w:space="0" w:color="C7CDD6"/>
              <w:bottom w:val="single" w:sz="4" w:space="0" w:color="C7CDD6"/>
              <w:right w:val="single" w:sz="4" w:space="0" w:color="C7CDD6"/>
            </w:tcBorders>
            <w:shd w:val="clear" w:color="auto" w:fill="F3F6FA"/>
            <w:tcMar>
              <w:top w:w="60" w:type="dxa"/>
              <w:left w:w="90" w:type="dxa"/>
              <w:bottom w:w="60" w:type="dxa"/>
              <w:right w:w="90" w:type="dxa"/>
            </w:tcMar>
          </w:tcPr>
          <w:p w14:paraId="47070608" w14:textId="77777777" w:rsidR="002751F7" w:rsidRDefault="002751F7" w:rsidP="00C33AA4">
            <w:pPr>
              <w:spacing w:after="40" w:line="252" w:lineRule="auto"/>
            </w:pPr>
            <w:r>
              <w:rPr>
                <w:sz w:val="19"/>
                <w:szCs w:val="19"/>
              </w:rPr>
              <w:t>4Q25–2Q26</w:t>
            </w:r>
          </w:p>
        </w:tc>
        <w:tc>
          <w:tcPr>
            <w:tcW w:w="5360" w:type="dxa"/>
            <w:tcBorders>
              <w:top w:val="single" w:sz="4" w:space="0" w:color="C7CDD6"/>
              <w:left w:val="single" w:sz="4" w:space="0" w:color="C7CDD6"/>
              <w:bottom w:val="single" w:sz="4" w:space="0" w:color="C7CDD6"/>
              <w:right w:val="single" w:sz="4" w:space="0" w:color="C7CDD6"/>
            </w:tcBorders>
            <w:shd w:val="clear" w:color="auto" w:fill="F3F6FA"/>
            <w:tcMar>
              <w:top w:w="60" w:type="dxa"/>
              <w:left w:w="90" w:type="dxa"/>
              <w:bottom w:w="60" w:type="dxa"/>
              <w:right w:w="90" w:type="dxa"/>
            </w:tcMar>
          </w:tcPr>
          <w:p w14:paraId="737F4130" w14:textId="77777777" w:rsidR="002751F7" w:rsidRDefault="002751F7" w:rsidP="00C33AA4">
            <w:pPr>
              <w:spacing w:after="40" w:line="252" w:lineRule="auto"/>
            </w:pPr>
            <w:r>
              <w:rPr>
                <w:sz w:val="19"/>
                <w:szCs w:val="19"/>
              </w:rPr>
              <w:t>Erica interactions on CashPro Chat: 39.7K (4Q25), 38.7K (1Q26), 40.1K (2Q26) per quarter.</w:t>
            </w:r>
          </w:p>
        </w:tc>
        <w:tc>
          <w:tcPr>
            <w:tcW w:w="2500" w:type="dxa"/>
            <w:tcBorders>
              <w:top w:val="single" w:sz="4" w:space="0" w:color="C7CDD6"/>
              <w:left w:val="single" w:sz="4" w:space="0" w:color="C7CDD6"/>
              <w:bottom w:val="single" w:sz="4" w:space="0" w:color="C7CDD6"/>
              <w:right w:val="single" w:sz="4" w:space="0" w:color="C7CDD6"/>
            </w:tcBorders>
            <w:shd w:val="clear" w:color="auto" w:fill="F3F6FA"/>
            <w:tcMar>
              <w:top w:w="60" w:type="dxa"/>
              <w:left w:w="90" w:type="dxa"/>
              <w:bottom w:w="60" w:type="dxa"/>
              <w:right w:w="90" w:type="dxa"/>
            </w:tcMar>
          </w:tcPr>
          <w:p w14:paraId="73F4B7EF" w14:textId="77777777" w:rsidR="002751F7" w:rsidRDefault="002751F7" w:rsidP="00C33AA4">
            <w:pPr>
              <w:spacing w:after="40" w:line="252" w:lineRule="auto"/>
            </w:pPr>
            <w:r>
              <w:rPr>
                <w:sz w:val="19"/>
                <w:szCs w:val="19"/>
              </w:rPr>
              <w:t>BofA earnings 8-K exhibits</w:t>
            </w:r>
          </w:p>
        </w:tc>
      </w:tr>
      <w:tr w:rsidR="002751F7" w14:paraId="687AD275" w14:textId="77777777" w:rsidTr="00C33AA4">
        <w:tblPrEx>
          <w:tblCellMar>
            <w:top w:w="0" w:type="dxa"/>
            <w:bottom w:w="0" w:type="dxa"/>
          </w:tblCellMar>
        </w:tblPrEx>
        <w:trPr>
          <w:cantSplit/>
        </w:trPr>
        <w:tc>
          <w:tcPr>
            <w:tcW w:w="1500" w:type="dxa"/>
            <w:tcBorders>
              <w:top w:val="single" w:sz="4" w:space="0" w:color="C7CDD6"/>
              <w:left w:val="single" w:sz="4" w:space="0" w:color="C7CDD6"/>
              <w:bottom w:val="single" w:sz="4" w:space="0" w:color="C7CDD6"/>
              <w:right w:val="single" w:sz="4" w:space="0" w:color="C7CDD6"/>
            </w:tcBorders>
            <w:tcMar>
              <w:top w:w="60" w:type="dxa"/>
              <w:left w:w="90" w:type="dxa"/>
              <w:bottom w:w="60" w:type="dxa"/>
              <w:right w:w="90" w:type="dxa"/>
            </w:tcMar>
          </w:tcPr>
          <w:p w14:paraId="789E8AD7" w14:textId="77777777" w:rsidR="002751F7" w:rsidRDefault="002751F7" w:rsidP="00C33AA4">
            <w:pPr>
              <w:spacing w:after="40" w:line="252" w:lineRule="auto"/>
            </w:pPr>
            <w:r>
              <w:rPr>
                <w:sz w:val="19"/>
                <w:szCs w:val="19"/>
              </w:rPr>
              <w:t>Context</w:t>
            </w:r>
          </w:p>
        </w:tc>
        <w:tc>
          <w:tcPr>
            <w:tcW w:w="5360" w:type="dxa"/>
            <w:tcBorders>
              <w:top w:val="single" w:sz="4" w:space="0" w:color="C7CDD6"/>
              <w:left w:val="single" w:sz="4" w:space="0" w:color="C7CDD6"/>
              <w:bottom w:val="single" w:sz="4" w:space="0" w:color="C7CDD6"/>
              <w:right w:val="single" w:sz="4" w:space="0" w:color="C7CDD6"/>
            </w:tcBorders>
            <w:tcMar>
              <w:top w:w="60" w:type="dxa"/>
              <w:left w:w="90" w:type="dxa"/>
              <w:bottom w:w="60" w:type="dxa"/>
              <w:right w:w="90" w:type="dxa"/>
            </w:tcMar>
          </w:tcPr>
          <w:p w14:paraId="7541573C" w14:textId="77777777" w:rsidR="002751F7" w:rsidRDefault="002751F7" w:rsidP="00C33AA4">
            <w:pPr>
              <w:spacing w:after="40" w:line="252" w:lineRule="auto"/>
            </w:pPr>
            <w:r>
              <w:rPr>
                <w:sz w:val="19"/>
                <w:szCs w:val="19"/>
              </w:rPr>
              <w:t>Consumer Erica averages more than 58 million interactions a month (Aug 2025). Erica for Employees reduced IT service desk calls by more than 55%.</w:t>
            </w:r>
          </w:p>
        </w:tc>
        <w:tc>
          <w:tcPr>
            <w:tcW w:w="2500" w:type="dxa"/>
            <w:tcBorders>
              <w:top w:val="single" w:sz="4" w:space="0" w:color="C7CDD6"/>
              <w:left w:val="single" w:sz="4" w:space="0" w:color="C7CDD6"/>
              <w:bottom w:val="single" w:sz="4" w:space="0" w:color="C7CDD6"/>
              <w:right w:val="single" w:sz="4" w:space="0" w:color="C7CDD6"/>
            </w:tcBorders>
            <w:tcMar>
              <w:top w:w="60" w:type="dxa"/>
              <w:left w:w="90" w:type="dxa"/>
              <w:bottom w:w="60" w:type="dxa"/>
              <w:right w:w="90" w:type="dxa"/>
            </w:tcMar>
          </w:tcPr>
          <w:p w14:paraId="66BC7FAC" w14:textId="77777777" w:rsidR="002751F7" w:rsidRDefault="002751F7" w:rsidP="00C33AA4">
            <w:pPr>
              <w:spacing w:after="40" w:line="252" w:lineRule="auto"/>
            </w:pPr>
            <w:r>
              <w:rPr>
                <w:sz w:val="19"/>
                <w:szCs w:val="19"/>
              </w:rPr>
              <w:t>BofA press release</w:t>
            </w:r>
          </w:p>
        </w:tc>
      </w:tr>
    </w:tbl>
    <w:p w14:paraId="4AE8BEB3" w14:textId="77777777" w:rsidR="002751F7" w:rsidRDefault="002751F7" w:rsidP="002751F7">
      <w:pPr>
        <w:spacing w:after="120"/>
      </w:pPr>
    </w:p>
    <w:p w14:paraId="5DE8BDF4" w14:textId="77777777" w:rsidR="002751F7" w:rsidRDefault="002751F7" w:rsidP="002751F7">
      <w:pPr>
        <w:pStyle w:val="Heading2"/>
        <w:spacing w:before="240" w:after="100"/>
      </w:pPr>
      <w:r>
        <w:rPr>
          <w:rFonts w:ascii="Trebuchet MS" w:eastAsia="Trebuchet MS" w:hAnsi="Trebuchet MS" w:cs="Trebuchet MS"/>
          <w:b/>
          <w:bCs/>
          <w:color w:val="1E3A5F"/>
          <w:sz w:val="26"/>
          <w:szCs w:val="26"/>
        </w:rPr>
        <w:t>6.4 Did it duplicate the web channel?</w:t>
      </w:r>
    </w:p>
    <w:p w14:paraId="44CC2D2E" w14:textId="77777777" w:rsidR="002751F7" w:rsidRDefault="002751F7" w:rsidP="002751F7">
      <w:pPr>
        <w:spacing w:after="120" w:line="276" w:lineRule="auto"/>
      </w:pPr>
      <w:r>
        <w:t>Largely yes, on the published material. The data it retrieves was already on the CashPro platform. BofA has never published a feature-by-feature comparison, but nothing in the releases points to net-new information. What Chat added was access and routing: it was already the servicing channel; it added navigation and procedural help (a client testimonial on BofA's product page describes using it for simple questions such as a payment deadline); and it kept a fast human backstop. The one net-new capability, CashPro Search, is where the 20% inquiry reduction is attributed.</w:t>
      </w:r>
    </w:p>
    <w:p w14:paraId="67EE1AFF" w14:textId="77777777" w:rsidR="002751F7" w:rsidRDefault="002751F7" w:rsidP="002751F7">
      <w:pPr>
        <w:spacing w:after="120" w:line="276" w:lineRule="auto"/>
      </w:pPr>
      <w:r>
        <w:t>For the conversation with Payments: BofA is a real "same information, new surface" precedent with approximately 65–70% client adoption and no published rise in phone volume. The caveat is that BofA added AI inside an existing chat-servicing channel, whereas Vantage adds a new AI surface to a portal whose servicing channels are phone and service requests. The mechanism is close but not identical, which is why the holdout matters.</w:t>
      </w:r>
    </w:p>
    <w:p w14:paraId="348E87F2" w14:textId="77777777" w:rsidR="002751F7" w:rsidRDefault="002751F7" w:rsidP="002751F7">
      <w:pPr>
        <w:pStyle w:val="Heading2"/>
        <w:spacing w:before="240" w:after="100"/>
      </w:pPr>
      <w:r>
        <w:rPr>
          <w:rFonts w:ascii="Trebuchet MS" w:eastAsia="Trebuchet MS" w:hAnsi="Trebuchet MS" w:cs="Trebuchet MS"/>
          <w:b/>
          <w:bCs/>
          <w:color w:val="1E3A5F"/>
          <w:sz w:val="26"/>
          <w:szCs w:val="26"/>
        </w:rPr>
        <w:t>6.5 Learnings for Vantage</w:t>
      </w:r>
    </w:p>
    <w:p w14:paraId="5B022A8D" w14:textId="77777777" w:rsidR="002751F7" w:rsidRDefault="002751F7" w:rsidP="002751F7">
      <w:pPr>
        <w:pStyle w:val="ListParagraph"/>
        <w:numPr>
          <w:ilvl w:val="0"/>
          <w:numId w:val="2"/>
        </w:numPr>
        <w:spacing w:after="60" w:line="276" w:lineRule="auto"/>
        <w:contextualSpacing w:val="0"/>
      </w:pPr>
      <w:r>
        <w:rPr>
          <w:b/>
          <w:bCs/>
        </w:rPr>
        <w:t>Containment is 43%, and BofA presents the other 57% as the product.</w:t>
      </w:r>
      <w:r>
        <w:t xml:space="preserve"> Human routing in under 30 seconds is the feature, not a failure. For commercial clients the backstop is the product.</w:t>
      </w:r>
    </w:p>
    <w:p w14:paraId="7D2742AE" w14:textId="77777777" w:rsidR="002751F7" w:rsidRDefault="002751F7" w:rsidP="002751F7">
      <w:pPr>
        <w:pStyle w:val="ListParagraph"/>
        <w:numPr>
          <w:ilvl w:val="0"/>
          <w:numId w:val="2"/>
        </w:numPr>
        <w:spacing w:after="60" w:line="276" w:lineRule="auto"/>
        <w:contextualSpacing w:val="0"/>
      </w:pPr>
      <w:r>
        <w:rPr>
          <w:b/>
          <w:bCs/>
        </w:rPr>
        <w:t>Top inquiry categories match the proposed scope</w:t>
      </w:r>
      <w:r>
        <w:t xml:space="preserve"> (payment processing, transaction status), with one gap: authentication and access management. </w:t>
      </w:r>
      <w:r>
        <w:rPr>
          <w:highlight w:val="yellow"/>
        </w:rPr>
        <w:t>[INTERNAL DATA: Share of Vantage calls that are authentication, entitlement and access issues]</w:t>
      </w:r>
    </w:p>
    <w:p w14:paraId="6635F6C8" w14:textId="77777777" w:rsidR="002751F7" w:rsidRDefault="002751F7" w:rsidP="002751F7">
      <w:pPr>
        <w:pStyle w:val="ListParagraph"/>
        <w:numPr>
          <w:ilvl w:val="0"/>
          <w:numId w:val="2"/>
        </w:numPr>
        <w:spacing w:after="60" w:line="276" w:lineRule="auto"/>
        <w:contextualSpacing w:val="0"/>
      </w:pPr>
      <w:r>
        <w:rPr>
          <w:b/>
          <w:bCs/>
        </w:rPr>
        <w:t>Absolute volumes are modest</w:t>
      </w:r>
      <w:r>
        <w:t>: approximately 40K AI-handled interactions a quarter across tens of thousands of clients. A small Vantage cohort may not generate enough interactions to detect a contact-volume effect in 8–12 weeks; the cohort must be sized against baseline variance.</w:t>
      </w:r>
    </w:p>
    <w:p w14:paraId="3F495450" w14:textId="77777777" w:rsidR="002751F7" w:rsidRDefault="002751F7" w:rsidP="002751F7">
      <w:pPr>
        <w:pStyle w:val="ListParagraph"/>
        <w:numPr>
          <w:ilvl w:val="0"/>
          <w:numId w:val="2"/>
        </w:numPr>
        <w:spacing w:after="60" w:line="276" w:lineRule="auto"/>
        <w:contextualSpacing w:val="0"/>
      </w:pPr>
      <w:r>
        <w:rPr>
          <w:b/>
          <w:bCs/>
        </w:rPr>
        <w:t>The expansion path was narrow first</w:t>
      </w:r>
      <w:r>
        <w:t>, coverage doubled in about 18 months, then credit and workflows. BofA launched to everyone with no published holdout and expanded on usage; this proposal is more conservative.</w:t>
      </w:r>
    </w:p>
    <w:p w14:paraId="7B344BFD" w14:textId="77777777" w:rsidR="002751F7" w:rsidRDefault="002751F7" w:rsidP="002751F7">
      <w:pPr>
        <w:pStyle w:val="ListParagraph"/>
        <w:numPr>
          <w:ilvl w:val="0"/>
          <w:numId w:val="2"/>
        </w:numPr>
        <w:spacing w:after="60" w:line="276" w:lineRule="auto"/>
        <w:contextualSpacing w:val="0"/>
      </w:pPr>
      <w:r>
        <w:rPr>
          <w:b/>
          <w:bCs/>
        </w:rPr>
        <w:t>Chat usage grew after the AI launch and BofA framed that as positive.</w:t>
      </w:r>
      <w:r>
        <w:t xml:space="preserve"> No published rise in phone volume, but no published controlled measurement either: absence of evidence, not evidence of absence.</w:t>
      </w:r>
    </w:p>
    <w:p w14:paraId="5BA5B053" w14:textId="77777777" w:rsidR="002751F7" w:rsidRPr="002751F7" w:rsidRDefault="002751F7">
      <w:pPr>
        <w:rPr>
          <w:lang w:val="en-US"/>
        </w:rPr>
      </w:pPr>
    </w:p>
    <w:sectPr w:rsidR="002751F7" w:rsidRPr="002751F7" w:rsidSect="002751F7">
      <w:pgSz w:w="11906" w:h="16838"/>
      <w:pgMar w:top="446"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rebuchet MS">
    <w:panose1 w:val="020B0603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894212"/>
    <w:multiLevelType w:val="hybridMultilevel"/>
    <w:tmpl w:val="DBE0CD16"/>
    <w:lvl w:ilvl="0" w:tplc="58F653A0">
      <w:start w:val="1"/>
      <w:numFmt w:val="decimal"/>
      <w:lvlText w:val="%1."/>
      <w:lvlJc w:val="left"/>
      <w:pPr>
        <w:ind w:left="720" w:hanging="360"/>
      </w:pPr>
    </w:lvl>
    <w:lvl w:ilvl="1" w:tplc="AFE68990">
      <w:numFmt w:val="decimal"/>
      <w:lvlText w:val=""/>
      <w:lvlJc w:val="left"/>
    </w:lvl>
    <w:lvl w:ilvl="2" w:tplc="C3447DB6">
      <w:numFmt w:val="decimal"/>
      <w:lvlText w:val=""/>
      <w:lvlJc w:val="left"/>
    </w:lvl>
    <w:lvl w:ilvl="3" w:tplc="44ACF960">
      <w:numFmt w:val="decimal"/>
      <w:lvlText w:val=""/>
      <w:lvlJc w:val="left"/>
    </w:lvl>
    <w:lvl w:ilvl="4" w:tplc="5BD0A1A4">
      <w:numFmt w:val="decimal"/>
      <w:lvlText w:val=""/>
      <w:lvlJc w:val="left"/>
    </w:lvl>
    <w:lvl w:ilvl="5" w:tplc="B39C0900">
      <w:numFmt w:val="decimal"/>
      <w:lvlText w:val=""/>
      <w:lvlJc w:val="left"/>
    </w:lvl>
    <w:lvl w:ilvl="6" w:tplc="B666FC86">
      <w:numFmt w:val="decimal"/>
      <w:lvlText w:val=""/>
      <w:lvlJc w:val="left"/>
    </w:lvl>
    <w:lvl w:ilvl="7" w:tplc="266A1462">
      <w:numFmt w:val="decimal"/>
      <w:lvlText w:val=""/>
      <w:lvlJc w:val="left"/>
    </w:lvl>
    <w:lvl w:ilvl="8" w:tplc="34480C06">
      <w:numFmt w:val="decimal"/>
      <w:lvlText w:val=""/>
      <w:lvlJc w:val="left"/>
    </w:lvl>
  </w:abstractNum>
  <w:abstractNum w:abstractNumId="1" w15:restartNumberingAfterBreak="0">
    <w:nsid w:val="4EB40786"/>
    <w:multiLevelType w:val="hybridMultilevel"/>
    <w:tmpl w:val="A0E881F8"/>
    <w:lvl w:ilvl="0" w:tplc="A86A5888">
      <w:start w:val="1"/>
      <w:numFmt w:val="bullet"/>
      <w:lvlText w:val="•"/>
      <w:lvlJc w:val="left"/>
      <w:pPr>
        <w:ind w:left="720" w:hanging="360"/>
      </w:pPr>
    </w:lvl>
    <w:lvl w:ilvl="1" w:tplc="D616BAE2">
      <w:start w:val="1"/>
      <w:numFmt w:val="bullet"/>
      <w:lvlText w:val="–"/>
      <w:lvlJc w:val="left"/>
      <w:pPr>
        <w:ind w:left="1080" w:hanging="360"/>
      </w:pPr>
    </w:lvl>
    <w:lvl w:ilvl="2" w:tplc="F95A898C">
      <w:start w:val="1"/>
      <w:numFmt w:val="bullet"/>
      <w:lvlText w:val="–"/>
      <w:lvlJc w:val="left"/>
      <w:pPr>
        <w:ind w:left="1440" w:hanging="360"/>
      </w:pPr>
    </w:lvl>
    <w:lvl w:ilvl="3" w:tplc="4DDA2F3E">
      <w:numFmt w:val="decimal"/>
      <w:lvlText w:val=""/>
      <w:lvlJc w:val="left"/>
    </w:lvl>
    <w:lvl w:ilvl="4" w:tplc="BA56EE12">
      <w:numFmt w:val="decimal"/>
      <w:lvlText w:val=""/>
      <w:lvlJc w:val="left"/>
    </w:lvl>
    <w:lvl w:ilvl="5" w:tplc="E91A2BB8">
      <w:numFmt w:val="decimal"/>
      <w:lvlText w:val=""/>
      <w:lvlJc w:val="left"/>
    </w:lvl>
    <w:lvl w:ilvl="6" w:tplc="BF2EFFFC">
      <w:numFmt w:val="decimal"/>
      <w:lvlText w:val=""/>
      <w:lvlJc w:val="left"/>
    </w:lvl>
    <w:lvl w:ilvl="7" w:tplc="33D61F9C">
      <w:numFmt w:val="decimal"/>
      <w:lvlText w:val=""/>
      <w:lvlJc w:val="left"/>
    </w:lvl>
    <w:lvl w:ilvl="8" w:tplc="19D20342">
      <w:numFmt w:val="decimal"/>
      <w:lvlText w:val=""/>
      <w:lvlJc w:val="left"/>
    </w:lvl>
  </w:abstractNum>
  <w:num w:numId="1" w16cid:durableId="153646341">
    <w:abstractNumId w:val="1"/>
    <w:lvlOverride w:ilvl="0">
      <w:startOverride w:val="1"/>
    </w:lvlOverride>
  </w:num>
  <w:num w:numId="2" w16cid:durableId="178529746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1F7"/>
    <w:rsid w:val="002751F7"/>
    <w:rsid w:val="00845A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82C4D80"/>
  <w15:chartTrackingRefBased/>
  <w15:docId w15:val="{56717B94-25E5-FD46-A598-16A55D69E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51F7"/>
    <w:pPr>
      <w:spacing w:after="0" w:line="240" w:lineRule="auto"/>
    </w:pPr>
    <w:rPr>
      <w:rFonts w:ascii="Calibri" w:eastAsia="Calibri" w:hAnsi="Calibri" w:cs="Calibri"/>
      <w:kern w:val="0"/>
      <w:sz w:val="22"/>
      <w:szCs w:val="22"/>
      <w:lang w:eastAsia="en-GB"/>
      <w14:ligatures w14:val="none"/>
    </w:rPr>
  </w:style>
  <w:style w:type="paragraph" w:styleId="Heading1">
    <w:name w:val="heading 1"/>
    <w:basedOn w:val="Normal"/>
    <w:next w:val="Normal"/>
    <w:link w:val="Heading1Char"/>
    <w:uiPriority w:val="9"/>
    <w:qFormat/>
    <w:rsid w:val="002751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51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51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51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51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51F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51F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51F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51F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51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51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51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51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51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51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51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51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51F7"/>
    <w:rPr>
      <w:rFonts w:eastAsiaTheme="majorEastAsia" w:cstheme="majorBidi"/>
      <w:color w:val="272727" w:themeColor="text1" w:themeTint="D8"/>
    </w:rPr>
  </w:style>
  <w:style w:type="paragraph" w:styleId="Title">
    <w:name w:val="Title"/>
    <w:basedOn w:val="Normal"/>
    <w:next w:val="Normal"/>
    <w:link w:val="TitleChar"/>
    <w:uiPriority w:val="10"/>
    <w:qFormat/>
    <w:rsid w:val="002751F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51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51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51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51F7"/>
    <w:pPr>
      <w:spacing w:before="160"/>
      <w:jc w:val="center"/>
    </w:pPr>
    <w:rPr>
      <w:i/>
      <w:iCs/>
      <w:color w:val="404040" w:themeColor="text1" w:themeTint="BF"/>
    </w:rPr>
  </w:style>
  <w:style w:type="character" w:customStyle="1" w:styleId="QuoteChar">
    <w:name w:val="Quote Char"/>
    <w:basedOn w:val="DefaultParagraphFont"/>
    <w:link w:val="Quote"/>
    <w:uiPriority w:val="29"/>
    <w:rsid w:val="002751F7"/>
    <w:rPr>
      <w:i/>
      <w:iCs/>
      <w:color w:val="404040" w:themeColor="text1" w:themeTint="BF"/>
    </w:rPr>
  </w:style>
  <w:style w:type="paragraph" w:styleId="ListParagraph">
    <w:name w:val="List Paragraph"/>
    <w:basedOn w:val="Normal"/>
    <w:qFormat/>
    <w:rsid w:val="002751F7"/>
    <w:pPr>
      <w:ind w:left="720"/>
      <w:contextualSpacing/>
    </w:pPr>
  </w:style>
  <w:style w:type="character" w:styleId="IntenseEmphasis">
    <w:name w:val="Intense Emphasis"/>
    <w:basedOn w:val="DefaultParagraphFont"/>
    <w:uiPriority w:val="21"/>
    <w:qFormat/>
    <w:rsid w:val="002751F7"/>
    <w:rPr>
      <w:i/>
      <w:iCs/>
      <w:color w:val="0F4761" w:themeColor="accent1" w:themeShade="BF"/>
    </w:rPr>
  </w:style>
  <w:style w:type="paragraph" w:styleId="IntenseQuote">
    <w:name w:val="Intense Quote"/>
    <w:basedOn w:val="Normal"/>
    <w:next w:val="Normal"/>
    <w:link w:val="IntenseQuoteChar"/>
    <w:uiPriority w:val="30"/>
    <w:qFormat/>
    <w:rsid w:val="002751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51F7"/>
    <w:rPr>
      <w:i/>
      <w:iCs/>
      <w:color w:val="0F4761" w:themeColor="accent1" w:themeShade="BF"/>
    </w:rPr>
  </w:style>
  <w:style w:type="character" w:styleId="IntenseReference">
    <w:name w:val="Intense Reference"/>
    <w:basedOn w:val="DefaultParagraphFont"/>
    <w:uiPriority w:val="32"/>
    <w:qFormat/>
    <w:rsid w:val="002751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1162</Words>
  <Characters>6602</Characters>
  <Application>Microsoft Office Word</Application>
  <DocSecurity>0</DocSecurity>
  <Lines>169</Lines>
  <Paragraphs>90</Paragraphs>
  <ScaleCrop>false</ScaleCrop>
  <Company/>
  <LinksUpToDate>false</LinksUpToDate>
  <CharactersWithSpaces>7674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Sudhindra Balaji</dc:creator>
  <cp:keywords/>
  <dc:description/>
  <cp:lastModifiedBy>Sudhindra Balaji</cp:lastModifiedBy>
  <cp:revision>1</cp:revision>
  <dcterms:created xsi:type="dcterms:W3CDTF">2026-09-27T14:40:00Z</dcterms:created>
  <dcterms:modified xsi:type="dcterms:W3CDTF">2026-09-27T14:43:00Z</dcterms:modified>
</cp:coreProperties>
</file>