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9A961" w:sz="36"/>
              <w:right w:val="none" w:color="FFFFFF" w:sz="0"/>
            </w:tcBorders>
            <w:shd w:fill="0F2D52" w:color="auto" w:val="clear"/>
            <w:tcMar>
              <w:top w:type="dxa" w:w="420"/>
              <w:left w:type="dxa" w:w="420"/>
              <w:bottom w:type="dxa" w:w="380"/>
              <w:right w:type="dxa" w:w="420"/>
            </w:tcMar>
          </w:tcPr>
          <w:p>
            <w:pPr>
              <w:spacing w:after="200"/>
            </w:pPr>
            <w:r>
              <w:rPr>
                <w:rFonts w:ascii="Trebuchet MS" w:cs="Trebuchet MS" w:eastAsia="Trebuchet MS" w:hAnsi="Trebuchet MS"/>
                <w:b/>
                <w:bCs/>
                <w:color w:val="C9A961"/>
                <w:spacing w:val="60"/>
                <w:sz w:val="20"/>
                <w:szCs w:val="20"/>
              </w:rPr>
              <w:t xml:space="preserve">IDEA BRIEF  |  COMMERCIAL AND CORPORATE BANKING</w:t>
            </w:r>
          </w:p>
          <w:p>
            <w:pPr>
              <w:spacing w:after="240" w:line="276" w:lineRule="auto"/>
            </w:pPr>
            <w:r>
              <w:rPr>
                <w:rFonts w:ascii="Trebuchet MS" w:cs="Trebuchet MS" w:eastAsia="Trebuchet MS" w:hAnsi="Trebuchet MS"/>
                <w:b/>
                <w:bCs/>
                <w:color w:val="FFFFFF"/>
                <w:sz w:val="50"/>
                <w:szCs w:val="50"/>
              </w:rPr>
              <w:t xml:space="preserve">Two New Seats for the Bank</w:t>
            </w:r>
          </w:p>
          <w:p>
            <w:pPr>
              <w:spacing w:after="0" w:line="276" w:lineRule="auto"/>
            </w:pPr>
            <w:r>
              <w:rPr>
                <w:rFonts w:ascii="Calibri" w:cs="Calibri" w:eastAsia="Calibri" w:hAnsi="Calibri"/>
                <w:color w:val="D9E2EE"/>
                <w:sz w:val="25"/>
                <w:szCs w:val="25"/>
              </w:rPr>
              <w:t xml:space="preserve">AI-era revenue ideas for Wells Fargo Commercial Banking and CIB: the Agent Trust Authority and Outcome-Priced Autonomous Treasury, with three bench ideas and their segment fit</w:t>
            </w:r>
          </w:p>
        </w:tc>
      </w:tr>
    </w:tbl>
    <w:p>
      <w:pPr>
        <w:spacing w:after="80"/>
      </w:pPr>
    </w:p>
    <w:p>
      <w:pPr>
        <w:spacing w:after="30" w:line="276"/>
      </w:pPr>
      <w:r>
        <w:rPr>
          <w:rFonts w:ascii="Calibri" w:cs="Calibri" w:eastAsia="Calibri" w:hAnsi="Calibri"/>
          <w:b/>
          <w:bCs/>
          <w:sz w:val="20"/>
          <w:szCs w:val="20"/>
        </w:rPr>
        <w:t xml:space="preserve">Prepared:</w:t>
      </w:r>
      <w:r>
        <w:rPr>
          <w:rFonts w:ascii="Calibri" w:cs="Calibri" w:eastAsia="Calibri" w:hAnsi="Calibri"/>
          <w:sz w:val="20"/>
          <w:szCs w:val="20"/>
        </w:rPr>
        <w:t xml:space="preserve"> 19 October 2026</w:t>
      </w:r>
    </w:p>
    <w:p>
      <w:pPr>
        <w:spacing w:after="30" w:line="276"/>
      </w:pPr>
      <w:r>
        <w:rPr>
          <w:rFonts w:ascii="Calibri" w:cs="Calibri" w:eastAsia="Calibri" w:hAnsi="Calibri"/>
          <w:b/>
          <w:bCs/>
          <w:sz w:val="20"/>
          <w:szCs w:val="20"/>
        </w:rPr>
        <w:t xml:space="preserve">Status:</w:t>
      </w:r>
      <w:r>
        <w:rPr>
          <w:rFonts w:ascii="Calibri" w:cs="Calibri" w:eastAsia="Calibri" w:hAnsi="Calibri"/>
          <w:sz w:val="20"/>
          <w:szCs w:val="20"/>
        </w:rPr>
        <w:t xml:space="preserve"> idea brief for discussion. Nothing here has been sized by a bank, priced by a peer or tested with a client. Every willingness-to-pay judgement is inference from adjacent evidence and is labelled as such.</w:t>
      </w:r>
    </w:p>
    <w:p>
      <w:pPr>
        <w:spacing w:after="60" w:line="276"/>
      </w:pPr>
      <w:r>
        <w:rPr>
          <w:rFonts w:ascii="Calibri" w:cs="Calibri" w:eastAsia="Calibri" w:hAnsi="Calibri"/>
          <w:b/>
          <w:bCs/>
          <w:sz w:val="20"/>
          <w:szCs w:val="20"/>
        </w:rPr>
        <w:t xml:space="preserve">Evidence base:</w:t>
      </w:r>
      <w:r>
        <w:rPr>
          <w:rFonts w:ascii="Calibri" w:cs="Calibri" w:eastAsia="Calibri" w:hAnsi="Calibri"/>
          <w:sz w:val="20"/>
          <w:szCs w:val="20"/>
        </w:rPr>
        <w:t xml:space="preserve"> the willingness-to-pay research completed on 19 October 2026 (segment and peer-bank review), the segment synthesis of 8 October 2026, and targeted checks made for this brief on GLEIF, Deloitte, identity vendors and Wells Fargo's public fraud and API pages. The segment bands are the common US bank bands: small business under about $25M revenue; emerging and core middle market about $25M to $2B; large corporate above about $2B.</w:t>
      </w:r>
    </w:p>
    <w:p>
      <w:pPr>
        <w:pStyle w:val="Heading3"/>
        <w:keepNext/>
      </w:pPr>
      <w:r>
        <w:rPr>
          <w:rFonts w:ascii="Trebuchet MS" w:cs="Trebuchet MS" w:eastAsia="Trebuchet MS" w:hAnsi="Trebuchet MS"/>
        </w:rPr>
        <w:t xml:space="preserve">How to read the evidence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blHeader/>
        </w:trPr>
        <w:tc>
          <w:tcPr>
            <w:tcW w:type="dxa" w:w="1300"/>
            <w:tcBorders>
              <w:top w:val="single" w:color="C8CED8" w:sz="4"/>
              <w:left w:val="single" w:color="C8CED8" w:sz="4"/>
              <w:bottom w:val="single" w:color="C8CED8" w:sz="4"/>
              <w:right w:val="single" w:color="C8CED8" w:sz="4"/>
            </w:tcBorders>
            <w:shd w:fill="0F2D52" w:color="auto" w:val="clear"/>
            <w:tcMar>
              <w:top w:type="dxa" w:w="36"/>
              <w:left w:type="dxa" w:w="110"/>
              <w:bottom w:type="dxa" w:w="36"/>
              <w:right w:type="dxa" w:w="110"/>
            </w:tcMar>
            <w:vAlign w:val="top"/>
          </w:tcPr>
          <w:p>
            <w:pPr>
              <w:spacing w:after="50" w:line="250"/>
            </w:pPr>
            <w:r>
              <w:rPr>
                <w:rFonts w:ascii="Calibri" w:cs="Calibri" w:eastAsia="Calibri" w:hAnsi="Calibri"/>
                <w:b/>
                <w:bCs/>
                <w:color w:val="FFFFFF"/>
                <w:sz w:val="17"/>
                <w:szCs w:val="17"/>
              </w:rPr>
              <w:t xml:space="preserve">Tag</w:t>
            </w:r>
          </w:p>
        </w:tc>
        <w:tc>
          <w:tcPr>
            <w:tcW w:type="dxa" w:w="8060"/>
            <w:tcBorders>
              <w:top w:val="single" w:color="C8CED8" w:sz="4"/>
              <w:left w:val="single" w:color="C8CED8" w:sz="4"/>
              <w:bottom w:val="single" w:color="C8CED8" w:sz="4"/>
              <w:right w:val="single" w:color="C8CED8" w:sz="4"/>
            </w:tcBorders>
            <w:shd w:fill="0F2D52" w:color="auto" w:val="clear"/>
            <w:tcMar>
              <w:top w:type="dxa" w:w="36"/>
              <w:left w:type="dxa" w:w="110"/>
              <w:bottom w:type="dxa" w:w="36"/>
              <w:right w:type="dxa" w:w="110"/>
            </w:tcMar>
            <w:vAlign w:val="top"/>
          </w:tcPr>
          <w:p>
            <w:pPr>
              <w:spacing w:after="50" w:line="250"/>
            </w:pPr>
            <w:r>
              <w:rPr>
                <w:rFonts w:ascii="Calibri" w:cs="Calibri" w:eastAsia="Calibri" w:hAnsi="Calibri"/>
                <w:b/>
                <w:bCs/>
                <w:color w:val="FFFFFF"/>
                <w:sz w:val="17"/>
                <w:szCs w:val="17"/>
              </w:rPr>
              <w:t xml:space="preserve">Meaning</w:t>
            </w:r>
          </w:p>
        </w:tc>
      </w:tr>
      <w:tr>
        <w:trPr>
          <w:cantSplit/>
        </w:trPr>
        <w:tc>
          <w:tcPr>
            <w:tcW w:type="dxa" w:w="1300"/>
            <w:tcBorders>
              <w:top w:val="single" w:color="C8CED8" w:sz="4"/>
              <w:left w:val="single" w:color="C8CED8" w:sz="4"/>
              <w:bottom w:val="single" w:color="C8CED8" w:sz="4"/>
              <w:right w:val="single" w:color="C8CED8" w:sz="4"/>
            </w:tcBorders>
            <w:shd w:fill="FFFFFF" w:color="auto" w:val="clear"/>
            <w:tcMar>
              <w:top w:type="dxa" w:w="36"/>
              <w:left w:type="dxa" w:w="110"/>
              <w:bottom w:type="dxa" w:w="36"/>
              <w:right w:type="dxa" w:w="110"/>
            </w:tcMar>
            <w:vAlign w:val="top"/>
          </w:tcPr>
          <w:p>
            <w:pPr>
              <w:spacing w:after="50" w:line="250"/>
            </w:pPr>
            <w:r>
              <w:rPr>
                <w:rFonts w:ascii="Calibri" w:cs="Calibri" w:eastAsia="Calibri" w:hAnsi="Calibri"/>
                <w:b/>
                <w:bCs/>
                <w:sz w:val="17"/>
                <w:szCs w:val="17"/>
              </w:rPr>
              <w:t xml:space="preserve">P</w:t>
            </w:r>
          </w:p>
        </w:tc>
        <w:tc>
          <w:tcPr>
            <w:tcW w:type="dxa" w:w="8060"/>
            <w:tcBorders>
              <w:top w:val="single" w:color="C8CED8" w:sz="4"/>
              <w:left w:val="single" w:color="C8CED8" w:sz="4"/>
              <w:bottom w:val="single" w:color="C8CED8" w:sz="4"/>
              <w:right w:val="single" w:color="C8CED8" w:sz="4"/>
            </w:tcBorders>
            <w:shd w:fill="FFFFFF" w:color="auto" w:val="clear"/>
            <w:tcMar>
              <w:top w:type="dxa" w:w="36"/>
              <w:left w:type="dxa" w:w="110"/>
              <w:bottom w:type="dxa" w:w="36"/>
              <w:right w:type="dxa" w:w="110"/>
            </w:tcMar>
            <w:vAlign w:val="top"/>
          </w:tcPr>
          <w:p>
            <w:pPr>
              <w:spacing w:after="50" w:line="250"/>
            </w:pPr>
            <w:r>
              <w:rPr>
                <w:rFonts w:ascii="Calibri" w:cs="Calibri" w:eastAsia="Calibri" w:hAnsi="Calibri"/>
                <w:b w:val="false"/>
                <w:bCs w:val="false"/>
                <w:sz w:val="17"/>
                <w:szCs w:val="17"/>
              </w:rPr>
              <w:t xml:space="preserve">Primary text: regulation, standards body, filing, or an official publication.</w:t>
            </w:r>
          </w:p>
        </w:tc>
      </w:tr>
      <w:tr>
        <w:trPr>
          <w:cantSplit/>
        </w:trPr>
        <w:tc>
          <w:tcPr>
            <w:tcW w:type="dxa" w:w="1300"/>
            <w:tcBorders>
              <w:top w:val="single" w:color="C8CED8" w:sz="4"/>
              <w:left w:val="single" w:color="C8CED8" w:sz="4"/>
              <w:bottom w:val="single" w:color="C8CED8" w:sz="4"/>
              <w:right w:val="single" w:color="C8CED8" w:sz="4"/>
            </w:tcBorders>
            <w:shd w:fill="EEF2F7" w:color="auto" w:val="clear"/>
            <w:tcMar>
              <w:top w:type="dxa" w:w="36"/>
              <w:left w:type="dxa" w:w="110"/>
              <w:bottom w:type="dxa" w:w="36"/>
              <w:right w:type="dxa" w:w="110"/>
            </w:tcMar>
            <w:vAlign w:val="top"/>
          </w:tcPr>
          <w:p>
            <w:pPr>
              <w:spacing w:after="50" w:line="250"/>
            </w:pPr>
            <w:r>
              <w:rPr>
                <w:rFonts w:ascii="Calibri" w:cs="Calibri" w:eastAsia="Calibri" w:hAnsi="Calibri"/>
                <w:b/>
                <w:bCs/>
                <w:sz w:val="17"/>
                <w:szCs w:val="17"/>
              </w:rPr>
              <w:t xml:space="preserve">BR</w:t>
            </w:r>
          </w:p>
        </w:tc>
        <w:tc>
          <w:tcPr>
            <w:tcW w:type="dxa" w:w="8060"/>
            <w:tcBorders>
              <w:top w:val="single" w:color="C8CED8" w:sz="4"/>
              <w:left w:val="single" w:color="C8CED8" w:sz="4"/>
              <w:bottom w:val="single" w:color="C8CED8" w:sz="4"/>
              <w:right w:val="single" w:color="C8CED8" w:sz="4"/>
            </w:tcBorders>
            <w:shd w:fill="EEF2F7" w:color="auto" w:val="clear"/>
            <w:tcMar>
              <w:top w:type="dxa" w:w="36"/>
              <w:left w:type="dxa" w:w="110"/>
              <w:bottom w:type="dxa" w:w="36"/>
              <w:right w:type="dxa" w:w="110"/>
            </w:tcMar>
            <w:vAlign w:val="top"/>
          </w:tcPr>
          <w:p>
            <w:pPr>
              <w:spacing w:after="50" w:line="250"/>
            </w:pPr>
            <w:r>
              <w:rPr>
                <w:rFonts w:ascii="Calibri" w:cs="Calibri" w:eastAsia="Calibri" w:hAnsi="Calibri"/>
                <w:b w:val="false"/>
                <w:bCs w:val="false"/>
                <w:sz w:val="17"/>
                <w:szCs w:val="17"/>
              </w:rPr>
              <w:t xml:space="preserve">Bank-reported: press release, newsroom article or executive statement. Self-reported, not independently audited.</w:t>
            </w:r>
          </w:p>
        </w:tc>
      </w:tr>
      <w:tr>
        <w:trPr>
          <w:cantSplit/>
        </w:trPr>
        <w:tc>
          <w:tcPr>
            <w:tcW w:type="dxa" w:w="1300"/>
            <w:tcBorders>
              <w:top w:val="single" w:color="C8CED8" w:sz="4"/>
              <w:left w:val="single" w:color="C8CED8" w:sz="4"/>
              <w:bottom w:val="single" w:color="C8CED8" w:sz="4"/>
              <w:right w:val="single" w:color="C8CED8" w:sz="4"/>
            </w:tcBorders>
            <w:shd w:fill="FFFFFF" w:color="auto" w:val="clear"/>
            <w:tcMar>
              <w:top w:type="dxa" w:w="36"/>
              <w:left w:type="dxa" w:w="110"/>
              <w:bottom w:type="dxa" w:w="36"/>
              <w:right w:type="dxa" w:w="110"/>
            </w:tcMar>
            <w:vAlign w:val="top"/>
          </w:tcPr>
          <w:p>
            <w:pPr>
              <w:spacing w:after="50" w:line="250"/>
            </w:pPr>
            <w:r>
              <w:rPr>
                <w:rFonts w:ascii="Calibri" w:cs="Calibri" w:eastAsia="Calibri" w:hAnsi="Calibri"/>
                <w:b/>
                <w:bCs/>
                <w:sz w:val="17"/>
                <w:szCs w:val="17"/>
              </w:rPr>
              <w:t xml:space="preserve">S</w:t>
            </w:r>
          </w:p>
        </w:tc>
        <w:tc>
          <w:tcPr>
            <w:tcW w:type="dxa" w:w="8060"/>
            <w:tcBorders>
              <w:top w:val="single" w:color="C8CED8" w:sz="4"/>
              <w:left w:val="single" w:color="C8CED8" w:sz="4"/>
              <w:bottom w:val="single" w:color="C8CED8" w:sz="4"/>
              <w:right w:val="single" w:color="C8CED8" w:sz="4"/>
            </w:tcBorders>
            <w:shd w:fill="FFFFFF" w:color="auto" w:val="clear"/>
            <w:tcMar>
              <w:top w:type="dxa" w:w="36"/>
              <w:left w:type="dxa" w:w="110"/>
              <w:bottom w:type="dxa" w:w="36"/>
              <w:right w:type="dxa" w:w="110"/>
            </w:tcMar>
            <w:vAlign w:val="top"/>
          </w:tcPr>
          <w:p>
            <w:pPr>
              <w:spacing w:after="50" w:line="250"/>
            </w:pPr>
            <w:r>
              <w:rPr>
                <w:rFonts w:ascii="Calibri" w:cs="Calibri" w:eastAsia="Calibri" w:hAnsi="Calibri"/>
                <w:b w:val="false"/>
                <w:bCs w:val="false"/>
                <w:sz w:val="17"/>
                <w:szCs w:val="17"/>
              </w:rPr>
              <w:t xml:space="preserve">Survey or consultancy research (trade bodies, consultancies, analyst firms).</w:t>
            </w:r>
          </w:p>
        </w:tc>
      </w:tr>
      <w:tr>
        <w:trPr>
          <w:cantSplit/>
        </w:trPr>
        <w:tc>
          <w:tcPr>
            <w:tcW w:type="dxa" w:w="1300"/>
            <w:tcBorders>
              <w:top w:val="single" w:color="C8CED8" w:sz="4"/>
              <w:left w:val="single" w:color="C8CED8" w:sz="4"/>
              <w:bottom w:val="single" w:color="C8CED8" w:sz="4"/>
              <w:right w:val="single" w:color="C8CED8" w:sz="4"/>
            </w:tcBorders>
            <w:shd w:fill="EEF2F7" w:color="auto" w:val="clear"/>
            <w:tcMar>
              <w:top w:type="dxa" w:w="36"/>
              <w:left w:type="dxa" w:w="110"/>
              <w:bottom w:type="dxa" w:w="36"/>
              <w:right w:type="dxa" w:w="110"/>
            </w:tcMar>
            <w:vAlign w:val="top"/>
          </w:tcPr>
          <w:p>
            <w:pPr>
              <w:spacing w:after="50" w:line="250"/>
            </w:pPr>
            <w:r>
              <w:rPr>
                <w:rFonts w:ascii="Calibri" w:cs="Calibri" w:eastAsia="Calibri" w:hAnsi="Calibri"/>
                <w:b/>
                <w:bCs/>
                <w:sz w:val="17"/>
                <w:szCs w:val="17"/>
              </w:rPr>
              <w:t xml:space="preserve">AE</w:t>
            </w:r>
          </w:p>
        </w:tc>
        <w:tc>
          <w:tcPr>
            <w:tcW w:type="dxa" w:w="8060"/>
            <w:tcBorders>
              <w:top w:val="single" w:color="C8CED8" w:sz="4"/>
              <w:left w:val="single" w:color="C8CED8" w:sz="4"/>
              <w:bottom w:val="single" w:color="C8CED8" w:sz="4"/>
              <w:right w:val="single" w:color="C8CED8" w:sz="4"/>
            </w:tcBorders>
            <w:shd w:fill="EEF2F7" w:color="auto" w:val="clear"/>
            <w:tcMar>
              <w:top w:type="dxa" w:w="36"/>
              <w:left w:type="dxa" w:w="110"/>
              <w:bottom w:type="dxa" w:w="36"/>
              <w:right w:type="dxa" w:w="110"/>
            </w:tcMar>
            <w:vAlign w:val="top"/>
          </w:tcPr>
          <w:p>
            <w:pPr>
              <w:spacing w:after="50" w:line="250"/>
            </w:pPr>
            <w:r>
              <w:rPr>
                <w:rFonts w:ascii="Calibri" w:cs="Calibri" w:eastAsia="Calibri" w:hAnsi="Calibri"/>
                <w:b w:val="false"/>
                <w:bCs w:val="false"/>
                <w:sz w:val="17"/>
                <w:szCs w:val="17"/>
              </w:rPr>
              <w:t xml:space="preserve">Analyst estimate or forecast.</w:t>
            </w:r>
          </w:p>
        </w:tc>
      </w:tr>
      <w:tr>
        <w:trPr>
          <w:cantSplit/>
        </w:trPr>
        <w:tc>
          <w:tcPr>
            <w:tcW w:type="dxa" w:w="1300"/>
            <w:tcBorders>
              <w:top w:val="single" w:color="C8CED8" w:sz="4"/>
              <w:left w:val="single" w:color="C8CED8" w:sz="4"/>
              <w:bottom w:val="single" w:color="C8CED8" w:sz="4"/>
              <w:right w:val="single" w:color="C8CED8" w:sz="4"/>
            </w:tcBorders>
            <w:shd w:fill="FFFFFF" w:color="auto" w:val="clear"/>
            <w:tcMar>
              <w:top w:type="dxa" w:w="36"/>
              <w:left w:type="dxa" w:w="110"/>
              <w:bottom w:type="dxa" w:w="36"/>
              <w:right w:type="dxa" w:w="110"/>
            </w:tcMar>
            <w:vAlign w:val="top"/>
          </w:tcPr>
          <w:p>
            <w:pPr>
              <w:spacing w:after="50" w:line="250"/>
            </w:pPr>
            <w:r>
              <w:rPr>
                <w:rFonts w:ascii="Calibri" w:cs="Calibri" w:eastAsia="Calibri" w:hAnsi="Calibri"/>
                <w:b/>
                <w:bCs/>
                <w:sz w:val="17"/>
                <w:szCs w:val="17"/>
              </w:rPr>
              <w:t xml:space="preserve">V</w:t>
            </w:r>
          </w:p>
        </w:tc>
        <w:tc>
          <w:tcPr>
            <w:tcW w:type="dxa" w:w="8060"/>
            <w:tcBorders>
              <w:top w:val="single" w:color="C8CED8" w:sz="4"/>
              <w:left w:val="single" w:color="C8CED8" w:sz="4"/>
              <w:bottom w:val="single" w:color="C8CED8" w:sz="4"/>
              <w:right w:val="single" w:color="C8CED8" w:sz="4"/>
            </w:tcBorders>
            <w:shd w:fill="FFFFFF" w:color="auto" w:val="clear"/>
            <w:tcMar>
              <w:top w:type="dxa" w:w="36"/>
              <w:left w:type="dxa" w:w="110"/>
              <w:bottom w:type="dxa" w:w="36"/>
              <w:right w:type="dxa" w:w="110"/>
            </w:tcMar>
            <w:vAlign w:val="top"/>
          </w:tcPr>
          <w:p>
            <w:pPr>
              <w:spacing w:after="50" w:line="250"/>
            </w:pPr>
            <w:r>
              <w:rPr>
                <w:rFonts w:ascii="Calibri" w:cs="Calibri" w:eastAsia="Calibri" w:hAnsi="Calibri"/>
                <w:b w:val="false"/>
                <w:bCs w:val="false"/>
                <w:sz w:val="17"/>
                <w:szCs w:val="17"/>
              </w:rPr>
              <w:t xml:space="preserve">Vendor claim or vendor-run survey. Treat as directional.</w:t>
            </w:r>
          </w:p>
        </w:tc>
      </w:tr>
      <w:tr>
        <w:trPr>
          <w:cantSplit/>
        </w:trPr>
        <w:tc>
          <w:tcPr>
            <w:tcW w:type="dxa" w:w="1300"/>
            <w:tcBorders>
              <w:top w:val="single" w:color="C8CED8" w:sz="4"/>
              <w:left w:val="single" w:color="C8CED8" w:sz="4"/>
              <w:bottom w:val="single" w:color="C8CED8" w:sz="4"/>
              <w:right w:val="single" w:color="C8CED8" w:sz="4"/>
            </w:tcBorders>
            <w:shd w:fill="EEF2F7" w:color="auto" w:val="clear"/>
            <w:tcMar>
              <w:top w:type="dxa" w:w="36"/>
              <w:left w:type="dxa" w:w="110"/>
              <w:bottom w:type="dxa" w:w="36"/>
              <w:right w:type="dxa" w:w="110"/>
            </w:tcMar>
            <w:vAlign w:val="top"/>
          </w:tcPr>
          <w:p>
            <w:pPr>
              <w:spacing w:after="50" w:line="250"/>
            </w:pPr>
            <w:r>
              <w:rPr>
                <w:rFonts w:ascii="Calibri" w:cs="Calibri" w:eastAsia="Calibri" w:hAnsi="Calibri"/>
                <w:b/>
                <w:bCs/>
                <w:sz w:val="17"/>
                <w:szCs w:val="17"/>
              </w:rPr>
              <w:t xml:space="preserve">SYN</w:t>
            </w:r>
          </w:p>
        </w:tc>
        <w:tc>
          <w:tcPr>
            <w:tcW w:type="dxa" w:w="8060"/>
            <w:tcBorders>
              <w:top w:val="single" w:color="C8CED8" w:sz="4"/>
              <w:left w:val="single" w:color="C8CED8" w:sz="4"/>
              <w:bottom w:val="single" w:color="C8CED8" w:sz="4"/>
              <w:right w:val="single" w:color="C8CED8" w:sz="4"/>
            </w:tcBorders>
            <w:shd w:fill="EEF2F7" w:color="auto" w:val="clear"/>
            <w:tcMar>
              <w:top w:type="dxa" w:w="36"/>
              <w:left w:type="dxa" w:w="110"/>
              <w:bottom w:type="dxa" w:w="36"/>
              <w:right w:type="dxa" w:w="110"/>
            </w:tcMar>
            <w:vAlign w:val="top"/>
          </w:tcPr>
          <w:p>
            <w:pPr>
              <w:spacing w:after="50" w:line="250"/>
            </w:pPr>
            <w:r>
              <w:rPr>
                <w:rFonts w:ascii="Calibri" w:cs="Calibri" w:eastAsia="Calibri" w:hAnsi="Calibri"/>
                <w:b w:val="false"/>
                <w:bCs w:val="false"/>
                <w:sz w:val="17"/>
                <w:szCs w:val="17"/>
              </w:rPr>
              <w:t xml:space="preserve">Synthesis or inference made in this document. Not stated by any single source.</w:t>
            </w:r>
          </w:p>
        </w:tc>
      </w:tr>
      <w:tr>
        <w:trPr>
          <w:cantSplit/>
        </w:trPr>
        <w:tc>
          <w:tcPr>
            <w:tcW w:type="dxa" w:w="1300"/>
            <w:tcBorders>
              <w:top w:val="single" w:color="C8CED8" w:sz="4"/>
              <w:left w:val="single" w:color="C8CED8" w:sz="4"/>
              <w:bottom w:val="single" w:color="C8CED8" w:sz="4"/>
              <w:right w:val="single" w:color="C8CED8" w:sz="4"/>
            </w:tcBorders>
            <w:shd w:fill="FFFFFF" w:color="auto" w:val="clear"/>
            <w:tcMar>
              <w:top w:type="dxa" w:w="36"/>
              <w:left w:type="dxa" w:w="110"/>
              <w:bottom w:type="dxa" w:w="36"/>
              <w:right w:type="dxa" w:w="110"/>
            </w:tcMar>
            <w:vAlign w:val="top"/>
          </w:tcPr>
          <w:p>
            <w:pPr>
              <w:spacing w:after="50" w:line="250"/>
            </w:pPr>
            <w:r>
              <w:rPr>
                <w:rFonts w:ascii="Calibri" w:cs="Calibri" w:eastAsia="Calibri" w:hAnsi="Calibri"/>
                <w:b/>
                <w:bCs/>
                <w:sz w:val="17"/>
                <w:szCs w:val="17"/>
              </w:rPr>
              <w:t xml:space="preserve">ILL</w:t>
            </w:r>
          </w:p>
        </w:tc>
        <w:tc>
          <w:tcPr>
            <w:tcW w:type="dxa" w:w="8060"/>
            <w:tcBorders>
              <w:top w:val="single" w:color="C8CED8" w:sz="4"/>
              <w:left w:val="single" w:color="C8CED8" w:sz="4"/>
              <w:bottom w:val="single" w:color="C8CED8" w:sz="4"/>
              <w:right w:val="single" w:color="C8CED8" w:sz="4"/>
            </w:tcBorders>
            <w:shd w:fill="FFFFFF" w:color="auto" w:val="clear"/>
            <w:tcMar>
              <w:top w:type="dxa" w:w="36"/>
              <w:left w:type="dxa" w:w="110"/>
              <w:bottom w:type="dxa" w:w="36"/>
              <w:right w:type="dxa" w:w="110"/>
            </w:tcMar>
            <w:vAlign w:val="top"/>
          </w:tcPr>
          <w:p>
            <w:pPr>
              <w:spacing w:after="50" w:line="250"/>
            </w:pPr>
            <w:r>
              <w:rPr>
                <w:rFonts w:ascii="Calibri" w:cs="Calibri" w:eastAsia="Calibri" w:hAnsi="Calibri"/>
                <w:b w:val="false"/>
                <w:bCs w:val="false"/>
                <w:sz w:val="17"/>
                <w:szCs w:val="17"/>
              </w:rPr>
              <w:t xml:space="preserve">Illustrative arithmetic with stated assumptions. Not evidence; shows how the mechanism would work.</w:t>
            </w:r>
          </w:p>
        </w:tc>
      </w:tr>
      <w:tr>
        <w:trPr>
          <w:cantSplit/>
        </w:trPr>
        <w:tc>
          <w:tcPr>
            <w:tcW w:type="dxa" w:w="1300"/>
            <w:tcBorders>
              <w:top w:val="single" w:color="C8CED8" w:sz="4"/>
              <w:left w:val="single" w:color="C8CED8" w:sz="4"/>
              <w:bottom w:val="single" w:color="C8CED8" w:sz="4"/>
              <w:right w:val="single" w:color="C8CED8" w:sz="4"/>
            </w:tcBorders>
            <w:shd w:fill="EEF2F7" w:color="auto" w:val="clear"/>
            <w:tcMar>
              <w:top w:type="dxa" w:w="36"/>
              <w:left w:type="dxa" w:w="110"/>
              <w:bottom w:type="dxa" w:w="36"/>
              <w:right w:type="dxa" w:w="110"/>
            </w:tcMar>
            <w:vAlign w:val="top"/>
          </w:tcPr>
          <w:p>
            <w:pPr>
              <w:spacing w:after="50" w:line="250"/>
            </w:pPr>
            <w:r>
              <w:rPr>
                <w:rFonts w:ascii="Calibri" w:cs="Calibri" w:eastAsia="Calibri" w:hAnsi="Calibri"/>
                <w:b/>
                <w:bCs/>
                <w:sz w:val="17"/>
                <w:szCs w:val="17"/>
              </w:rPr>
              <w:t xml:space="preserve">(secondary)</w:t>
            </w:r>
          </w:p>
        </w:tc>
        <w:tc>
          <w:tcPr>
            <w:tcW w:type="dxa" w:w="8060"/>
            <w:tcBorders>
              <w:top w:val="single" w:color="C8CED8" w:sz="4"/>
              <w:left w:val="single" w:color="C8CED8" w:sz="4"/>
              <w:bottom w:val="single" w:color="C8CED8" w:sz="4"/>
              <w:right w:val="single" w:color="C8CED8" w:sz="4"/>
            </w:tcBorders>
            <w:shd w:fill="EEF2F7" w:color="auto" w:val="clear"/>
            <w:tcMar>
              <w:top w:type="dxa" w:w="36"/>
              <w:left w:type="dxa" w:w="110"/>
              <w:bottom w:type="dxa" w:w="36"/>
              <w:right w:type="dxa" w:w="110"/>
            </w:tcMar>
            <w:vAlign w:val="top"/>
          </w:tcPr>
          <w:p>
            <w:pPr>
              <w:spacing w:after="50" w:line="250"/>
            </w:pPr>
            <w:r>
              <w:rPr>
                <w:rFonts w:ascii="Calibri" w:cs="Calibri" w:eastAsia="Calibri" w:hAnsi="Calibri"/>
                <w:b w:val="false"/>
                <w:bCs w:val="false"/>
                <w:sz w:val="17"/>
                <w:szCs w:val="17"/>
              </w:rPr>
              <w:t xml:space="preserve">Seen only through trade press or a third-party summary rather than the primary source.</w:t>
            </w:r>
          </w:p>
        </w:tc>
      </w:tr>
    </w:tbl>
    <w:p>
      <w:pPr>
        <w:spacing w:after="30"/>
      </w:pPr>
    </w:p>
    <w:p>
      <w:pPr>
        <w:pStyle w:val="Heading3"/>
        <w:keepNext/>
      </w:pPr>
      <w:r>
        <w:rPr>
          <w:rFonts w:ascii="Trebuchet MS" w:cs="Trebuchet MS" w:eastAsia="Trebuchet MS" w:hAnsi="Trebuchet MS"/>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30"/>
            </w:pPr>
            <w:r>
              <w:rPr>
                <w:rFonts w:ascii="Calibri" w:cs="Calibri" w:eastAsia="Calibri" w:hAnsi="Calibri"/>
                <w:sz w:val="18"/>
                <w:szCs w:val="18"/>
              </w:rPr>
              <w:t xml:space="preserve">1  Executive summary</w:t>
            </w:r>
          </w:p>
          <w:p>
            <w:pPr>
              <w:spacing w:after="30"/>
            </w:pPr>
            <w:r>
              <w:rPr>
                <w:rFonts w:ascii="Calibri" w:cs="Calibri" w:eastAsia="Calibri" w:hAnsi="Calibri"/>
                <w:sz w:val="18"/>
                <w:szCs w:val="18"/>
              </w:rPr>
              <w:t xml:space="preserve">2  Why new seats and not new tools</w:t>
            </w:r>
          </w:p>
          <w:p>
            <w:pPr>
              <w:spacing w:after="30"/>
            </w:pPr>
            <w:r>
              <w:rPr>
                <w:rFonts w:ascii="Calibri" w:cs="Calibri" w:eastAsia="Calibri" w:hAnsi="Calibri"/>
                <w:sz w:val="18"/>
                <w:szCs w:val="18"/>
              </w:rPr>
              <w:t xml:space="preserve">3  Idea A: the Agent Trust Authority</w:t>
            </w:r>
          </w:p>
          <w:p>
            <w:pPr>
              <w:spacing w:after="30"/>
            </w:pPr>
            <w:r>
              <w:rPr>
                <w:rFonts w:ascii="Calibri" w:cs="Calibri" w:eastAsia="Calibri" w:hAnsi="Calibri"/>
                <w:sz w:val="18"/>
                <w:szCs w:val="18"/>
              </w:rPr>
              <w:t xml:space="preserve">4  Idea B: Outcome-priced autonomous treasury</w:t>
            </w:r>
          </w:p>
          <w:p>
            <w:pPr>
              <w:spacing w:after="30"/>
            </w:pPr>
            <w:r>
              <w:rPr>
                <w:rFonts w:ascii="Calibri" w:cs="Calibri" w:eastAsia="Calibri" w:hAnsi="Calibri"/>
                <w:sz w:val="18"/>
                <w:szCs w:val="18"/>
              </w:rPr>
              <w:t xml:space="preserve">5  How the two ideas fit together</w:t>
            </w:r>
          </w:p>
        </w:tc>
        <w:tc>
          <w:tcPr>
            <w:tcW w:type="dxa" w:w="4680"/>
            <w:tcBorders>
              <w:top w:val="none" w:color="FFFFFF" w:sz="0"/>
              <w:left w:val="none" w:color="FFFFFF" w:sz="0"/>
              <w:bottom w:val="none" w:color="FFFFFF" w:sz="0"/>
              <w:right w:val="none" w:color="FFFFFF" w:sz="0"/>
            </w:tcBorders>
            <w:tcMar>
              <w:top w:type="dxa" w:w="20"/>
              <w:left w:type="dxa" w:w="0"/>
              <w:bottom w:type="dxa" w:w="20"/>
              <w:right w:type="dxa" w:w="120"/>
            </w:tcMar>
          </w:tcPr>
          <w:p>
            <w:pPr>
              <w:spacing w:after="30"/>
            </w:pPr>
            <w:r>
              <w:rPr>
                <w:rFonts w:ascii="Calibri" w:cs="Calibri" w:eastAsia="Calibri" w:hAnsi="Calibri"/>
                <w:sz w:val="18"/>
                <w:szCs w:val="18"/>
              </w:rPr>
              <w:t xml:space="preserve">6  The bench: three ideas held back</w:t>
            </w:r>
          </w:p>
          <w:p>
            <w:pPr>
              <w:spacing w:after="30"/>
            </w:pPr>
            <w:r>
              <w:rPr>
                <w:rFonts w:ascii="Calibri" w:cs="Calibri" w:eastAsia="Calibri" w:hAnsi="Calibri"/>
                <w:sz w:val="18"/>
                <w:szCs w:val="18"/>
              </w:rPr>
              <w:t xml:space="preserve">7  Segment relevance across all five ideas</w:t>
            </w:r>
          </w:p>
          <w:p>
            <w:pPr>
              <w:spacing w:after="30"/>
            </w:pPr>
            <w:r>
              <w:rPr>
                <w:rFonts w:ascii="Calibri" w:cs="Calibri" w:eastAsia="Calibri" w:hAnsi="Calibri"/>
                <w:sz w:val="18"/>
                <w:szCs w:val="18"/>
              </w:rPr>
              <w:t xml:space="preserve">8  Caveats and evidence quality</w:t>
            </w:r>
          </w:p>
          <w:p>
            <w:pPr>
              <w:spacing w:after="30"/>
            </w:pPr>
            <w:r>
              <w:rPr>
                <w:rFonts w:ascii="Calibri" w:cs="Calibri" w:eastAsia="Calibri" w:hAnsi="Calibri"/>
                <w:sz w:val="18"/>
                <w:szCs w:val="18"/>
              </w:rPr>
              <w:t xml:space="preserve">Appendix A  Source register</w:t>
            </w:r>
          </w:p>
        </w:tc>
      </w:tr>
    </w:tbl>
    <w:p>
      <w:r>
        <w:br w:type="page"/>
      </w:r>
    </w:p>
    <w:p>
      <w:pPr>
        <w:pStyle w:val="Heading1"/>
        <w:keepNext/>
      </w:pPr>
      <w:r>
        <w:rPr>
          <w:rFonts w:ascii="Trebuchet MS" w:cs="Trebuchet MS" w:eastAsia="Trebuchet MS" w:hAnsi="Trebuchet MS"/>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9A961" w:sz="36"/>
              <w:bottom w:val="none" w:color="FFFFFF" w:sz="0"/>
              <w:right w:val="none" w:color="FFFFFF" w:sz="0"/>
            </w:tcBorders>
            <w:shd w:fill="F7F3E8" w:color="auto" w:val="clear"/>
            <w:tcMar>
              <w:top w:type="dxa" w:w="120"/>
              <w:left w:type="dxa" w:w="220"/>
              <w:bottom w:type="dxa" w:w="100"/>
              <w:right w:type="dxa" w:w="200"/>
            </w:tcMar>
          </w:tcPr>
          <w:p>
            <w:pPr>
              <w:spacing w:after="60"/>
            </w:pPr>
            <w:r>
              <w:rPr>
                <w:rFonts w:ascii="Trebuchet MS" w:cs="Trebuchet MS" w:eastAsia="Trebuchet MS" w:hAnsi="Trebuchet MS"/>
                <w:b/>
                <w:bCs/>
                <w:color w:val="0F2D52"/>
                <w:sz w:val="21"/>
                <w:szCs w:val="21"/>
              </w:rPr>
              <w:t xml:space="preserve">The premise</w:t>
            </w:r>
          </w:p>
          <w:p>
            <w:pPr>
              <w:spacing w:after="60" w:line="268"/>
            </w:pPr>
            <w:r>
              <w:rPr>
                <w:rFonts w:ascii="Calibri" w:cs="Calibri" w:eastAsia="Calibri" w:hAnsi="Calibri"/>
                <w:sz w:val="20"/>
                <w:szCs w:val="20"/>
              </w:rPr>
              <w:t xml:space="preserve">In every client tier, AI agents </w:t>
            </w:r>
            <w:r>
              <w:rPr>
                <w:rFonts w:ascii="Calibri" w:cs="Calibri" w:eastAsia="Calibri" w:hAnsi="Calibri"/>
                <w:b/>
                <w:bCs/>
                <w:sz w:val="20"/>
                <w:szCs w:val="20"/>
              </w:rPr>
              <w:t xml:space="preserve">propose</w:t>
            </w:r>
            <w:r>
              <w:rPr>
                <w:rFonts w:ascii="Calibri" w:cs="Calibri" w:eastAsia="Calibri" w:hAnsi="Calibri"/>
                <w:sz w:val="20"/>
                <w:szCs w:val="20"/>
              </w:rPr>
              <w:t xml:space="preserve"> and humans </w:t>
            </w:r>
            <w:r>
              <w:rPr>
                <w:rFonts w:ascii="Calibri" w:cs="Calibri" w:eastAsia="Calibri" w:hAnsi="Calibri"/>
                <w:b/>
                <w:bCs/>
                <w:sz w:val="20"/>
                <w:szCs w:val="20"/>
              </w:rPr>
              <w:t xml:space="preserve">release</w:t>
            </w:r>
            <w:r>
              <w:rPr>
                <w:rFonts w:ascii="Calibri" w:cs="Calibri" w:eastAsia="Calibri" w:hAnsi="Calibri"/>
                <w:sz w:val="20"/>
                <w:szCs w:val="20"/>
              </w:rPr>
              <w:t xml:space="preserve">. The research behind this brief found that no bank in the sample has disclosed a client paying a separate, visible fee for AI insights: Chase gives its benchmarking to about five million small businesses free, Bank of America bundles CashPro Forecasting into information reporting, and J.P. Morgan's Cash Flow Intelligence was free in 2024 with no evidence a fee followed. Clients will not pay for a bank's view of their own data. They will pay for someone to stand behind an agent's authority, and they will share money they did not have before. Those are two seats the bank does not occupy today, and this brief describes how Wells Fargo could take them. [BR, SYN]</w:t>
            </w:r>
          </w:p>
        </w:tc>
      </w:tr>
    </w:tbl>
    <w:p>
      <w:pPr>
        <w:spacing w:after="120"/>
      </w:pPr>
    </w:p>
    <w:p>
      <w:pPr>
        <w:pStyle w:val="Heading2"/>
        <w:keepNext/>
      </w:pPr>
      <w:r>
        <w:rPr>
          <w:rFonts w:ascii="Trebuchet MS" w:cs="Trebuchet MS" w:eastAsia="Trebuchet MS" w:hAnsi="Trebuchet MS"/>
        </w:rPr>
        <w:t xml:space="preserve">The two ideas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cantSplit/>
          <w:tblHeader/>
        </w:trPr>
        <w:tc>
          <w:tcPr>
            <w:tcW w:type="dxa" w:w="15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p>
        </w:tc>
        <w:tc>
          <w:tcPr>
            <w:tcW w:type="dxa" w:w="393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Idea A: Agent Trust Authority</w:t>
            </w:r>
          </w:p>
        </w:tc>
        <w:tc>
          <w:tcPr>
            <w:tcW w:type="dxa" w:w="393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Idea B: Outcome-priced autonomous treasury</w:t>
            </w:r>
          </w:p>
        </w:tc>
      </w:tr>
      <w:tr>
        <w:trPr>
          <w:cantSplit w:val="false"/>
        </w:trPr>
        <w:tc>
          <w:tcPr>
            <w:tcW w:type="dxa" w:w="1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6"/>
                <w:szCs w:val="16"/>
              </w:rPr>
              <w:t xml:space="preserve">What it is</w:t>
            </w:r>
          </w:p>
        </w:tc>
        <w:tc>
          <w:tcPr>
            <w:tcW w:type="dxa" w:w="393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Wells Fargo issues, scopes and revokes machine-verifiable mandate credentials for its clients' AI agents, verifies them for anyone who asks, and stands behind payments executed within a credential it issued</w:t>
            </w:r>
          </w:p>
        </w:tc>
        <w:tc>
          <w:tcPr>
            <w:tcW w:type="dxa" w:w="393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Wells Fargo's agents run a client's cash operations under a mandate (sweeps, payables timing, collections, FX netting) and the bank is paid a share of audited uplift against a baseline. No uplift, no fee</w:t>
            </w:r>
          </w:p>
        </w:tc>
      </w:tr>
      <w:tr>
        <w:trPr>
          <w:cantSplit w:val="false"/>
        </w:trPr>
        <w:tc>
          <w:tcPr>
            <w:tcW w:type="dxa" w:w="15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6"/>
                <w:szCs w:val="16"/>
              </w:rPr>
              <w:t xml:space="preserve">The seat it takes</w:t>
            </w:r>
          </w:p>
        </w:tc>
        <w:tc>
          <w:tcPr>
            <w:tcW w:type="dxa" w:w="393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Trust anchor of the agentic economy: the party that answers "who stands behind this agent, with what authority, within what limits"</w:t>
            </w:r>
          </w:p>
        </w:tc>
        <w:tc>
          <w:tcPr>
            <w:tcW w:type="dxa" w:w="393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Operator paid on results, instead of vendor of a tool the client will not pay for</w:t>
            </w:r>
          </w:p>
        </w:tc>
      </w:tr>
      <w:tr>
        <w:trPr>
          <w:cantSplit w:val="false"/>
        </w:trPr>
        <w:tc>
          <w:tcPr>
            <w:tcW w:type="dxa" w:w="1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6"/>
                <w:szCs w:val="16"/>
              </w:rPr>
              <w:t xml:space="preserve">Who pays</w:t>
            </w:r>
          </w:p>
        </w:tc>
        <w:tc>
          <w:tcPr>
            <w:tcW w:type="dxa" w:w="393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Mostly not the client: counterparties, platforms, networks and other banks pay per verification; the client pays a small issuance fee and, if wanted, an indemnity premium</w:t>
            </w:r>
          </w:p>
        </w:tc>
        <w:tc>
          <w:tcPr>
            <w:tcW w:type="dxa" w:w="393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The client, as a percentage of audited gain; the bank also gives up some free-float margin and gains operating flows that must sit at Wells</w:t>
            </w:r>
          </w:p>
        </w:tc>
      </w:tr>
      <w:tr>
        <w:trPr>
          <w:cantSplit w:val="false"/>
        </w:trPr>
        <w:tc>
          <w:tcPr>
            <w:tcW w:type="dxa" w:w="15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6"/>
                <w:szCs w:val="16"/>
              </w:rPr>
              <w:t xml:space="preserve">Best first segment</w:t>
            </w:r>
          </w:p>
        </w:tc>
        <w:tc>
          <w:tcPr>
            <w:tcW w:type="dxa" w:w="393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Middle market as the issued party (distribution, manufacturing, healthcare services, cross-border); large corporates and mega-caps as verifiers</w:t>
            </w:r>
          </w:p>
        </w:tc>
        <w:tc>
          <w:tcPr>
            <w:tcW w:type="dxa" w:w="393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Emerging and core middle market, $25M–$500M, with thin treasury teams; private-equity portfolio companies as the sharpest first market</w:t>
            </w:r>
          </w:p>
        </w:tc>
      </w:tr>
      <w:tr>
        <w:trPr>
          <w:cantSplit w:val="false"/>
        </w:trPr>
        <w:tc>
          <w:tcPr>
            <w:tcW w:type="dxa" w:w="1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6"/>
                <w:szCs w:val="16"/>
              </w:rPr>
              <w:t xml:space="preserve">Closest existing analogue</w:t>
            </w:r>
          </w:p>
        </w:tc>
        <w:tc>
          <w:tcPr>
            <w:tcW w:type="dxa" w:w="393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A certificate authority; Early Warning as a bank-owned utility; GLEIF's vLEI "partitioned authority" model (1 Sep 2026)</w:t>
            </w:r>
          </w:p>
        </w:tc>
        <w:tc>
          <w:tcPr>
            <w:tcW w:type="dxa" w:w="393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Energy performance contracting, where the contractor is paid from verified savings; Deloitte's 2026 prediction of "outcome-based pricing tied to measurable improvements like fraud reduction and liquidity optimization" [AE]</w:t>
            </w:r>
          </w:p>
        </w:tc>
      </w:tr>
      <w:tr>
        <w:trPr>
          <w:cantSplit w:val="false"/>
        </w:trPr>
        <w:tc>
          <w:tcPr>
            <w:tcW w:type="dxa" w:w="15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6"/>
                <w:szCs w:val="16"/>
              </w:rPr>
              <w:t xml:space="preserve">Who else is doing it</w:t>
            </w:r>
          </w:p>
        </w:tc>
        <w:tc>
          <w:tcPr>
            <w:tcW w:type="dxa" w:w="393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No bank found. Identity vendors (Dock, Nuggets, Proof, Autheo) sell the technology; GLEIF proposes the model and names no bank; card networks are building agent rails for consumers</w:t>
            </w:r>
          </w:p>
        </w:tc>
        <w:tc>
          <w:tcPr>
            <w:tcW w:type="dxa" w:w="393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No bank found. J.P. Morgan and Bank of America give the tooling away; TMS vendors sell subscriptions</w:t>
            </w:r>
          </w:p>
        </w:tc>
      </w:tr>
      <w:tr>
        <w:trPr>
          <w:cantSplit w:val="false"/>
        </w:trPr>
        <w:tc>
          <w:tcPr>
            <w:tcW w:type="dxa" w:w="1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6"/>
                <w:szCs w:val="16"/>
              </w:rPr>
              <w:t xml:space="preserve">Horizon</w:t>
            </w:r>
          </w:p>
        </w:tc>
        <w:tc>
          <w:tcPr>
            <w:tcW w:type="dxa" w:w="393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Two to three years to a priced service; a read-only credential pilot is possible in 2027</w:t>
            </w:r>
          </w:p>
        </w:tc>
        <w:tc>
          <w:tcPr>
            <w:tcW w:type="dxa" w:w="393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Twelve to eighteen months to a priced pilot on the existing Vantage and sweep stack</w:t>
            </w:r>
          </w:p>
        </w:tc>
      </w:tr>
      <w:tr>
        <w:trPr>
          <w:cantSplit w:val="false"/>
        </w:trPr>
        <w:tc>
          <w:tcPr>
            <w:tcW w:type="dxa" w:w="15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6"/>
                <w:szCs w:val="16"/>
              </w:rPr>
              <w:t xml:space="preserve">Biggest risk</w:t>
            </w:r>
          </w:p>
        </w:tc>
        <w:tc>
          <w:tcPr>
            <w:tcW w:type="dxa" w:w="393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A network or consortium claims the role first; indemnity liability design</w:t>
            </w:r>
          </w:p>
        </w:tc>
        <w:tc>
          <w:tcPr>
            <w:tcW w:type="dxa" w:w="393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Attribution disputes; whether operating cash under mandate counts as advice or a fiduciary role</w:t>
            </w:r>
          </w:p>
        </w:tc>
      </w:tr>
      <w:tr>
        <w:trPr>
          <w:cantSplit w:val="false"/>
        </w:trPr>
        <w:tc>
          <w:tcPr>
            <w:tcW w:type="dxa" w:w="1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6"/>
                <w:szCs w:val="16"/>
              </w:rPr>
              <w:t xml:space="preserve">Willingness to pay</w:t>
            </w:r>
          </w:p>
        </w:tc>
        <w:tc>
          <w:tcPr>
            <w:tcW w:type="dxa" w:w="393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Inference. No one has priced it</w:t>
            </w:r>
          </w:p>
        </w:tc>
        <w:tc>
          <w:tcPr>
            <w:tcW w:type="dxa" w:w="393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Inference. No one has priced it</w:t>
            </w:r>
          </w:p>
        </w:tc>
      </w:tr>
    </w:tbl>
    <w:p>
      <w:pPr>
        <w:spacing w:after="120"/>
      </w:pPr>
    </w:p>
    <w:p>
      <w:pPr>
        <w:pStyle w:val="Heading2"/>
        <w:keepNext/>
      </w:pPr>
      <w:r>
        <w:rPr>
          <w:rFonts w:ascii="Trebuchet MS" w:cs="Trebuchet MS" w:eastAsia="Trebuchet MS" w:hAnsi="Trebuchet MS"/>
        </w:rPr>
        <w:t xml:space="preserve">Six points for the decision</w:t>
      </w:r>
    </w:p>
    <w:p>
      <w:pPr>
        <w:pStyle w:val="ListParagraph"/>
        <w:numPr>
          <w:ilvl w:val="0"/>
          <w:numId w:val="2"/>
        </w:numPr>
        <w:spacing w:after="80" w:line="268"/>
      </w:pPr>
      <w:r>
        <w:rPr>
          <w:rFonts w:ascii="Calibri" w:cs="Calibri" w:eastAsia="Calibri" w:hAnsi="Calibri"/>
          <w:b/>
          <w:bCs/>
          <w:sz w:val="21"/>
          <w:szCs w:val="21"/>
        </w:rPr>
        <w:t xml:space="preserve">The fee-for-insight route is closed by the market, not by the evidence gap.</w:t>
      </w:r>
      <w:r>
        <w:rPr>
          <w:rFonts w:ascii="Calibri" w:cs="Calibri" w:eastAsia="Calibri" w:hAnsi="Calibri"/>
          <w:sz w:val="21"/>
          <w:szCs w:val="21"/>
        </w:rPr>
        <w:t xml:space="preserve"> Peers give insight tools away to win and keep deposit and payment flows. A visible Wells Fargo "insights fee" would compete with free. [BR, SYN]</w:t>
      </w:r>
    </w:p>
    <w:p>
      <w:pPr>
        <w:pStyle w:val="ListParagraph"/>
        <w:numPr>
          <w:ilvl w:val="0"/>
          <w:numId w:val="2"/>
        </w:numPr>
        <w:spacing w:after="80" w:line="268"/>
      </w:pPr>
      <w:r>
        <w:rPr>
          <w:rFonts w:ascii="Calibri" w:cs="Calibri" w:eastAsia="Calibri" w:hAnsi="Calibri"/>
          <w:b/>
          <w:bCs/>
          <w:sz w:val="21"/>
          <w:szCs w:val="21"/>
        </w:rPr>
        <w:t xml:space="preserve">Trust is where banks still win.</w:t>
      </w:r>
      <w:r>
        <w:rPr>
          <w:rFonts w:ascii="Calibri" w:cs="Calibri" w:eastAsia="Calibri" w:hAnsi="Calibri"/>
          <w:sz w:val="21"/>
          <w:szCs w:val="21"/>
        </w:rPr>
        <w:t xml:space="preserve"> In Capgemini's 2026 survey of 1,110 corporates with $1B+ revenue, 71% would choose a bank over a fintech for tokenised payments at equal cost and quality. GLEIF's CEO set out the agent-authority problem on 1 September 2026 and named no bank or live scheme. [S, P]</w:t>
      </w:r>
    </w:p>
    <w:p>
      <w:pPr>
        <w:pStyle w:val="ListParagraph"/>
        <w:numPr>
          <w:ilvl w:val="0"/>
          <w:numId w:val="2"/>
        </w:numPr>
        <w:spacing w:after="80" w:line="268"/>
      </w:pPr>
      <w:r>
        <w:rPr>
          <w:rFonts w:ascii="Calibri" w:cs="Calibri" w:eastAsia="Calibri" w:hAnsi="Calibri"/>
          <w:b/>
          <w:bCs/>
          <w:sz w:val="21"/>
          <w:szCs w:val="21"/>
        </w:rPr>
        <w:t xml:space="preserve">Value from autonomous treasury is real and already demonstrated, just not charged for.</w:t>
      </w:r>
      <w:r>
        <w:rPr>
          <w:rFonts w:ascii="Calibri" w:cs="Calibri" w:eastAsia="Calibri" w:hAnsi="Calibri"/>
          <w:sz w:val="21"/>
          <w:szCs w:val="21"/>
        </w:rPr>
        <w:t xml:space="preserve"> Bank of America reports 3,000+ companies and 250,000+ hours saved in 2025 from CashPro Forecasting; J.P. Morgan's Amtrak case says better forecasting let the client invest idle funds. Gain-share pricing charges for that outcome rather than for the tool. [BR]</w:t>
      </w:r>
    </w:p>
    <w:p>
      <w:pPr>
        <w:pStyle w:val="ListParagraph"/>
        <w:numPr>
          <w:ilvl w:val="0"/>
          <w:numId w:val="2"/>
        </w:numPr>
        <w:spacing w:after="80" w:line="268"/>
      </w:pPr>
      <w:r>
        <w:rPr>
          <w:rFonts w:ascii="Calibri" w:cs="Calibri" w:eastAsia="Calibri" w:hAnsi="Calibri"/>
          <w:b/>
          <w:bCs/>
          <w:sz w:val="21"/>
          <w:szCs w:val="21"/>
        </w:rPr>
        <w:t xml:space="preserve">An analyst now predicts outcome pricing.</w:t>
      </w:r>
      <w:r>
        <w:rPr>
          <w:rFonts w:ascii="Calibri" w:cs="Calibri" w:eastAsia="Calibri" w:hAnsi="Calibri"/>
          <w:sz w:val="21"/>
          <w:szCs w:val="21"/>
        </w:rPr>
        <w:t xml:space="preserve"> Deloitte's 2026 financial-services predictions estimate AI-native products could reach as much as 25% of institutional banking revenue among the top 50 US banks by 2030 (about $66B base case, Deloitte's own estimate) and name outcome-based pricing, subscription tiers and usage fees as the models. [AE]</w:t>
      </w:r>
    </w:p>
    <w:p>
      <w:pPr>
        <w:pStyle w:val="ListParagraph"/>
        <w:numPr>
          <w:ilvl w:val="0"/>
          <w:numId w:val="2"/>
        </w:numPr>
        <w:spacing w:after="80" w:line="268"/>
      </w:pPr>
      <w:r>
        <w:rPr>
          <w:rFonts w:ascii="Calibri" w:cs="Calibri" w:eastAsia="Calibri" w:hAnsi="Calibri"/>
          <w:b/>
          <w:bCs/>
          <w:sz w:val="21"/>
          <w:szCs w:val="21"/>
        </w:rPr>
        <w:t xml:space="preserve">Wells Fargo has the raw materials and no priced client AI product.</w:t>
      </w:r>
      <w:r>
        <w:rPr>
          <w:rFonts w:ascii="Calibri" w:cs="Calibri" w:eastAsia="Calibri" w:hAnsi="Calibri"/>
          <w:sz w:val="21"/>
          <w:szCs w:val="21"/>
        </w:rPr>
        <w:t xml:space="preserve"> Vantage spans Commercial Banking and CIB; Fraud Manager, Dual Custody and the Commercial Banking APIs exist; tokenised deposits launched for corporate and commercial clients in the third quarter of 2026; the CEO said on 14 October that the bank is evaluating how third-party models and agents can provide value-added capabilities to clients. [BR, P]</w:t>
      </w:r>
    </w:p>
    <w:p>
      <w:pPr>
        <w:pStyle w:val="ListParagraph"/>
        <w:numPr>
          <w:ilvl w:val="0"/>
          <w:numId w:val="2"/>
        </w:numPr>
        <w:spacing w:after="80" w:line="268"/>
      </w:pPr>
      <w:r>
        <w:rPr>
          <w:rFonts w:ascii="Calibri" w:cs="Calibri" w:eastAsia="Calibri" w:hAnsi="Calibri"/>
          <w:b/>
          <w:bCs/>
          <w:sz w:val="21"/>
          <w:szCs w:val="21"/>
        </w:rPr>
        <w:t xml:space="preserve">Both ideas run on one engine.</w:t>
      </w:r>
      <w:r>
        <w:rPr>
          <w:rFonts w:ascii="Calibri" w:cs="Calibri" w:eastAsia="Calibri" w:hAnsi="Calibri"/>
          <w:sz w:val="21"/>
          <w:szCs w:val="21"/>
        </w:rPr>
        <w:t xml:space="preserve"> A mandate registry, an execution agent, an audit trail and a measurement layer serve both. Idea B needs the rails and the indemnity that Idea A creates. Building the engine once and pricing it twice is the case for pursuing both. [SYN]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9A961" w:sz="36"/>
              <w:bottom w:val="none" w:color="FFFFFF" w:sz="0"/>
              <w:right w:val="none" w:color="FFFFFF" w:sz="0"/>
            </w:tcBorders>
            <w:shd w:fill="F7F3E8" w:color="auto" w:val="clear"/>
            <w:tcMar>
              <w:top w:type="dxa" w:w="120"/>
              <w:left w:type="dxa" w:w="220"/>
              <w:bottom w:type="dxa" w:w="100"/>
              <w:right w:type="dxa" w:w="200"/>
            </w:tcMar>
          </w:tcPr>
          <w:p>
            <w:pPr>
              <w:spacing w:after="60"/>
            </w:pPr>
            <w:r>
              <w:rPr>
                <w:rFonts w:ascii="Trebuchet MS" w:cs="Trebuchet MS" w:eastAsia="Trebuchet MS" w:hAnsi="Trebuchet MS"/>
                <w:b/>
                <w:bCs/>
                <w:color w:val="0F2D52"/>
                <w:sz w:val="21"/>
                <w:szCs w:val="21"/>
              </w:rPr>
              <w:t xml:space="preserve">What this brief asks for</w:t>
            </w:r>
          </w:p>
          <w:p>
            <w:pPr>
              <w:spacing w:after="60" w:line="268"/>
            </w:pPr>
            <w:r>
              <w:rPr>
                <w:rFonts w:ascii="Calibri" w:cs="Calibri" w:eastAsia="Calibri" w:hAnsi="Calibri"/>
                <w:sz w:val="20"/>
                <w:szCs w:val="20"/>
              </w:rPr>
              <w:t xml:space="preserve">Two one-year pilots, each with explicit kill criteria (Sections 3.10 and 4.10); a legal scoping of the indemnity and of the advice question before either pilot charges a client; and a decision on whether Idea A is pursued alone or through a bank consortium.</w:t>
            </w:r>
          </w:p>
        </w:tc>
      </w:tr>
    </w:tbl>
    <w:p>
      <w:pPr>
        <w:pStyle w:val="Heading1"/>
        <w:keepNext/>
      </w:pPr>
      <w:r>
        <w:rPr>
          <w:rFonts w:ascii="Trebuchet MS" w:cs="Trebuchet MS" w:eastAsia="Trebuchet MS" w:hAnsi="Trebuchet MS"/>
        </w:rPr>
        <w:t xml:space="preserve">2  Why new seats and not new tools</w:t>
      </w:r>
    </w:p>
    <w:p>
      <w:pPr>
        <w:pStyle w:val="Heading2"/>
        <w:keepNext/>
      </w:pPr>
      <w:r>
        <w:rPr>
          <w:rFonts w:ascii="Trebuchet MS" w:cs="Trebuchet MS" w:eastAsia="Trebuchet MS" w:hAnsi="Trebuchet MS"/>
        </w:rPr>
        <w:t xml:space="preserve">2.1 What the willingness-to-pay research found</w:t>
      </w:r>
    </w:p>
    <w:p>
      <w:pPr>
        <w:spacing w:after="120" w:line="276"/>
      </w:pPr>
      <w:r>
        <w:rPr>
          <w:rFonts w:ascii="Calibri" w:cs="Calibri" w:eastAsia="Calibri" w:hAnsi="Calibri"/>
          <w:sz w:val="21"/>
          <w:szCs w:val="21"/>
        </w:rPr>
        <w:t xml:space="preserve">The 19 October research set out to find clients paying a bank for AI-assisted insight. It found none disclosed, in the US or abroad. The table condenses the position by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100"/>
        <w:gridCol w:w="2660"/>
        <w:gridCol w:w="1000"/>
      </w:tblGrid>
      <w:tr>
        <w:trPr>
          <w:cantSplit/>
          <w:tblHeader/>
        </w:trPr>
        <w:tc>
          <w:tcPr>
            <w:tcW w:type="dxa" w:w="15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Segment</w:t>
            </w:r>
          </w:p>
        </w:tc>
        <w:tc>
          <w:tcPr>
            <w:tcW w:type="dxa" w:w="21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Stand-alone fee for AI insight</w:t>
            </w:r>
          </w:p>
        </w:tc>
        <w:tc>
          <w:tcPr>
            <w:tcW w:type="dxa" w:w="21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What they do pay for, or would</w:t>
            </w:r>
          </w:p>
        </w:tc>
        <w:tc>
          <w:tcPr>
            <w:tcW w:type="dxa" w:w="26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Key evidence</w:t>
            </w:r>
          </w:p>
        </w:tc>
        <w:tc>
          <w:tcPr>
            <w:tcW w:type="dxa" w:w="10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Tag</w:t>
            </w:r>
          </w:p>
        </w:tc>
      </w:tr>
      <w:tr>
        <w:trPr>
          <w:cantSplit w:val="false"/>
        </w:trPr>
        <w:tc>
          <w:tcPr>
            <w:tcW w:type="dxa" w:w="1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Small business (&lt;$25M)</w:t>
            </w:r>
          </w:p>
        </w:tc>
        <w:tc>
          <w:tcPr>
            <w:tcW w:type="dxa" w:w="2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Low. 77% say their primary institution offers few products they would pay for (Datos, n=1,004, Q1 2025, vendor-distributed)</w:t>
            </w:r>
          </w:p>
        </w:tc>
        <w:tc>
          <w:tcPr>
            <w:tcW w:type="dxa" w:w="2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 premium account tier that bundles accounting connectivity, forecasting and advice; fraud protection expected free</w:t>
            </w:r>
          </w:p>
        </w:tc>
        <w:tc>
          <w:tcPr>
            <w:tcW w:type="dxa" w:w="26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Chase Customer Insights free to about 5M businesses; Nordea Sweden plans SEK 600 a year for SME insights but only after a free period ending 31 Dec 2026, so no fee is collected yet</w:t>
            </w:r>
          </w:p>
        </w:tc>
        <w:tc>
          <w:tcPr>
            <w:tcW w:type="dxa" w:w="10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 BR, P</w:t>
            </w:r>
          </w:p>
        </w:tc>
      </w:tr>
      <w:tr>
        <w:trPr>
          <w:cantSplit w:val="false"/>
        </w:trPr>
        <w:tc>
          <w:tcPr>
            <w:tcW w:type="dxa" w:w="15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Middle market ($25M–$2B)</w:t>
            </w:r>
          </w:p>
        </w:tc>
        <w:tc>
          <w:tcPr>
            <w:tcW w:type="dxa" w:w="2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Medium, and only as a priced module billed through account analysis and offsettable by earnings credit</w:t>
            </w:r>
          </w:p>
        </w:tc>
        <w:tc>
          <w:tcPr>
            <w:tcW w:type="dxa" w:w="2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Treasury reporting and API items are already priced line by line (Axos $150 per relationship per API; Banner $30 a month per account for BAI2 reporting); fraud and security scoring has a loss-avoided ROI</w:t>
            </w:r>
          </w:p>
        </w:tc>
        <w:tc>
          <w:tcPr>
            <w:tcW w:type="dxa" w:w="26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Information reporting and connectivity are observed payments; AI insight is not. No survey measures middle-market willingness to pay for bank analytics</w:t>
            </w:r>
          </w:p>
        </w:tc>
        <w:tc>
          <w:tcPr>
            <w:tcW w:type="dxa" w:w="10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 SYN</w:t>
            </w:r>
          </w:p>
        </w:tc>
      </w:tr>
      <w:tr>
        <w:trPr>
          <w:cantSplit w:val="false"/>
        </w:trPr>
        <w:tc>
          <w:tcPr>
            <w:tcW w:type="dxa" w:w="1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Large corporate (&gt;$2B)</w:t>
            </w:r>
          </w:p>
        </w:tc>
        <w:tc>
          <w:tcPr>
            <w:tcW w:type="dxa" w:w="2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Low. Multi-bank (11 relationships on average), TMS-centric, often build in-house; 51% of CFOs with $100M+ revenue say AI spending exceeded budget (U.S. Bank, n=1,000, Aug 2026, bank-sponsored)</w:t>
            </w:r>
          </w:p>
        </w:tc>
        <w:tc>
          <w:tcPr>
            <w:tcW w:type="dxa" w:w="2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Connectivity: APIs and agent endpoints, priced as usage if at all; the bank that plugs into their own AI tools wins operating flows</w:t>
            </w:r>
          </w:p>
        </w:tc>
        <w:tc>
          <w:tcPr>
            <w:tcW w:type="dxa" w:w="26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HSBCnio (29 Sep 2026) and Danske's MCP pilot are unpriced; Bank of America bundles CashPro Forecasting; J.P. Morgan's Cash Flow Intelligence free in 2024 with about 2,500 clients and "considering charging"</w:t>
            </w:r>
          </w:p>
        </w:tc>
        <w:tc>
          <w:tcPr>
            <w:tcW w:type="dxa" w:w="10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 BR, (secondary)</w:t>
            </w:r>
          </w:p>
        </w:tc>
      </w:tr>
    </w:tbl>
    <w:p>
      <w:pPr>
        <w:spacing w:after="100"/>
      </w:pPr>
    </w:p>
    <w:p>
      <w:pPr>
        <w:spacing w:after="120" w:line="276"/>
      </w:pPr>
      <w:r>
        <w:rPr>
          <w:rFonts w:ascii="Calibri" w:cs="Calibri" w:eastAsia="Calibri" w:hAnsi="Calibri"/>
          <w:b/>
          <w:bCs/>
          <w:sz w:val="21"/>
          <w:szCs w:val="21"/>
        </w:rPr>
        <w:t xml:space="preserve">Reading across [SYN]:</w:t>
      </w:r>
      <w:r>
        <w:rPr>
          <w:rFonts w:ascii="Calibri" w:cs="Calibri" w:eastAsia="Calibri" w:hAnsi="Calibri"/>
          <w:sz w:val="21"/>
          <w:szCs w:val="21"/>
        </w:rPr>
        <w:t xml:space="preserve"> the only observed payments are for plumbing (reporting, APIs) and for gates (fraud tools, dual custody). Insight is bundled everywhere. So the bank's monetisable position is not a better insight but a different role: the party that vouches for an agent, and the party that does the work and shares the gain.</w:t>
      </w:r>
    </w:p>
    <w:p>
      <w:pPr>
        <w:pStyle w:val="Heading2"/>
        <w:keepNext/>
      </w:pPr>
      <w:r>
        <w:rPr>
          <w:rFonts w:ascii="Trebuchet MS" w:cs="Trebuchet MS" w:eastAsia="Trebuchet MS" w:hAnsi="Trebuchet MS"/>
        </w:rPr>
        <w:t xml:space="preserve">2.2 Market signals that the seats are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2860"/>
        <w:gridCol w:w="1100"/>
      </w:tblGrid>
      <w:tr>
        <w:trPr>
          <w:cantSplit/>
          <w:tblHeader/>
        </w:trPr>
        <w:tc>
          <w:tcPr>
            <w:tcW w:type="dxa" w:w="21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Signal</w:t>
            </w:r>
          </w:p>
        </w:tc>
        <w:tc>
          <w:tcPr>
            <w:tcW w:type="dxa" w:w="33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What it says</w:t>
            </w:r>
          </w:p>
        </w:tc>
        <w:tc>
          <w:tcPr>
            <w:tcW w:type="dxa" w:w="28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Why it matters here</w:t>
            </w:r>
          </w:p>
        </w:tc>
        <w:tc>
          <w:tcPr>
            <w:tcW w:type="dxa" w:w="11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Tag</w:t>
            </w:r>
          </w:p>
        </w:tc>
      </w:tr>
      <w:tr>
        <w:trPr>
          <w:cantSplit w:val="false"/>
        </w:trPr>
        <w:tc>
          <w:tcPr>
            <w:tcW w:type="dxa" w:w="2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GLEIF, "When AI agents transact, who stands behind them?" (1 Sep 2026)</w:t>
            </w:r>
          </w:p>
        </w:tc>
        <w:tc>
          <w:tcPr>
            <w:tcW w:type="dxa" w:w="3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Each agent should carry machine-readable proof of the legal identity it acts for, the authority delegated to it and the limits of that authority; the vLEI as the organisational trust layer; "partitioned authority" per agent; credentials verified when a transaction starts; cross-border payments as the first use case; identity data embedded in ISO 20022 messages. Names no bank and no live scheme</w:t>
            </w:r>
          </w:p>
        </w:tc>
        <w:tc>
          <w:tcPr>
            <w:tcW w:type="dxa" w:w="28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Defines Idea A's product and leaves the issuer's chair empty</w:t>
            </w:r>
          </w:p>
        </w:tc>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w:t>
            </w:r>
          </w:p>
        </w:tc>
      </w:tr>
      <w:tr>
        <w:trPr>
          <w:cantSplit w:val="false"/>
        </w:trPr>
        <w:tc>
          <w:tcPr>
            <w:tcW w:type="dxa" w:w="2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Deloitte, AI-native products in institutional banking (2026 predictions)</w:t>
            </w:r>
          </w:p>
        </w:tc>
        <w:tc>
          <w:tcPr>
            <w:tcW w:type="dxa" w:w="3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AI-native products could be as much as 25% of institutional banking revenue among the top 50 US banks by 2030; base case about $66B, upside above $75B (Deloitte estimate); pricing models include "outcome-based pricing tied to measurable improvements like fraud reduction and liquidity optimization"; pricing power may depend on "demonstrated outcomes, performance guarantees"</w:t>
            </w:r>
          </w:p>
        </w:tc>
        <w:tc>
          <w:tcPr>
            <w:tcW w:type="dxa" w:w="28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first analyst statement found that names outcome pricing for bank AI products; it does not name a bank doing it</w:t>
            </w:r>
          </w:p>
        </w:tc>
        <w:tc>
          <w:tcPr>
            <w:tcW w:type="dxa" w:w="1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AE</w:t>
            </w:r>
          </w:p>
        </w:tc>
      </w:tr>
      <w:tr>
        <w:trPr>
          <w:cantSplit w:val="false"/>
        </w:trPr>
        <w:tc>
          <w:tcPr>
            <w:tcW w:type="dxa" w:w="2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HSBCnio (29 Sep 2026) and Danske Bank MCP Service pilot (Sep 2026)</w:t>
            </w:r>
          </w:p>
        </w:tc>
        <w:tc>
          <w:tcPr>
            <w:tcW w:type="dxa" w:w="3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Bank-run agent endpoints for corporate clients, query-only, pricing not published</w:t>
            </w:r>
          </w:p>
        </w:tc>
        <w:tc>
          <w:tcPr>
            <w:tcW w:type="dxa" w:w="28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Read access is being given away; the propose and execute tiers, and the authority behind them, are not yet anyone's product</w:t>
            </w:r>
          </w:p>
        </w:tc>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w:t>
            </w:r>
          </w:p>
        </w:tc>
      </w:tr>
      <w:tr>
        <w:trPr>
          <w:cantSplit w:val="false"/>
        </w:trPr>
        <w:tc>
          <w:tcPr>
            <w:tcW w:type="dxa" w:w="2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Wells Fargo Q3 2026 call (14 Oct 2026)</w:t>
            </w:r>
          </w:p>
        </w:tc>
        <w:tc>
          <w:tcPr>
            <w:tcW w:type="dxa" w:w="3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Tokenised deposits launched for corporate and commercial clients; the CEO said the bank is evaluating how third-party models and agents can provide value-added capabilities to clients</w:t>
            </w:r>
          </w:p>
        </w:tc>
        <w:tc>
          <w:tcPr>
            <w:tcW w:type="dxa" w:w="28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Settlement rail and executive intent for both ideas</w:t>
            </w:r>
          </w:p>
        </w:tc>
        <w:tc>
          <w:tcPr>
            <w:tcW w:type="dxa" w:w="1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 (secondary)</w:t>
            </w:r>
          </w:p>
        </w:tc>
      </w:tr>
      <w:tr>
        <w:trPr>
          <w:cantSplit w:val="false"/>
        </w:trPr>
        <w:tc>
          <w:tcPr>
            <w:tcW w:type="dxa" w:w="2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Capgemini World Payments Report 2027 (24 Sep 2026; 1,110 corporates, $1B+)</w:t>
            </w:r>
          </w:p>
        </w:tc>
        <w:tc>
          <w:tcPr>
            <w:tcW w:type="dxa" w:w="3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71% would choose a bank over a fintech for tokenised payments at equal cost and quality; 32% satisfied with their primary bank; nearly 60% would source stablecoin services from non-banks if banks lag</w:t>
            </w:r>
          </w:p>
        </w:tc>
        <w:tc>
          <w:tcPr>
            <w:tcW w:type="dxa" w:w="28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Trust premium exists; patience does not</w:t>
            </w:r>
          </w:p>
        </w:tc>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w:t>
            </w:r>
          </w:p>
        </w:tc>
      </w:tr>
      <w:tr>
        <w:trPr>
          <w:cantSplit w:val="false"/>
        </w:trPr>
        <w:tc>
          <w:tcPr>
            <w:tcW w:type="dxa" w:w="2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Agent-payment frameworks (prior research)</w:t>
            </w:r>
          </w:p>
        </w:tc>
        <w:tc>
          <w:tcPr>
            <w:tcW w:type="dxa" w:w="3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AP2 (Google, now under the FIDO Alliance, v0.2), Mastercard Agent Pay and Verifiable Intent, Visa Intelligent Commerce, Stripe ACP, Coinbase x402</w:t>
            </w:r>
          </w:p>
        </w:tc>
        <w:tc>
          <w:tcPr>
            <w:tcW w:type="dxa" w:w="28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Rails for agent payments exist, mostly consumer and card; corporate authority and liability are open</w:t>
            </w:r>
          </w:p>
        </w:tc>
        <w:tc>
          <w:tcPr>
            <w:tcW w:type="dxa" w:w="1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 V</w:t>
            </w:r>
          </w:p>
        </w:tc>
      </w:tr>
      <w:tr>
        <w:trPr>
          <w:cantSplit w:val="false"/>
        </w:trPr>
        <w:tc>
          <w:tcPr>
            <w:tcW w:type="dxa" w:w="2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SWIFT CBPR+ structured addresses mandatory (Nov 2026); MCP stateless specification (28 Jul 2026)</w:t>
            </w:r>
          </w:p>
        </w:tc>
        <w:tc>
          <w:tcPr>
            <w:tcW w:type="dxa" w:w="3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ISO 20022 structure and a stable agent protocol</w:t>
            </w:r>
          </w:p>
        </w:tc>
        <w:tc>
          <w:tcPr>
            <w:tcW w:type="dxa" w:w="28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GLEIF's suggestion to embed identity in ISO 20022 lands in the bank's own plumbing</w:t>
            </w:r>
          </w:p>
        </w:tc>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w:t>
            </w:r>
          </w:p>
        </w:tc>
      </w:tr>
    </w:tbl>
    <w:p>
      <w:pPr>
        <w:pStyle w:val="Heading2"/>
        <w:keepNext/>
      </w:pPr>
      <w:r>
        <w:rPr>
          <w:rFonts w:ascii="Trebuchet MS" w:cs="Trebuchet MS" w:eastAsia="Trebuchet MS" w:hAnsi="Trebuchet MS"/>
        </w:rPr>
        <w:t xml:space="preserve">2.3 Wells Fargo's starting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160"/>
        <w:gridCol w:w="1800"/>
        <w:gridCol w:w="1100"/>
      </w:tblGrid>
      <w:tr>
        <w:trPr>
          <w:cantSplit/>
          <w:tblHeader/>
        </w:trPr>
        <w:tc>
          <w:tcPr>
            <w:tcW w:type="dxa" w:w="23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Asset</w:t>
            </w:r>
          </w:p>
        </w:tc>
        <w:tc>
          <w:tcPr>
            <w:tcW w:type="dxa" w:w="41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What is public</w:t>
            </w:r>
          </w:p>
        </w:tc>
        <w:tc>
          <w:tcPr>
            <w:tcW w:type="dxa" w:w="18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Used by</w:t>
            </w:r>
          </w:p>
        </w:tc>
        <w:tc>
          <w:tcPr>
            <w:tcW w:type="dxa" w:w="11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Tag</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Vantage</w:t>
            </w:r>
          </w:p>
        </w:tc>
        <w:tc>
          <w:tcPr>
            <w:tcW w:type="dxa" w:w="41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Commercial and corporate portal launched December 2022 with AI/ML personalisation; spans Commercial Banking and CIB; "additional fees may apply"; no analytics module price published</w:t>
            </w:r>
          </w:p>
        </w:tc>
        <w:tc>
          <w:tcPr>
            <w:tcW w:type="dxa" w:w="1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 and B</w:t>
            </w:r>
          </w:p>
        </w:tc>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 P</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Fraud Manager (via Vantage): ACH Fraud Filter, Positive Pay, Add Check Issues; Perfect Receivables; Dual Custody; Alerts</w:t>
            </w:r>
          </w:p>
        </w:tc>
        <w:tc>
          <w:tcPr>
            <w:tcW w:type="dxa" w:w="41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Listed on the commercial fraud-defenses page; the page mentions no AI, no account validation and no payment anomaly detection, and states no pricing</w:t>
            </w:r>
          </w:p>
        </w:tc>
        <w:tc>
          <w:tcPr>
            <w:tcW w:type="dxa" w:w="1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 (mandate and release controls), B (fraud lever)</w:t>
            </w:r>
          </w:p>
        </w:tc>
        <w:tc>
          <w:tcPr>
            <w:tcW w:type="dxa" w:w="1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Commercial Banking APIs (18 Sep 2024)</w:t>
            </w:r>
          </w:p>
        </w:tc>
        <w:tc>
          <w:tcPr>
            <w:tcW w:type="dxa" w:w="41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Order processing with instant credit checks, real-time inventory data, instant invoicing, transaction reconciliation, for manufacturers, distributors and dealers; no ERP named; no pricing or adoption published</w:t>
            </w:r>
          </w:p>
        </w:tc>
        <w:tc>
          <w:tcPr>
            <w:tcW w:type="dxa" w:w="1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 (verification API pattern), B (data feeds)</w:t>
            </w:r>
          </w:p>
        </w:tc>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 (secondary)</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Tokenised deposits (Q3 2026)</w:t>
            </w:r>
          </w:p>
        </w:tc>
        <w:tc>
          <w:tcPr>
            <w:tcW w:type="dxa" w:w="41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Launched for corporate and commercial clients</w:t>
            </w:r>
          </w:p>
        </w:tc>
        <w:tc>
          <w:tcPr>
            <w:tcW w:type="dxa" w:w="1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 (execute tier settlement), B (24/7 sweeps)</w:t>
            </w:r>
          </w:p>
        </w:tc>
        <w:tc>
          <w:tcPr>
            <w:tcW w:type="dxa" w:w="1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 (secondary)</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AI in payments</w:t>
            </w:r>
          </w:p>
        </w:tc>
        <w:tc>
          <w:tcPr>
            <w:tcW w:type="dxa" w:w="41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335 experiments, 26 live in production (American Banker, May 2026); "intelligence on top of transactions" described as cash-flow forecasting, liquidity risk detection, pricing insights and growth opportunities</w:t>
            </w:r>
          </w:p>
        </w:tc>
        <w:tc>
          <w:tcPr>
            <w:tcW w:type="dxa" w:w="1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w:t>
            </w:r>
          </w:p>
        </w:tc>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 (secondary)</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Forecasting</w:t>
            </w:r>
          </w:p>
        </w:tc>
        <w:tc>
          <w:tcPr>
            <w:tcW w:type="dxa" w:w="41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Clients pointed to Trovata, a fintech Wells Fargo invested in; Trovata lists a $24k a year base package (fintech list price, not a Wells fee)</w:t>
            </w:r>
          </w:p>
        </w:tc>
        <w:tc>
          <w:tcPr>
            <w:tcW w:type="dxa" w:w="1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w:t>
            </w:r>
          </w:p>
        </w:tc>
        <w:tc>
          <w:tcPr>
            <w:tcW w:type="dxa" w:w="1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 V</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Priced client AI product</w:t>
            </w:r>
          </w:p>
        </w:tc>
        <w:tc>
          <w:tcPr>
            <w:tcW w:type="dxa" w:w="41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None found</w:t>
            </w:r>
          </w:p>
        </w:tc>
        <w:tc>
          <w:tcPr>
            <w:tcW w:type="dxa" w:w="1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t>
            </w:r>
          </w:p>
        </w:tc>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SYN</w:t>
            </w:r>
          </w:p>
        </w:tc>
      </w:tr>
    </w:tbl>
    <w:p>
      <w:pPr>
        <w:pStyle w:val="Heading1"/>
        <w:keepNext/>
      </w:pPr>
      <w:r>
        <w:rPr>
          <w:rFonts w:ascii="Trebuchet MS" w:cs="Trebuchet MS" w:eastAsia="Trebuchet MS" w:hAnsi="Trebuchet MS"/>
        </w:rPr>
        <w:t xml:space="preserve">3  Idea A: the Agent Trust Authority</w:t>
      </w:r>
    </w:p>
    <w:p>
      <w:pPr>
        <w:pStyle w:val="Heading2"/>
        <w:keepNext/>
      </w:pPr>
      <w:r>
        <w:rPr>
          <w:rFonts w:ascii="Trebuchet MS" w:cs="Trebuchet MS" w:eastAsia="Trebuchet MS" w:hAnsi="Trebuchet MS"/>
        </w:rPr>
        <w:t xml:space="preserve">3.1 The problem it solves</w:t>
      </w:r>
    </w:p>
    <w:p>
      <w:pPr>
        <w:spacing w:after="120" w:line="276"/>
      </w:pPr>
      <w:r>
        <w:rPr>
          <w:rFonts w:ascii="Calibri" w:cs="Calibri" w:eastAsia="Calibri" w:hAnsi="Calibri"/>
          <w:sz w:val="21"/>
          <w:szCs w:val="21"/>
        </w:rPr>
        <w:t xml:space="preserve">When a corporate's AI agent sends a payment or places an order, the receiving party has no way to answer three questions by machine: which legal entity stands behind this agent, what authority was delegated to it, and what are the limits of that authority. Today the answer is reconstructed after the fact, if at all. GLEIF proposes that credentials be verified when a transaction starts, with "partitioned authority" governing what each agent may do, under whose mandate, for how long and within what limits. [P]</w:t>
      </w:r>
    </w:p>
    <w:p>
      <w:pPr>
        <w:spacing w:after="120" w:line="276"/>
      </w:pPr>
      <w:r>
        <w:rPr>
          <w:rFonts w:ascii="Calibri" w:cs="Calibri" w:eastAsia="Calibri" w:hAnsi="Calibri"/>
          <w:sz w:val="21"/>
          <w:szCs w:val="21"/>
        </w:rPr>
        <w:t xml:space="preserve">The research found that this missing answer is also what stops agents from executing. Every bank and vendor channel examined stops at "propose"; the fintechs that let agents move money do so under mandatory human approval; the liability frameworks for agent-initiated payments were described as unresolved as of mid-2026 (prior research, secondary). The bank is the only party that already holds the signatory authority, the KYB file, the dual-custody rules and the account. It can answer the three questions with evidence no identity vendor has. [SYN]</w:t>
      </w:r>
    </w:p>
    <w:p>
      <w:pPr>
        <w:pStyle w:val="Heading2"/>
        <w:keepNext/>
      </w:pPr>
      <w:r>
        <w:rPr>
          <w:rFonts w:ascii="Trebuchet MS" w:cs="Trebuchet MS" w:eastAsia="Trebuchet MS" w:hAnsi="Trebuchet MS"/>
        </w:rPr>
        <w:t xml:space="preserve">3.2 The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2000"/>
        <w:gridCol w:w="1900"/>
      </w:tblGrid>
      <w:tr>
        <w:trPr>
          <w:cantSplit/>
          <w:tblHeader/>
        </w:trPr>
        <w:tc>
          <w:tcPr>
            <w:tcW w:type="dxa" w:w="17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Product</w:t>
            </w:r>
          </w:p>
        </w:tc>
        <w:tc>
          <w:tcPr>
            <w:tcW w:type="dxa" w:w="37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What it does</w:t>
            </w:r>
          </w:p>
        </w:tc>
        <w:tc>
          <w:tcPr>
            <w:tcW w:type="dxa" w:w="20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Who uses it</w:t>
            </w:r>
          </w:p>
        </w:tc>
        <w:tc>
          <w:tcPr>
            <w:tcW w:type="dxa" w:w="19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Pricing shape</w:t>
            </w:r>
          </w:p>
        </w:tc>
      </w:tr>
      <w:tr>
        <w:trPr>
          <w:cantSplit w:val="false"/>
        </w:trPr>
        <w:tc>
          <w:tcPr>
            <w:tcW w:type="dxa" w:w="1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Mandate credentials</w:t>
            </w:r>
          </w:p>
        </w:tc>
        <w:tc>
          <w:tcPr>
            <w:tcW w:type="dxa" w:w="37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Wells Fargo registers a client's agent, binds it to a mandate (entity, delegating signatory, scope, limits, counterparty classes, time window) and issues a machine-verifiable credential chained to the client's verified identity. Credentials are revocable in real time and expire</w:t>
            </w:r>
          </w:p>
        </w:tc>
        <w:tc>
          <w:tcPr>
            <w:tcW w:type="dxa" w:w="20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Wells Fargo clients whose agents act on counterparties, platforms and banks</w:t>
            </w:r>
          </w:p>
        </w:tc>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Small issuance fee per mandate per year; or bundled into the Vantage agent tier</w:t>
            </w:r>
          </w:p>
        </w:tc>
      </w:tr>
      <w:tr>
        <w:trPr>
          <w:cantSplit w:val="false"/>
        </w:trPr>
        <w:tc>
          <w:tcPr>
            <w:tcW w:type="dxa" w:w="1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Verification service</w:t>
            </w:r>
          </w:p>
        </w:tc>
        <w:tc>
          <w:tcPr>
            <w:tcW w:type="dxa" w:w="37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An API that answers, at transaction start: is this agent authorised by this entity for this action, at this amount, with this counterparty, now? Returns a signed yes/no and the mandate's public scope. Works across ISO 20022 messages, MCP headers and platform APIs</w:t>
            </w:r>
          </w:p>
        </w:tc>
        <w:tc>
          <w:tcPr>
            <w:tcW w:type="dxa" w:w="20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Counterparties (buyers and suppliers), AP networks and marketplaces, other banks, payment networks</w:t>
            </w:r>
          </w:p>
        </w:tc>
        <w:tc>
          <w:tcPr>
            <w:tcW w:type="dxa" w:w="19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Per verification, with volume tiers; free below a threshold to seed adoption</w:t>
            </w:r>
          </w:p>
        </w:tc>
      </w:tr>
      <w:tr>
        <w:trPr>
          <w:cantSplit w:val="false"/>
        </w:trPr>
        <w:tc>
          <w:tcPr>
            <w:tcW w:type="dxa" w:w="1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Wells-backed agent indemnity</w:t>
            </w:r>
          </w:p>
        </w:tc>
        <w:tc>
          <w:tcPr>
            <w:tcW w:type="dxa" w:w="37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bank stands behind payments executed within a credential it issued: if the agent acted inside its mandate and the payment was still wrong (fraud, error, compromised counterparty), the bank makes the client whole under defined terms</w:t>
            </w:r>
          </w:p>
        </w:tc>
        <w:tc>
          <w:tcPr>
            <w:tcW w:type="dxa" w:w="20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Clients that want to move from propose to execute but lack the risk appetite</w:t>
            </w:r>
          </w:p>
        </w:tc>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Premium, priced on mandate scope and limits; the closest analogue is a fraud guarantee or an insurance wrap</w:t>
            </w:r>
          </w:p>
        </w:tc>
      </w:tr>
    </w:tbl>
    <w:p>
      <w:pPr>
        <w:pStyle w:val="Heading2"/>
        <w:keepNext/>
      </w:pPr>
      <w:r>
        <w:rPr>
          <w:rFonts w:ascii="Trebuchet MS" w:cs="Trebuchet MS" w:eastAsia="Trebuchet MS" w:hAnsi="Trebuchet MS"/>
        </w:rPr>
        <w:t xml:space="preserve">3.3 How it works</w:t>
      </w:r>
    </w:p>
    <w:p>
      <w:pPr>
        <w:pStyle w:val="ListParagraph"/>
        <w:numPr>
          <w:ilvl w:val="0"/>
          <w:numId w:val="3"/>
        </w:numPr>
        <w:spacing w:after="80" w:line="268"/>
      </w:pPr>
      <w:r>
        <w:rPr>
          <w:rFonts w:ascii="Calibri" w:cs="Calibri" w:eastAsia="Calibri" w:hAnsi="Calibri"/>
          <w:sz w:val="21"/>
          <w:szCs w:val="21"/>
        </w:rPr>
        <w:t xml:space="preserve">The client registers an agent in Vantage: the agent's identifier and key, the system it runs in (TMS, ERP, Copilot, custom), and the delegating signatory, who must already hold authority in Wells Fargo's records.</w:t>
      </w:r>
    </w:p>
    <w:p>
      <w:pPr>
        <w:pStyle w:val="ListParagraph"/>
        <w:numPr>
          <w:ilvl w:val="0"/>
          <w:numId w:val="3"/>
        </w:numPr>
        <w:spacing w:after="80" w:line="268"/>
      </w:pPr>
      <w:r>
        <w:rPr>
          <w:rFonts w:ascii="Calibri" w:cs="Calibri" w:eastAsia="Calibri" w:hAnsi="Calibri"/>
          <w:sz w:val="21"/>
          <w:szCs w:val="21"/>
        </w:rPr>
        <w:t xml:space="preserve">The signatory sets the mandate: scope (query, propose, execute), per-transaction and daily limits, permitted counterparty classes or named counterparties, currencies and corridors, time window, and whether dual custody applies above a threshold.</w:t>
      </w:r>
    </w:p>
    <w:p>
      <w:pPr>
        <w:pStyle w:val="ListParagraph"/>
        <w:numPr>
          <w:ilvl w:val="0"/>
          <w:numId w:val="3"/>
        </w:numPr>
        <w:spacing w:after="80" w:line="268"/>
      </w:pPr>
      <w:r>
        <w:rPr>
          <w:rFonts w:ascii="Calibri" w:cs="Calibri" w:eastAsia="Calibri" w:hAnsi="Calibri"/>
          <w:sz w:val="21"/>
          <w:szCs w:val="21"/>
        </w:rPr>
        <w:t xml:space="preserve">Wells Fargo issues a credential chained to the client's verified legal identity (the vLEI route proposed by GLEIF, or an equivalent the bank controls) and records it in a mandate registry with an audit trail.</w:t>
      </w:r>
    </w:p>
    <w:p>
      <w:pPr>
        <w:pStyle w:val="ListParagraph"/>
        <w:numPr>
          <w:ilvl w:val="0"/>
          <w:numId w:val="3"/>
        </w:numPr>
        <w:spacing w:after="80" w:line="268"/>
      </w:pPr>
      <w:r>
        <w:rPr>
          <w:rFonts w:ascii="Calibri" w:cs="Calibri" w:eastAsia="Calibri" w:hAnsi="Calibri"/>
          <w:sz w:val="21"/>
          <w:szCs w:val="21"/>
        </w:rPr>
        <w:t xml:space="preserve">The agent presents the credential with each action: embedded in the ISO 20022 payment message, carried in MCP headers to a bank endpoint, or passed through a platform API.</w:t>
      </w:r>
    </w:p>
    <w:p>
      <w:pPr>
        <w:pStyle w:val="ListParagraph"/>
        <w:numPr>
          <w:ilvl w:val="0"/>
          <w:numId w:val="3"/>
        </w:numPr>
        <w:spacing w:after="80" w:line="268"/>
      </w:pPr>
      <w:r>
        <w:rPr>
          <w:rFonts w:ascii="Calibri" w:cs="Calibri" w:eastAsia="Calibri" w:hAnsi="Calibri"/>
          <w:sz w:val="21"/>
          <w:szCs w:val="21"/>
        </w:rPr>
        <w:t xml:space="preserve">The receiving party calls the verification service at transaction start and gets a signed answer. Counterparties that trust Wells Fargo's answer can accept agent-initiated orders and payments they would otherwise hold for manual review.</w:t>
      </w:r>
    </w:p>
    <w:p>
      <w:pPr>
        <w:pStyle w:val="ListParagraph"/>
        <w:numPr>
          <w:ilvl w:val="0"/>
          <w:numId w:val="3"/>
        </w:numPr>
        <w:spacing w:after="80" w:line="268"/>
      </w:pPr>
      <w:r>
        <w:rPr>
          <w:rFonts w:ascii="Calibri" w:cs="Calibri" w:eastAsia="Calibri" w:hAnsi="Calibri"/>
          <w:sz w:val="21"/>
          <w:szCs w:val="21"/>
        </w:rPr>
        <w:t xml:space="preserve">For execute-tier mandates, the payment settles on Wells rails, including tokenised deposits for 24/7 settlement, and the indemnity applies if the terms are met.</w:t>
      </w:r>
    </w:p>
    <w:p>
      <w:pPr>
        <w:pStyle w:val="ListParagraph"/>
        <w:numPr>
          <w:ilvl w:val="0"/>
          <w:numId w:val="3"/>
        </w:numPr>
        <w:spacing w:after="80" w:line="268"/>
      </w:pPr>
      <w:r>
        <w:rPr>
          <w:rFonts w:ascii="Calibri" w:cs="Calibri" w:eastAsia="Calibri" w:hAnsi="Calibri"/>
          <w:sz w:val="21"/>
          <w:szCs w:val="21"/>
        </w:rPr>
        <w:t xml:space="preserve">Revocation propagates immediately: a revoked or expired credential fails verification everywhere, which is the control that makes execute-tier mandates acceptable.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cantSplit/>
          <w:tblHeader/>
        </w:trPr>
        <w:tc>
          <w:tcPr>
            <w:tcW w:type="dxa" w:w="22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Mandate field</w:t>
            </w:r>
          </w:p>
        </w:tc>
        <w:tc>
          <w:tcPr>
            <w:tcW w:type="dxa" w:w="37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Example</w:t>
            </w:r>
          </w:p>
        </w:tc>
        <w:tc>
          <w:tcPr>
            <w:tcW w:type="dxa" w:w="34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Why it is there</w:t>
            </w:r>
          </w:p>
        </w:tc>
      </w:tr>
      <w:tr>
        <w:trPr>
          <w:cantSplit w:val="false"/>
        </w:trPr>
        <w:tc>
          <w:tcPr>
            <w:tcW w:type="dxa" w:w="2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Legal entity</w:t>
            </w:r>
          </w:p>
        </w:tc>
        <w:tc>
          <w:tcPr>
            <w:tcW w:type="dxa" w:w="3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LEI or vLEI of the subsidiary, not the group</w:t>
            </w:r>
          </w:p>
        </w:tc>
        <w:tc>
          <w:tcPr>
            <w:tcW w:type="dxa" w:w="34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Partitioned authority per entity (GLEIF)</w:t>
            </w:r>
          </w:p>
        </w:tc>
      </w:tr>
      <w:tr>
        <w:trPr>
          <w:cantSplit w:val="false"/>
        </w:trPr>
        <w:tc>
          <w:tcPr>
            <w:tcW w:type="dxa" w:w="22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Delegating signatory</w:t>
            </w:r>
          </w:p>
        </w:tc>
        <w:tc>
          <w:tcPr>
            <w:tcW w:type="dxa" w:w="3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Treasurer, verified in Wells Fargo's signatory records</w:t>
            </w:r>
          </w:p>
        </w:tc>
        <w:tc>
          <w:tcPr>
            <w:tcW w:type="dxa" w:w="34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human whose authority the agent borrows</w:t>
            </w:r>
          </w:p>
        </w:tc>
      </w:tr>
      <w:tr>
        <w:trPr>
          <w:cantSplit w:val="false"/>
        </w:trPr>
        <w:tc>
          <w:tcPr>
            <w:tcW w:type="dxa" w:w="2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Agent identity</w:t>
            </w:r>
          </w:p>
        </w:tc>
        <w:tc>
          <w:tcPr>
            <w:tcW w:type="dxa" w:w="3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Key and system of record (TMS vendor, ERP tenant, custom)</w:t>
            </w:r>
          </w:p>
        </w:tc>
        <w:tc>
          <w:tcPr>
            <w:tcW w:type="dxa" w:w="34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Binds the credential to one agent</w:t>
            </w:r>
          </w:p>
        </w:tc>
      </w:tr>
      <w:tr>
        <w:trPr>
          <w:cantSplit w:val="false"/>
        </w:trPr>
        <w:tc>
          <w:tcPr>
            <w:tcW w:type="dxa" w:w="22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Scope</w:t>
            </w:r>
          </w:p>
        </w:tc>
        <w:tc>
          <w:tcPr>
            <w:tcW w:type="dxa" w:w="3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Query; propose; execute</w:t>
            </w:r>
          </w:p>
        </w:tc>
        <w:tc>
          <w:tcPr>
            <w:tcW w:type="dxa" w:w="34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Matches the propose-and-release pattern in every tier</w:t>
            </w:r>
          </w:p>
        </w:tc>
      </w:tr>
      <w:tr>
        <w:trPr>
          <w:cantSplit w:val="false"/>
        </w:trPr>
        <w:tc>
          <w:tcPr>
            <w:tcW w:type="dxa" w:w="2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Limits</w:t>
            </w:r>
          </w:p>
        </w:tc>
        <w:tc>
          <w:tcPr>
            <w:tcW w:type="dxa" w:w="3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Per transaction, per day, per counterparty</w:t>
            </w:r>
          </w:p>
        </w:tc>
        <w:tc>
          <w:tcPr>
            <w:tcW w:type="dxa" w:w="34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Caps the indemnity exposure</w:t>
            </w:r>
          </w:p>
        </w:tc>
      </w:tr>
      <w:tr>
        <w:trPr>
          <w:cantSplit w:val="false"/>
        </w:trPr>
        <w:tc>
          <w:tcPr>
            <w:tcW w:type="dxa" w:w="22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Counterparty classes</w:t>
            </w:r>
          </w:p>
        </w:tc>
        <w:tc>
          <w:tcPr>
            <w:tcW w:type="dxa" w:w="3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Approved vendors; any verified-credential agent; named list</w:t>
            </w:r>
          </w:p>
        </w:tc>
        <w:tc>
          <w:tcPr>
            <w:tcW w:type="dxa" w:w="34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Lets a buyer's agent pay only verified supplier agents</w:t>
            </w:r>
          </w:p>
        </w:tc>
      </w:tr>
      <w:tr>
        <w:trPr>
          <w:cantSplit w:val="false"/>
        </w:trPr>
        <w:tc>
          <w:tcPr>
            <w:tcW w:type="dxa" w:w="2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Corridors and currencies</w:t>
            </w:r>
          </w:p>
        </w:tc>
        <w:tc>
          <w:tcPr>
            <w:tcW w:type="dxa" w:w="3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USD domestic; USD–MXN; EUR</w:t>
            </w:r>
          </w:p>
        </w:tc>
        <w:tc>
          <w:tcPr>
            <w:tcW w:type="dxa" w:w="34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Cross-border is the first use case GLEIF expects</w:t>
            </w:r>
          </w:p>
        </w:tc>
      </w:tr>
      <w:tr>
        <w:trPr>
          <w:cantSplit w:val="false"/>
        </w:trPr>
        <w:tc>
          <w:tcPr>
            <w:tcW w:type="dxa" w:w="22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Time window and expiry</w:t>
            </w:r>
          </w:p>
        </w:tc>
        <w:tc>
          <w:tcPr>
            <w:tcW w:type="dxa" w:w="3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90 days; business hours; revocable</w:t>
            </w:r>
          </w:p>
        </w:tc>
        <w:tc>
          <w:tcPr>
            <w:tcW w:type="dxa" w:w="34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Credentials verified at transaction start, not reconstructed later</w:t>
            </w:r>
          </w:p>
        </w:tc>
      </w:tr>
      <w:tr>
        <w:trPr>
          <w:cantSplit w:val="false"/>
        </w:trPr>
        <w:tc>
          <w:tcPr>
            <w:tcW w:type="dxa" w:w="2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Dual custody threshold</w:t>
            </w:r>
          </w:p>
        </w:tc>
        <w:tc>
          <w:tcPr>
            <w:tcW w:type="dxa" w:w="3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Above $250,000 a second signatory releases</w:t>
            </w:r>
          </w:p>
        </w:tc>
        <w:tc>
          <w:tcPr>
            <w:tcW w:type="dxa" w:w="34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Reuses an existing Wells Fargo control</w:t>
            </w:r>
          </w:p>
        </w:tc>
      </w:tr>
    </w:tbl>
    <w:p>
      <w:pPr>
        <w:pStyle w:val="Heading2"/>
        <w:keepNext/>
      </w:pPr>
      <w:r>
        <w:rPr>
          <w:rFonts w:ascii="Trebuchet MS" w:cs="Trebuchet MS" w:eastAsia="Trebuchet MS" w:hAnsi="Trebuchet MS"/>
        </w:rPr>
        <w:t xml:space="preserve">3.4 Who pays whom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800"/>
        <w:gridCol w:w="1900"/>
        <w:gridCol w:w="1860"/>
      </w:tblGrid>
      <w:tr>
        <w:trPr>
          <w:cantSplit/>
          <w:tblHeader/>
        </w:trPr>
        <w:tc>
          <w:tcPr>
            <w:tcW w:type="dxa" w:w="17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Payer</w:t>
            </w:r>
          </w:p>
        </w:tc>
        <w:tc>
          <w:tcPr>
            <w:tcW w:type="dxa" w:w="21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Pays for</w:t>
            </w:r>
          </w:p>
        </w:tc>
        <w:tc>
          <w:tcPr>
            <w:tcW w:type="dxa" w:w="18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Shape</w:t>
            </w:r>
          </w:p>
        </w:tc>
        <w:tc>
          <w:tcPr>
            <w:tcW w:type="dxa" w:w="19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Analogue</w:t>
            </w:r>
          </w:p>
        </w:tc>
        <w:tc>
          <w:tcPr>
            <w:tcW w:type="dxa" w:w="18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Likelihood</w:t>
            </w:r>
          </w:p>
        </w:tc>
      </w:tr>
      <w:tr>
        <w:trPr>
          <w:cantSplit w:val="false"/>
        </w:trPr>
        <w:tc>
          <w:tcPr>
            <w:tcW w:type="dxa" w:w="1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Wells Fargo client</w:t>
            </w:r>
          </w:p>
        </w:tc>
        <w:tc>
          <w:tcPr>
            <w:tcW w:type="dxa" w:w="2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Issuance and maintenance of agent mandates</w:t>
            </w:r>
          </w:p>
        </w:tc>
        <w:tc>
          <w:tcPr>
            <w:tcW w:type="dxa" w:w="1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Low annual fee per mandate, or included in a Vantage agent tier</w:t>
            </w:r>
          </w:p>
        </w:tc>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Security tokens and dual-custody set-up, which clients already accept</w:t>
            </w:r>
          </w:p>
        </w:tc>
        <w:tc>
          <w:tcPr>
            <w:tcW w:type="dxa" w:w="18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Medium [SYN]: a small, visible fee attached to a control, not to an insight</w:t>
            </w:r>
          </w:p>
        </w:tc>
      </w:tr>
      <w:tr>
        <w:trPr>
          <w:cantSplit w:val="false"/>
        </w:trPr>
        <w:tc>
          <w:tcPr>
            <w:tcW w:type="dxa" w:w="1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Counterparties, AP networks, marketplaces</w:t>
            </w:r>
          </w:p>
        </w:tc>
        <w:tc>
          <w:tcPr>
            <w:tcW w:type="dxa" w:w="2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Verifying an agent's authority before accepting its order or payment</w:t>
            </w:r>
          </w:p>
        </w:tc>
        <w:tc>
          <w:tcPr>
            <w:tcW w:type="dxa" w:w="1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Per verification with volume tiers; free below a threshold</w:t>
            </w:r>
          </w:p>
        </w:tc>
        <w:tc>
          <w:tcPr>
            <w:tcW w:type="dxa" w:w="19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Certificate authorities; account-validation inquiries, which are priced per check at most US banks as far as this research can tell (not verified line by line)</w:t>
            </w:r>
          </w:p>
        </w:tc>
        <w:tc>
          <w:tcPr>
            <w:tcW w:type="dxa" w:w="18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Medium [SYN]: pays only if Wells credentials are common enough to be worth checking; a network effect problem</w:t>
            </w:r>
          </w:p>
        </w:tc>
      </w:tr>
      <w:tr>
        <w:trPr>
          <w:cantSplit w:val="false"/>
        </w:trPr>
        <w:tc>
          <w:tcPr>
            <w:tcW w:type="dxa" w:w="1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Other banks and payment networks</w:t>
            </w:r>
          </w:p>
        </w:tc>
        <w:tc>
          <w:tcPr>
            <w:tcW w:type="dxa" w:w="2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Verification at scale; possibly reciprocal issuance</w:t>
            </w:r>
          </w:p>
        </w:tc>
        <w:tc>
          <w:tcPr>
            <w:tcW w:type="dxa" w:w="1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Interbank fee or utility membership</w:t>
            </w:r>
          </w:p>
        </w:tc>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Early Warning as a bank-owned utility</w:t>
            </w:r>
          </w:p>
        </w:tc>
        <w:tc>
          <w:tcPr>
            <w:tcW w:type="dxa" w:w="18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Low alone, Medium in a consortium [SYN]</w:t>
            </w:r>
          </w:p>
        </w:tc>
      </w:tr>
      <w:tr>
        <w:trPr>
          <w:cantSplit w:val="false"/>
        </w:trPr>
        <w:tc>
          <w:tcPr>
            <w:tcW w:type="dxa" w:w="1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Clients moving to execute-tier mandates</w:t>
            </w:r>
          </w:p>
        </w:tc>
        <w:tc>
          <w:tcPr>
            <w:tcW w:type="dxa" w:w="2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Indemnity for payments executed within mandate</w:t>
            </w:r>
          </w:p>
        </w:tc>
        <w:tc>
          <w:tcPr>
            <w:tcW w:type="dxa" w:w="1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Premium on mandate scope and limits; deductible</w:t>
            </w:r>
          </w:p>
        </w:tc>
        <w:tc>
          <w:tcPr>
            <w:tcW w:type="dxa" w:w="19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Fraud guarantees; insurance wraps</w:t>
            </w:r>
          </w:p>
        </w:tc>
        <w:tc>
          <w:tcPr>
            <w:tcW w:type="dxa" w:w="18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Medium–High [SYN]: the research found trust and liability to be the stated blocker to agent execution; a priced way to remove it has no competitor yet</w:t>
            </w:r>
          </w:p>
        </w:tc>
      </w:tr>
      <w:tr>
        <w:trPr>
          <w:cantSplit w:val="false"/>
        </w:trPr>
        <w:tc>
          <w:tcPr>
            <w:tcW w:type="dxa" w:w="1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Payment networks as partners</w:t>
            </w:r>
          </w:p>
        </w:tc>
        <w:tc>
          <w:tcPr>
            <w:tcW w:type="dxa" w:w="2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Carrying Wells credentials in AP2, Visa and Mastercard agent flows</w:t>
            </w:r>
          </w:p>
        </w:tc>
        <w:tc>
          <w:tcPr>
            <w:tcW w:type="dxa" w:w="1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Revenue share</w:t>
            </w:r>
          </w:p>
        </w:tc>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Network partnership</w:t>
            </w:r>
          </w:p>
        </w:tc>
        <w:tc>
          <w:tcPr>
            <w:tcW w:type="dxa" w:w="18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Speculative</w:t>
            </w:r>
          </w:p>
        </w:tc>
      </w:tr>
    </w:tbl>
    <w:p>
      <w:pPr>
        <w:spacing w:after="80"/>
      </w:pPr>
    </w:p>
    <w:p>
      <w:pPr>
        <w:spacing w:after="120" w:line="276"/>
      </w:pPr>
      <w:r>
        <w:rPr>
          <w:rFonts w:ascii="Calibri" w:cs="Calibri" w:eastAsia="Calibri" w:hAnsi="Calibri"/>
          <w:b/>
          <w:bCs/>
          <w:sz w:val="21"/>
          <w:szCs w:val="21"/>
        </w:rPr>
        <w:t xml:space="preserve">The important asymmetry [SYN]:</w:t>
      </w:r>
      <w:r>
        <w:rPr>
          <w:rFonts w:ascii="Calibri" w:cs="Calibri" w:eastAsia="Calibri" w:hAnsi="Calibri"/>
          <w:sz w:val="21"/>
          <w:szCs w:val="21"/>
        </w:rPr>
        <w:t xml:space="preserve"> the client who receives the credential is not the main payer. The buyers with the largest supplier bases, the AP networks and the other banks are. That is what makes this a new seat rather than another module: the bank earns from the counterparty side of its clients' relationships.</w:t>
      </w:r>
    </w:p>
    <w:p>
      <w:pPr>
        <w:pStyle w:val="Heading2"/>
        <w:keepNext/>
      </w:pPr>
      <w:r>
        <w:rPr>
          <w:rFonts w:ascii="Trebuchet MS" w:cs="Trebuchet MS" w:eastAsia="Trebuchet MS" w:hAnsi="Trebuchet MS"/>
        </w:rPr>
        <w:t xml:space="preserve">3.5 Segment and industry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300"/>
        <w:gridCol w:w="4260"/>
      </w:tblGrid>
      <w:tr>
        <w:trPr>
          <w:cantSplit/>
          <w:tblHeader/>
        </w:trPr>
        <w:tc>
          <w:tcPr>
            <w:tcW w:type="dxa" w:w="19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Segment</w:t>
            </w:r>
          </w:p>
        </w:tc>
        <w:tc>
          <w:tcPr>
            <w:tcW w:type="dxa" w:w="19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Role in Idea A</w:t>
            </w:r>
          </w:p>
        </w:tc>
        <w:tc>
          <w:tcPr>
            <w:tcW w:type="dxa" w:w="13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Fit</w:t>
            </w:r>
          </w:p>
        </w:tc>
        <w:tc>
          <w:tcPr>
            <w:tcW w:type="dxa" w:w="42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Why</w:t>
            </w:r>
          </w:p>
        </w:tc>
      </w:tr>
      <w:tr>
        <w:trPr>
          <w:cantSplit w:val="false"/>
        </w:trPr>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Small business (&lt;$25M)</w:t>
            </w:r>
          </w:p>
        </w:tc>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Issued party, rarely</w:t>
            </w:r>
          </w:p>
        </w:tc>
        <w:tc>
          <w:tcPr>
            <w:tcW w:type="dxa" w:w="1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Weak</w:t>
            </w:r>
          </w:p>
        </w:tc>
        <w:tc>
          <w:tcPr>
            <w:tcW w:type="dxa" w:w="42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Their agents live in Intuit, Xero, BILL and Ramp; the platform would hold the credential, not the bank. A platform partnership could change this later</w:t>
            </w:r>
          </w:p>
        </w:tc>
      </w:tr>
      <w:tr>
        <w:trPr>
          <w:cantSplit w:val="false"/>
        </w:trPr>
        <w:tc>
          <w:tcPr>
            <w:tcW w:type="dxa" w:w="19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Emerging and core middle market ($25M–$2B)</w:t>
            </w:r>
          </w:p>
        </w:tc>
        <w:tc>
          <w:tcPr>
            <w:tcW w:type="dxa" w:w="19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Issued party</w:t>
            </w:r>
          </w:p>
        </w:tc>
        <w:tc>
          <w:tcPr>
            <w:tcW w:type="dxa" w:w="1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Strong</w:t>
            </w:r>
          </w:p>
        </w:tc>
        <w:tc>
          <w:tcPr>
            <w:tcW w:type="dxa" w:w="42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Their agents' authority is the one a counterparty will doubt. Distributors, manufacturers and healthcare providers with many-to-many relationships gain most; this is also where the ERP agents (NetSuite Next, Business Central Payables Agent, Sage Intacct) start proposing payments in late 2026</w:t>
            </w:r>
          </w:p>
        </w:tc>
      </w:tr>
      <w:tr>
        <w:trPr>
          <w:cantSplit w:val="false"/>
        </w:trPr>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Large corporate (&gt;$2B)</w:t>
            </w:r>
          </w:p>
        </w:tc>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Issued party and verifier</w:t>
            </w:r>
          </w:p>
        </w:tc>
        <w:tc>
          <w:tcPr>
            <w:tcW w:type="dxa" w:w="1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Strong for multi-entity groups and cross-border</w:t>
            </w:r>
          </w:p>
        </w:tc>
        <w:tc>
          <w:tcPr>
            <w:tcW w:type="dxa" w:w="42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Partitioned authority across subsidiaries is GLEIF's core case; cross-border payments its first expected use; large corporates also verify thousands of supplier agents</w:t>
            </w:r>
          </w:p>
        </w:tc>
      </w:tr>
      <w:tr>
        <w:trPr>
          <w:cantSplit w:val="false"/>
        </w:trPr>
        <w:tc>
          <w:tcPr>
            <w:tcW w:type="dxa" w:w="19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Mega-caps (Walmart-scale)</w:t>
            </w:r>
          </w:p>
        </w:tc>
        <w:tc>
          <w:tcPr>
            <w:tcW w:type="dxa" w:w="19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Verifier and indemnity buyer, not issued party</w:t>
            </w:r>
          </w:p>
        </w:tc>
        <w:tc>
          <w:tcPr>
            <w:tcW w:type="dxa" w:w="1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Yes, on the verification side only</w:t>
            </w:r>
          </w:p>
        </w:tc>
        <w:tc>
          <w:tcPr>
            <w:tcW w:type="dxa" w:w="42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Their AP agents need to check thousands of supplier agents; they would never pay Wells to vouch for their own agents, and they self-insure. The mega-cap that will buy nothing else on this list is the natural first verification customer</w:t>
            </w:r>
          </w:p>
        </w:tc>
      </w:tr>
      <w:tr>
        <w:trPr>
          <w:cantSplit w:val="false"/>
        </w:trPr>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Industries</w:t>
            </w:r>
          </w:p>
        </w:tc>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Distribution and wholesale; manufacturing; healthcare services (payer and provider); any client with cross-border supplier payments</w:t>
            </w:r>
          </w:p>
        </w:tc>
        <w:tc>
          <w:tcPr>
            <w:tcW w:type="dxa" w:w="1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Strong</w:t>
            </w:r>
          </w:p>
        </w:tc>
        <w:tc>
          <w:tcPr>
            <w:tcW w:type="dxa" w:w="42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Many-to-many relationships, high invoice volumes, and corridors where counterparties already hold payments for review</w:t>
            </w:r>
          </w:p>
        </w:tc>
      </w:tr>
    </w:tbl>
    <w:p>
      <w:pPr>
        <w:pStyle w:val="Heading2"/>
        <w:keepNext/>
      </w:pPr>
      <w:r>
        <w:rPr>
          <w:rFonts w:ascii="Trebuchet MS" w:cs="Trebuchet MS" w:eastAsia="Trebuchet MS" w:hAnsi="Trebuchet MS"/>
        </w:rPr>
        <w:t xml:space="preserve">3.6 What Vantage has and what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Already there</w:t>
            </w:r>
          </w:p>
        </w:tc>
        <w:tc>
          <w:tcPr>
            <w:tcW w:type="dxa" w:w="468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To build or acquire</w:t>
            </w:r>
          </w:p>
        </w:tc>
      </w:tr>
      <w:tr>
        <w:trPr>
          <w:cantSplit w:val="false"/>
        </w:trPr>
        <w:tc>
          <w:tcPr>
            <w:tcW w:type="dxa" w:w="468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KYB and signatory authority records for every commercial and corporate client</w:t>
            </w:r>
          </w:p>
        </w:tc>
        <w:tc>
          <w:tcPr>
            <w:tcW w:type="dxa" w:w="468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A mandate registry and credential issuance service, with real-time revocation</w:t>
            </w:r>
          </w:p>
        </w:tc>
      </w:tr>
      <w:tr>
        <w:trPr>
          <w:cantSplit w:val="false"/>
        </w:trPr>
        <w:tc>
          <w:tcPr>
            <w:tcW w:type="dxa" w:w="468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Dual Custody, Positive Pay and ACH Fraud Filter as release controls</w:t>
            </w:r>
          </w:p>
        </w:tc>
        <w:tc>
          <w:tcPr>
            <w:tcW w:type="dxa" w:w="468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A verification API with signed responses, published for counterparties, platforms and banks</w:t>
            </w:r>
          </w:p>
        </w:tc>
      </w:tr>
      <w:tr>
        <w:trPr>
          <w:cantSplit w:val="false"/>
        </w:trPr>
        <w:tc>
          <w:tcPr>
            <w:tcW w:type="dxa" w:w="468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Vantage as one surface across Commercial Banking and CIB</w:t>
            </w:r>
          </w:p>
        </w:tc>
        <w:tc>
          <w:tcPr>
            <w:tcW w:type="dxa" w:w="468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A relationship with GLEIF or a qualified vLEI issuer, or an equivalent identity chain the bank controls</w:t>
            </w:r>
          </w:p>
        </w:tc>
      </w:tr>
      <w:tr>
        <w:trPr>
          <w:cantSplit w:val="false"/>
        </w:trPr>
        <w:tc>
          <w:tcPr>
            <w:tcW w:type="dxa" w:w="468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Commercial Banking APIs (Sep 2024) as the integration pattern</w:t>
            </w:r>
          </w:p>
        </w:tc>
        <w:tc>
          <w:tcPr>
            <w:tcW w:type="dxa" w:w="468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Embedding of credentials in ISO 20022 messages and MCP headers; an MCP endpoint of Wells Fargo's own for the propose tier</w:t>
            </w:r>
          </w:p>
        </w:tc>
      </w:tr>
      <w:tr>
        <w:trPr>
          <w:cantSplit w:val="false"/>
        </w:trPr>
        <w:tc>
          <w:tcPr>
            <w:tcW w:type="dxa" w:w="468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Tokenised deposits for 24/7 settlement</w:t>
            </w:r>
          </w:p>
        </w:tc>
        <w:tc>
          <w:tcPr>
            <w:tcW w:type="dxa" w:w="468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Indemnity underwriting, terms, deductibles and capital treatment, agreed with Legal, Risk and Finance</w:t>
            </w:r>
          </w:p>
        </w:tc>
      </w:tr>
      <w:tr>
        <w:trPr>
          <w:cantSplit w:val="false"/>
        </w:trPr>
        <w:tc>
          <w:tcPr>
            <w:tcW w:type="dxa" w:w="468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Fraud and payments AI already in production (26 live use cases, May 2026)</w:t>
            </w:r>
          </w:p>
        </w:tc>
        <w:tc>
          <w:tcPr>
            <w:tcW w:type="dxa" w:w="468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A consortium or partnership strategy so that Wells credentials are accepted outside Wells</w:t>
            </w:r>
          </w:p>
        </w:tc>
      </w:tr>
      <w:tr>
        <w:trPr>
          <w:cantSplit w:val="false"/>
        </w:trPr>
        <w:tc>
          <w:tcPr>
            <w:tcW w:type="dxa" w:w="468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Bank-of-record trust (71% prefer a bank for tokenised payments, Capgemini)</w:t>
            </w:r>
          </w:p>
        </w:tc>
        <w:tc>
          <w:tcPr>
            <w:tcW w:type="dxa" w:w="468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Pricing, billing through account analysis for clients and through a separate schedule for non-clients</w:t>
            </w:r>
          </w:p>
        </w:tc>
      </w:tr>
    </w:tbl>
    <w:p>
      <w:pPr>
        <w:pStyle w:val="Heading2"/>
        <w:keepNext/>
      </w:pPr>
      <w:r>
        <w:rPr>
          <w:rFonts w:ascii="Trebuchet MS" w:cs="Trebuchet MS" w:eastAsia="Trebuchet MS" w:hAnsi="Trebuchet MS"/>
        </w:rPr>
        <w:t xml:space="preserve">3.7 Competitive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3360"/>
        <w:gridCol w:w="1100"/>
      </w:tblGrid>
      <w:tr>
        <w:trPr>
          <w:cantSplit/>
          <w:tblHeader/>
        </w:trPr>
        <w:tc>
          <w:tcPr>
            <w:tcW w:type="dxa" w:w="22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Player</w:t>
            </w:r>
          </w:p>
        </w:tc>
        <w:tc>
          <w:tcPr>
            <w:tcW w:type="dxa" w:w="27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What they do</w:t>
            </w:r>
          </w:p>
        </w:tc>
        <w:tc>
          <w:tcPr>
            <w:tcW w:type="dxa" w:w="33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Gap left for a bank</w:t>
            </w:r>
          </w:p>
        </w:tc>
        <w:tc>
          <w:tcPr>
            <w:tcW w:type="dxa" w:w="11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Tag</w:t>
            </w:r>
          </w:p>
        </w:tc>
      </w:tr>
      <w:tr>
        <w:trPr>
          <w:cantSplit w:val="false"/>
        </w:trPr>
        <w:tc>
          <w:tcPr>
            <w:tcW w:type="dxa" w:w="2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Card and payment networks: Mastercard Agent Pay and Verifiable Intent; Visa Intelligent Commerce; AP2 under the FIDO Alliance</w:t>
            </w:r>
          </w:p>
        </w:tc>
        <w:tc>
          <w:tcPr>
            <w:tcW w:type="dxa" w:w="2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Agent registration and intent verification for card and consumer flows; merchant-side trust</w:t>
            </w:r>
          </w:p>
        </w:tc>
        <w:tc>
          <w:tcPr>
            <w:tcW w:type="dxa" w:w="33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Corporate authority (which signatory, which entity, which limits) and B2B account-to-account payments; GLEIF's organisational identity layer</w:t>
            </w:r>
          </w:p>
        </w:tc>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 V (prior research)</w:t>
            </w:r>
          </w:p>
        </w:tc>
      </w:tr>
      <w:tr>
        <w:trPr>
          <w:cantSplit w:val="false"/>
        </w:trPr>
        <w:tc>
          <w:tcPr>
            <w:tcW w:type="dxa" w:w="22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Identity vendors: Dock, Nuggets, Proof, Autheo</w:t>
            </w:r>
          </w:p>
        </w:tc>
        <w:tc>
          <w:tcPr>
            <w:tcW w:type="dxa" w:w="2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Verifiable credential technology, "Know Your Agent" frameworks, developer tooling</w:t>
            </w:r>
          </w:p>
        </w:tc>
        <w:tc>
          <w:tcPr>
            <w:tcW w:type="dxa" w:w="33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None holds signatory records or an account; they need an issuer with evidence. Candidate suppliers rather than competitors</w:t>
            </w:r>
          </w:p>
        </w:tc>
        <w:tc>
          <w:tcPr>
            <w:tcW w:type="dxa" w:w="1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V</w:t>
            </w:r>
          </w:p>
        </w:tc>
      </w:tr>
      <w:tr>
        <w:trPr>
          <w:cantSplit w:val="false"/>
        </w:trPr>
        <w:tc>
          <w:tcPr>
            <w:tcW w:type="dxa" w:w="2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GLEIF and the vLEI ecosystem</w:t>
            </w:r>
          </w:p>
        </w:tc>
        <w:tc>
          <w:tcPr>
            <w:tcW w:type="dxa" w:w="2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Organisational identity chain and the partitioned-authority model; discussion paper on agentic AI in payments</w:t>
            </w:r>
          </w:p>
        </w:tc>
        <w:tc>
          <w:tcPr>
            <w:tcW w:type="dxa" w:w="33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issuer's chair; GLEIF names no bank and no live scheme</w:t>
            </w:r>
          </w:p>
        </w:tc>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w:t>
            </w:r>
          </w:p>
        </w:tc>
      </w:tr>
      <w:tr>
        <w:trPr>
          <w:cantSplit w:val="false"/>
        </w:trPr>
        <w:tc>
          <w:tcPr>
            <w:tcW w:type="dxa" w:w="22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HSBC (HSBCnio) and Danske Bank (MCP Service)</w:t>
            </w:r>
          </w:p>
        </w:tc>
        <w:tc>
          <w:tcPr>
            <w:tcW w:type="dxa" w:w="2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Query-only agent endpoints for corporates; "Ask HSBC" planned</w:t>
            </w:r>
          </w:p>
        </w:tc>
        <w:tc>
          <w:tcPr>
            <w:tcW w:type="dxa" w:w="33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No authority credential, no verification for third parties, no indemnity, no published price</w:t>
            </w:r>
          </w:p>
        </w:tc>
        <w:tc>
          <w:tcPr>
            <w:tcW w:type="dxa" w:w="1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w:t>
            </w:r>
          </w:p>
        </w:tc>
      </w:tr>
      <w:tr>
        <w:trPr>
          <w:cantSplit w:val="false"/>
        </w:trPr>
        <w:tc>
          <w:tcPr>
            <w:tcW w:type="dxa" w:w="2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US banks</w:t>
            </w:r>
          </w:p>
        </w:tc>
        <w:tc>
          <w:tcPr>
            <w:tcW w:type="dxa" w:w="2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No client agent endpoint found at any large US bank; Bank of America and Capital One co-authored agentic-commerce principles (22 Sep 2026) on transparency, safety, privacy, choice and interoperability</w:t>
            </w:r>
          </w:p>
        </w:tc>
        <w:tc>
          <w:tcPr>
            <w:tcW w:type="dxa" w:w="33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first US bank to issue and verify corporate agent authority would set the convention</w:t>
            </w:r>
          </w:p>
        </w:tc>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w:t>
            </w:r>
          </w:p>
        </w:tc>
      </w:tr>
    </w:tbl>
    <w:p>
      <w:pPr>
        <w:pStyle w:val="Heading2"/>
        <w:keepNext/>
      </w:pPr>
      <w:r>
        <w:rPr>
          <w:rFonts w:ascii="Trebuchet MS" w:cs="Trebuchet MS" w:eastAsia="Trebuchet MS" w:hAnsi="Trebuchet MS"/>
        </w:rPr>
        <w:t xml:space="preserve">3.8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cantSplit/>
          <w:tblHeader/>
        </w:trPr>
        <w:tc>
          <w:tcPr>
            <w:tcW w:type="dxa" w:w="19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Risk</w:t>
            </w:r>
          </w:p>
        </w:tc>
        <w:tc>
          <w:tcPr>
            <w:tcW w:type="dxa" w:w="35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What could happen</w:t>
            </w:r>
          </w:p>
        </w:tc>
        <w:tc>
          <w:tcPr>
            <w:tcW w:type="dxa" w:w="39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Mitigation</w:t>
            </w:r>
          </w:p>
        </w:tc>
      </w:tr>
      <w:tr>
        <w:trPr>
          <w:cantSplit w:val="false"/>
        </w:trPr>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 network or consortium claims the role first</w:t>
            </w:r>
          </w:p>
        </w:tc>
        <w:tc>
          <w:tcPr>
            <w:tcW w:type="dxa" w:w="3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Visa, Mastercard or a bank utility publishes a corporate agent-credential scheme and Wells credentials are not accepted outside Wells</w:t>
            </w:r>
          </w:p>
        </w:tc>
        <w:tc>
          <w:tcPr>
            <w:tcW w:type="dxa" w:w="39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Decide early between go-alone and consortium; build on GLEIF's open model so Wells credentials are interoperable; seed verification free</w:t>
            </w:r>
          </w:p>
        </w:tc>
      </w:tr>
      <w:tr>
        <w:trPr>
          <w:cantSplit w:val="false"/>
        </w:trPr>
        <w:tc>
          <w:tcPr>
            <w:tcW w:type="dxa" w:w="19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Indemnity liability</w:t>
            </w:r>
          </w:p>
        </w:tc>
        <w:tc>
          <w:tcPr>
            <w:tcW w:type="dxa" w:w="35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Losses inside mandate exceed premiums; the product is treated as insurance with capital and licensing consequences</w:t>
            </w:r>
          </w:p>
        </w:tc>
        <w:tc>
          <w:tcPr>
            <w:tcW w:type="dxa" w:w="39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Start with narrow mandates (low limits, named counterparties); deductibles; Legal and Finance scoping before any premium is charged</w:t>
            </w:r>
          </w:p>
        </w:tc>
      </w:tr>
      <w:tr>
        <w:trPr>
          <w:cantSplit w:val="false"/>
        </w:trPr>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Stale verification</w:t>
            </w:r>
          </w:p>
        </w:tc>
        <w:tc>
          <w:tcPr>
            <w:tcW w:type="dxa" w:w="3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 counterparty relies on a verification that was true at check time but revoked before settlement</w:t>
            </w:r>
          </w:p>
        </w:tc>
        <w:tc>
          <w:tcPr>
            <w:tcW w:type="dxa" w:w="39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Short validity windows; verification bound to a specific transaction; terms that define the moment of reliance</w:t>
            </w:r>
          </w:p>
        </w:tc>
      </w:tr>
      <w:tr>
        <w:trPr>
          <w:cantSplit w:val="false"/>
        </w:trPr>
        <w:tc>
          <w:tcPr>
            <w:tcW w:type="dxa" w:w="19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Standards drift</w:t>
            </w:r>
          </w:p>
        </w:tc>
        <w:tc>
          <w:tcPr>
            <w:tcW w:type="dxa" w:w="35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MCP, AP2 and ISO 20022 practices change under the product</w:t>
            </w:r>
          </w:p>
        </w:tc>
        <w:tc>
          <w:tcPr>
            <w:tcW w:type="dxa" w:w="39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Keep the credential format independent of the transport; participate in FDX and GLEIF work</w:t>
            </w:r>
          </w:p>
        </w:tc>
      </w:tr>
      <w:tr>
        <w:trPr>
          <w:cantSplit w:val="false"/>
        </w:trPr>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Privacy of mandate content</w:t>
            </w:r>
          </w:p>
        </w:tc>
        <w:tc>
          <w:tcPr>
            <w:tcW w:type="dxa" w:w="3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Counterparties learn more about a client's limits than the client wants</w:t>
            </w:r>
          </w:p>
        </w:tc>
        <w:tc>
          <w:tcPr>
            <w:tcW w:type="dxa" w:w="39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Verification returns yes/no plus minimal public scope; full mandate stays in the registry</w:t>
            </w:r>
          </w:p>
        </w:tc>
      </w:tr>
      <w:tr>
        <w:trPr>
          <w:cantSplit w:val="false"/>
        </w:trPr>
        <w:tc>
          <w:tcPr>
            <w:tcW w:type="dxa" w:w="19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Adoption chicken-and-egg</w:t>
            </w:r>
          </w:p>
        </w:tc>
        <w:tc>
          <w:tcPr>
            <w:tcW w:type="dxa" w:w="35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Counterparties will not pay to verify credentials few agents carry; clients will not register agents nobody verifies</w:t>
            </w:r>
          </w:p>
        </w:tc>
        <w:tc>
          <w:tcPr>
            <w:tcW w:type="dxa" w:w="39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Anchor on buyers with the largest supplier bases and on Wells-to-Wells pairs first, where both sides are clients</w:t>
            </w:r>
          </w:p>
        </w:tc>
      </w:tr>
      <w:tr>
        <w:trPr>
          <w:cantSplit w:val="false"/>
        </w:trPr>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Regulatory</w:t>
            </w:r>
          </w:p>
        </w:tc>
        <w:tc>
          <w:tcPr>
            <w:tcW w:type="dxa" w:w="3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SR 26-2 / OCC 2026-13 leave generative and agentic AI out of scope with an RFI pending; examiners may treat execute-tier mandates as novel</w:t>
            </w:r>
          </w:p>
        </w:tc>
        <w:tc>
          <w:tcPr>
            <w:tcW w:type="dxa" w:w="39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Propose tier first; execute tier only inside existing payment controls; engage supervisors before the indemnity launches</w:t>
            </w:r>
          </w:p>
        </w:tc>
      </w:tr>
    </w:tbl>
    <w:p>
      <w:pPr>
        <w:pStyle w:val="Heading2"/>
        <w:keepNext/>
      </w:pPr>
      <w:r>
        <w:rPr>
          <w:rFonts w:ascii="Trebuchet MS" w:cs="Trebuchet MS" w:eastAsia="Trebuchet MS" w:hAnsi="Trebuchet MS"/>
        </w:rPr>
        <w:t xml:space="preserve">3.9 Open questions</w:t>
      </w:r>
    </w:p>
    <w:p>
      <w:pPr>
        <w:pStyle w:val="ListParagraph"/>
        <w:numPr>
          <w:ilvl w:val="0"/>
          <w:numId w:val="4"/>
        </w:numPr>
        <w:spacing w:after="70" w:line="268"/>
      </w:pPr>
      <w:r>
        <w:rPr>
          <w:rFonts w:ascii="Calibri" w:cs="Calibri" w:eastAsia="Calibri" w:hAnsi="Calibri"/>
          <w:sz w:val="21"/>
          <w:szCs w:val="21"/>
        </w:rPr>
        <w:t xml:space="preserve">Is the indemnity an insurance product in law, and what capital does it attract? Nothing here assumes an answer.</w:t>
      </w:r>
    </w:p>
    <w:p>
      <w:pPr>
        <w:pStyle w:val="ListParagraph"/>
        <w:numPr>
          <w:ilvl w:val="0"/>
          <w:numId w:val="4"/>
        </w:numPr>
        <w:spacing w:after="70" w:line="268"/>
      </w:pPr>
      <w:r>
        <w:rPr>
          <w:rFonts w:ascii="Calibri" w:cs="Calibri" w:eastAsia="Calibri" w:hAnsi="Calibri"/>
          <w:sz w:val="21"/>
          <w:szCs w:val="21"/>
        </w:rPr>
        <w:t xml:space="preserve">Will other banks verify Wells credentials without a utility, and would Wells verify theirs? Early Warning is the precedent for the utility route.</w:t>
      </w:r>
    </w:p>
    <w:p>
      <w:pPr>
        <w:pStyle w:val="ListParagraph"/>
        <w:numPr>
          <w:ilvl w:val="0"/>
          <w:numId w:val="4"/>
        </w:numPr>
        <w:spacing w:after="70" w:line="268"/>
      </w:pPr>
      <w:r>
        <w:rPr>
          <w:rFonts w:ascii="Calibri" w:cs="Calibri" w:eastAsia="Calibri" w:hAnsi="Calibri"/>
          <w:sz w:val="21"/>
          <w:szCs w:val="21"/>
        </w:rPr>
        <w:t xml:space="preserve">Which identity chain: GLEIF's vLEI through a qualified issuer, or a Wells-controlled chain that maps to LEIs later?</w:t>
      </w:r>
    </w:p>
    <w:p>
      <w:pPr>
        <w:pStyle w:val="ListParagraph"/>
        <w:numPr>
          <w:ilvl w:val="0"/>
          <w:numId w:val="4"/>
        </w:numPr>
        <w:spacing w:after="70" w:line="268"/>
      </w:pPr>
      <w:r>
        <w:rPr>
          <w:rFonts w:ascii="Calibri" w:cs="Calibri" w:eastAsia="Calibri" w:hAnsi="Calibri"/>
          <w:sz w:val="21"/>
          <w:szCs w:val="21"/>
        </w:rPr>
        <w:t xml:space="preserve">What do counterparties pay today for account validation and beneficiary checks? That is the price anchor for verification and was not verified line by line in this research.</w:t>
      </w:r>
    </w:p>
    <w:p>
      <w:pPr>
        <w:pStyle w:val="ListParagraph"/>
        <w:numPr>
          <w:ilvl w:val="0"/>
          <w:numId w:val="4"/>
        </w:numPr>
        <w:spacing w:after="70" w:line="268"/>
      </w:pPr>
      <w:r>
        <w:rPr>
          <w:rFonts w:ascii="Calibri" w:cs="Calibri" w:eastAsia="Calibri" w:hAnsi="Calibri"/>
          <w:sz w:val="21"/>
          <w:szCs w:val="21"/>
        </w:rPr>
        <w:t xml:space="preserve">Does the client's software vendor (TMS, ERP, Copilot) carry the credential, and on what terms?</w:t>
      </w:r>
    </w:p>
    <w:p>
      <w:pPr>
        <w:pStyle w:val="Heading2"/>
        <w:keepNext/>
      </w:pPr>
      <w:r>
        <w:rPr>
          <w:rFonts w:ascii="Trebuchet MS" w:cs="Trebuchet MS" w:eastAsia="Trebuchet MS" w:hAnsi="Trebuchet MS"/>
        </w:rPr>
        <w:t xml:space="preserve">3.10 One-year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00"/>
        <w:gridCol w:w="3260"/>
      </w:tblGrid>
      <w:tr>
        <w:trPr>
          <w:cantSplit/>
          <w:tblHeader/>
        </w:trPr>
        <w:tc>
          <w:tcPr>
            <w:tcW w:type="dxa" w:w="11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Quarter</w:t>
            </w:r>
          </w:p>
        </w:tc>
        <w:tc>
          <w:tcPr>
            <w:tcW w:type="dxa" w:w="50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Step</w:t>
            </w:r>
          </w:p>
        </w:tc>
        <w:tc>
          <w:tcPr>
            <w:tcW w:type="dxa" w:w="32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Proof point</w:t>
            </w:r>
          </w:p>
        </w:tc>
      </w:tr>
      <w:tr>
        <w:trPr>
          <w:cantSplit w:val="false"/>
        </w:trPr>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Q1 2027</w:t>
            </w:r>
          </w:p>
        </w:tc>
        <w:tc>
          <w:tcPr>
            <w:tcW w:type="dxa" w:w="50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Legal scoping of indemnity and verification liability; choose identity chain; select five middle-market distribution and manufacturing clients and two large-corporate anchor buyers whose suppliers bank at Wells</w:t>
            </w:r>
          </w:p>
        </w:tc>
        <w:tc>
          <w:tcPr>
            <w:tcW w:type="dxa" w:w="32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Mandate schema agreed with clients; Legal position on indemnity</w:t>
            </w:r>
          </w:p>
        </w:tc>
      </w:tr>
      <w:tr>
        <w:trPr>
          <w:cantSplit w:val="false"/>
        </w:trPr>
        <w:tc>
          <w:tcPr>
            <w:tcW w:type="dxa" w:w="1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Q2 2027</w:t>
            </w:r>
          </w:p>
        </w:tc>
        <w:tc>
          <w:tcPr>
            <w:tcW w:type="dxa" w:w="50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Issue query-tier credentials for clients' existing agents (TMS, ERP, Copilot); stand up the verification API in sandbox; anchor buyers verify supplier agents in test</w:t>
            </w:r>
          </w:p>
        </w:tc>
        <w:tc>
          <w:tcPr>
            <w:tcW w:type="dxa" w:w="32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Credentials issued; verification latency and false-reject rate within agreed bounds</w:t>
            </w:r>
          </w:p>
        </w:tc>
      </w:tr>
      <w:tr>
        <w:trPr>
          <w:cantSplit w:val="false"/>
        </w:trPr>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Q3 2027</w:t>
            </w:r>
          </w:p>
        </w:tc>
        <w:tc>
          <w:tcPr>
            <w:tcW w:type="dxa" w:w="50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Propose-tier mandates with human release in Vantage; anchor buyers accept agent-initiated orders from verified supplier agents; first per-verification pricing shown to anchors</w:t>
            </w:r>
          </w:p>
        </w:tc>
        <w:tc>
          <w:tcPr>
            <w:tcW w:type="dxa" w:w="32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Share of supplier payments to verified agents released without manual review; anchors' stated willingness to pay at the shown price</w:t>
            </w:r>
          </w:p>
        </w:tc>
      </w:tr>
      <w:tr>
        <w:trPr>
          <w:cantSplit w:val="false"/>
        </w:trPr>
        <w:tc>
          <w:tcPr>
            <w:tcW w:type="dxa" w:w="1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Q4 2027</w:t>
            </w:r>
          </w:p>
        </w:tc>
        <w:tc>
          <w:tcPr>
            <w:tcW w:type="dxa" w:w="50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Execute-tier mandates for low-value recurring payments with narrow limits and a pilot indemnity on Wells-to-Wells pairs; decide go-alone or consortium</w:t>
            </w:r>
          </w:p>
        </w:tc>
        <w:tc>
          <w:tcPr>
            <w:tcW w:type="dxa" w:w="32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Loss experience inside mandate; take-up of indemnity at a shown premium; a consortium answer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9A961" w:sz="36"/>
              <w:bottom w:val="none" w:color="FFFFFF" w:sz="0"/>
              <w:right w:val="none" w:color="FFFFFF" w:sz="0"/>
            </w:tcBorders>
            <w:shd w:fill="F7F3E8" w:color="auto" w:val="clear"/>
            <w:tcMar>
              <w:top w:type="dxa" w:w="120"/>
              <w:left w:type="dxa" w:w="220"/>
              <w:bottom w:type="dxa" w:w="100"/>
              <w:right w:type="dxa" w:w="200"/>
            </w:tcMar>
          </w:tcPr>
          <w:p>
            <w:pPr>
              <w:spacing w:after="60"/>
            </w:pPr>
            <w:r>
              <w:rPr>
                <w:rFonts w:ascii="Trebuchet MS" w:cs="Trebuchet MS" w:eastAsia="Trebuchet MS" w:hAnsi="Trebuchet MS"/>
                <w:b/>
                <w:bCs/>
                <w:color w:val="0F2D52"/>
                <w:sz w:val="21"/>
                <w:szCs w:val="21"/>
              </w:rPr>
              <w:t xml:space="preserve">Kill criteria</w:t>
            </w:r>
          </w:p>
          <w:p>
            <w:pPr>
              <w:spacing w:after="60" w:line="268"/>
            </w:pPr>
            <w:r>
              <w:rPr>
                <w:rFonts w:ascii="Calibri" w:cs="Calibri" w:eastAsia="Calibri" w:hAnsi="Calibri"/>
                <w:sz w:val="20"/>
                <w:szCs w:val="20"/>
              </w:rPr>
              <w:t xml:space="preserve">Stop if, by the end of Q3, no anchor buyer will pay for verification at any shown price; if Legal concludes the indemnity cannot be offered outside an insurance licence Wells will not pursue; or if a network or utility scheme for corporate agent authority is announced that Wells can join more cheaply than it can compete with.</w:t>
            </w:r>
          </w:p>
        </w:tc>
      </w:tr>
    </w:tbl>
    <w:p>
      <w:pPr>
        <w:pStyle w:val="Heading1"/>
        <w:keepNext/>
      </w:pPr>
      <w:r>
        <w:rPr>
          <w:rFonts w:ascii="Trebuchet MS" w:cs="Trebuchet MS" w:eastAsia="Trebuchet MS" w:hAnsi="Trebuchet MS"/>
        </w:rPr>
        <w:t xml:space="preserve">4  Idea B: Outcome-priced autonomous treasury</w:t>
      </w:r>
    </w:p>
    <w:p>
      <w:pPr>
        <w:pStyle w:val="Heading2"/>
        <w:keepNext/>
      </w:pPr>
      <w:r>
        <w:rPr>
          <w:rFonts w:ascii="Trebuchet MS" w:cs="Trebuchet MS" w:eastAsia="Trebuchet MS" w:hAnsi="Trebuchet MS"/>
        </w:rPr>
        <w:t xml:space="preserve">4.1 The problem it solves</w:t>
      </w:r>
    </w:p>
    <w:p>
      <w:pPr>
        <w:spacing w:after="120" w:line="276"/>
      </w:pPr>
      <w:r>
        <w:rPr>
          <w:rFonts w:ascii="Calibri" w:cs="Calibri" w:eastAsia="Calibri" w:hAnsi="Calibri"/>
          <w:sz w:val="21"/>
          <w:szCs w:val="21"/>
        </w:rPr>
        <w:t xml:space="preserve">The research found consistent refusal to pay for insight and consistent evidence that the value is real. Bank of America reports 3,000+ companies and 250,000+ hours saved in 2025 from CashPro Forecasting, bundled into information reporting. J.P. Morgan's Amtrak case says better forecasting let the client invest idle funds, on a product that was free in 2024. Middle-market finance teams are thin, and the money they leave on the table (idle balances, missed discounts, slow collections, avoidable FX cost) is money nobody is paid to find. [BR, SYN]</w:t>
      </w:r>
    </w:p>
    <w:p>
      <w:pPr>
        <w:spacing w:after="120" w:line="276"/>
      </w:pPr>
      <w:r>
        <w:rPr>
          <w:rFonts w:ascii="Calibri" w:cs="Calibri" w:eastAsia="Calibri" w:hAnsi="Calibri"/>
          <w:sz w:val="21"/>
          <w:szCs w:val="21"/>
        </w:rPr>
        <w:t xml:space="preserve">Gain-share pricing changes the question the client is asked. Instead of "will you pay for a tool", it is "will you share money you did not have". The analogue outside banking is energy performance contracting, where the contractor installs and operates the equipment and is paid from verified savings, with measurement-and-verification protocols that have existed for two decades. [SYN]</w:t>
      </w:r>
    </w:p>
    <w:p>
      <w:pPr>
        <w:pStyle w:val="Heading2"/>
        <w:keepNext/>
      </w:pPr>
      <w:r>
        <w:rPr>
          <w:rFonts w:ascii="Trebuchet MS" w:cs="Trebuchet MS" w:eastAsia="Trebuchet MS" w:hAnsi="Trebuchet MS"/>
        </w:rPr>
        <w:t xml:space="preserve">4.2 The offer</w:t>
      </w:r>
    </w:p>
    <w:p>
      <w:pPr>
        <w:spacing w:after="120" w:line="276"/>
      </w:pPr>
      <w:r>
        <w:rPr>
          <w:rFonts w:ascii="Calibri" w:cs="Calibri" w:eastAsia="Calibri" w:hAnsi="Calibri"/>
          <w:sz w:val="21"/>
          <w:szCs w:val="21"/>
        </w:rPr>
        <w:t xml:space="preserve">Wells Fargo's agents operate a client's cash operations under a mandate, in three tiers: </w:t>
      </w:r>
      <w:r>
        <w:rPr>
          <w:rFonts w:ascii="Calibri" w:cs="Calibri" w:eastAsia="Calibri" w:hAnsi="Calibri"/>
          <w:b/>
          <w:bCs/>
          <w:sz w:val="21"/>
          <w:szCs w:val="21"/>
        </w:rPr>
        <w:t xml:space="preserve">Observe</w:t>
      </w:r>
      <w:r>
        <w:rPr>
          <w:rFonts w:ascii="Calibri" w:cs="Calibri" w:eastAsia="Calibri" w:hAnsi="Calibri"/>
          <w:sz w:val="21"/>
          <w:szCs w:val="21"/>
        </w:rPr>
        <w:t xml:space="preserve"> (build the baseline, propose nothing), </w:t>
      </w:r>
      <w:r>
        <w:rPr>
          <w:rFonts w:ascii="Calibri" w:cs="Calibri" w:eastAsia="Calibri" w:hAnsi="Calibri"/>
          <w:b/>
          <w:bCs/>
          <w:sz w:val="21"/>
          <w:szCs w:val="21"/>
        </w:rPr>
        <w:t xml:space="preserve">Propose</w:t>
      </w:r>
      <w:r>
        <w:rPr>
          <w:rFonts w:ascii="Calibri" w:cs="Calibri" w:eastAsia="Calibri" w:hAnsi="Calibri"/>
          <w:sz w:val="21"/>
          <w:szCs w:val="21"/>
        </w:rPr>
        <w:t xml:space="preserve"> (agents draft actions, the client releases in Vantage) and </w:t>
      </w:r>
      <w:r>
        <w:rPr>
          <w:rFonts w:ascii="Calibri" w:cs="Calibri" w:eastAsia="Calibri" w:hAnsi="Calibri"/>
          <w:b/>
          <w:bCs/>
          <w:sz w:val="21"/>
          <w:szCs w:val="21"/>
        </w:rPr>
        <w:t xml:space="preserve">Execute</w:t>
      </w:r>
      <w:r>
        <w:rPr>
          <w:rFonts w:ascii="Calibri" w:cs="Calibri" w:eastAsia="Calibri" w:hAnsi="Calibri"/>
          <w:sz w:val="21"/>
          <w:szCs w:val="21"/>
        </w:rPr>
        <w:t xml:space="preserve"> (agents act within limits, exceptions go to a human). The fee is a share of audited uplift against the baseline. Five levers: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160"/>
        <w:gridCol w:w="2700"/>
      </w:tblGrid>
      <w:tr>
        <w:trPr>
          <w:cantSplit/>
          <w:tblHeader/>
        </w:trPr>
        <w:tc>
          <w:tcPr>
            <w:tcW w:type="dxa" w:w="15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Lever</w:t>
            </w:r>
          </w:p>
        </w:tc>
        <w:tc>
          <w:tcPr>
            <w:tcW w:type="dxa" w:w="30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What the agent does</w:t>
            </w:r>
          </w:p>
        </w:tc>
        <w:tc>
          <w:tcPr>
            <w:tcW w:type="dxa" w:w="21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Where the uplift shows</w:t>
            </w:r>
          </w:p>
        </w:tc>
        <w:tc>
          <w:tcPr>
            <w:tcW w:type="dxa" w:w="27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How it is measured</w:t>
            </w:r>
          </w:p>
        </w:tc>
      </w:tr>
      <w:tr>
        <w:trPr>
          <w:cantSplit w:val="false"/>
        </w:trPr>
        <w:tc>
          <w:tcPr>
            <w:tcW w:type="dxa" w:w="1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Idle cash</w:t>
            </w:r>
          </w:p>
        </w:tc>
        <w:tc>
          <w:tcPr>
            <w:tcW w:type="dxa" w:w="30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Forecast-confirmed sweeps of balances above the operating buffer into Wells interest-bearing products; reversal when the forecast tightens</w:t>
            </w:r>
          </w:p>
        </w:tc>
        <w:tc>
          <w:tcPr>
            <w:tcW w:type="dxa" w:w="21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Incremental interest earned by the client</w:t>
            </w:r>
          </w:p>
        </w:tc>
        <w:tc>
          <w:tcPr>
            <w:tcW w:type="dxa" w:w="2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Interest on swept balances less the baseline period's interest on comparable balances</w:t>
            </w:r>
          </w:p>
        </w:tc>
      </w:tr>
      <w:tr>
        <w:trPr>
          <w:cantSplit w:val="false"/>
        </w:trPr>
        <w:tc>
          <w:tcPr>
            <w:tcW w:type="dxa" w:w="15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Payables timing</w:t>
            </w:r>
          </w:p>
        </w:tc>
        <w:tc>
          <w:tcPr>
            <w:tcW w:type="dxa" w:w="30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Takes early-payment discounts when cheaper than the client's cost of cash; otherwise pays on the due date, not before</w:t>
            </w:r>
          </w:p>
        </w:tc>
        <w:tc>
          <w:tcPr>
            <w:tcW w:type="dxa" w:w="21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Discounts captured, net of financing cost; cash held longer</w:t>
            </w:r>
          </w:p>
        </w:tc>
        <w:tc>
          <w:tcPr>
            <w:tcW w:type="dxa" w:w="2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Discount value captured minus baseline capture; days of float gained times daily payables times cost of capital</w:t>
            </w:r>
          </w:p>
        </w:tc>
      </w:tr>
      <w:tr>
        <w:trPr>
          <w:cantSplit w:val="false"/>
        </w:trPr>
        <w:tc>
          <w:tcPr>
            <w:tcW w:type="dxa" w:w="1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Collections</w:t>
            </w:r>
          </w:p>
        </w:tc>
        <w:tc>
          <w:tcPr>
            <w:tcW w:type="dxa" w:w="30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Prioritises dunning and follow-up by predicted payment behaviour; proposes terms changes for chronic late payers</w:t>
            </w:r>
          </w:p>
        </w:tc>
        <w:tc>
          <w:tcPr>
            <w:tcW w:type="dxa" w:w="21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Lower days sales outstanding</w:t>
            </w:r>
          </w:p>
        </w:tc>
        <w:tc>
          <w:tcPr>
            <w:tcW w:type="dxa" w:w="2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DSO change times daily sales times cost of capital, against the baseline DSO</w:t>
            </w:r>
          </w:p>
        </w:tc>
      </w:tr>
      <w:tr>
        <w:trPr>
          <w:cantSplit w:val="false"/>
        </w:trPr>
        <w:tc>
          <w:tcPr>
            <w:tcW w:type="dxa" w:w="15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FX netting and timing</w:t>
            </w:r>
          </w:p>
        </w:tc>
        <w:tc>
          <w:tcPr>
            <w:tcW w:type="dxa" w:w="30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Nets intra-group and recurring flows; times conversions within policy bands</w:t>
            </w:r>
          </w:p>
        </w:tc>
        <w:tc>
          <w:tcPr>
            <w:tcW w:type="dxa" w:w="21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Lower conversion cost</w:t>
            </w:r>
          </w:p>
        </w:tc>
        <w:tc>
          <w:tcPr>
            <w:tcW w:type="dxa" w:w="2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Spread and volume against baseline conversions, at agreed reference rates</w:t>
            </w:r>
          </w:p>
        </w:tc>
      </w:tr>
      <w:tr>
        <w:trPr>
          <w:cantSplit w:val="false"/>
        </w:trPr>
        <w:tc>
          <w:tcPr>
            <w:tcW w:type="dxa" w:w="1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Fraud and errors</w:t>
            </w:r>
          </w:p>
        </w:tc>
        <w:tc>
          <w:tcPr>
            <w:tcW w:type="dxa" w:w="30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Payment-risk scoring and beneficiary checks inside the propose and execute flows</w:t>
            </w:r>
          </w:p>
        </w:tc>
        <w:tc>
          <w:tcPr>
            <w:tcW w:type="dxa" w:w="21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Losses avoided</w:t>
            </w:r>
          </w:p>
        </w:tc>
        <w:tc>
          <w:tcPr>
            <w:tcW w:type="dxa" w:w="2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Not priced: too hard to baseline without dispute; included as part of the mandate</w:t>
            </w:r>
          </w:p>
        </w:tc>
      </w:tr>
    </w:tbl>
    <w:p>
      <w:pPr>
        <w:pStyle w:val="Heading2"/>
        <w:keepNext/>
      </w:pPr>
      <w:r>
        <w:rPr>
          <w:rFonts w:ascii="Trebuchet MS" w:cs="Trebuchet MS" w:eastAsia="Trebuchet MS" w:hAnsi="Trebuchet MS"/>
        </w:rPr>
        <w:t xml:space="preserve">4.3 Pricing and measurement</w:t>
      </w:r>
    </w:p>
    <w:p>
      <w:pPr>
        <w:pStyle w:val="ListParagraph"/>
        <w:numPr>
          <w:ilvl w:val="0"/>
          <w:numId w:val="4"/>
        </w:numPr>
        <w:spacing w:after="70" w:line="268"/>
      </w:pPr>
      <w:r>
        <w:rPr>
          <w:rFonts w:ascii="Calibri" w:cs="Calibri" w:eastAsia="Calibri" w:hAnsi="Calibri"/>
          <w:b/>
          <w:bCs/>
          <w:sz w:val="21"/>
          <w:szCs w:val="21"/>
        </w:rPr>
        <w:t xml:space="preserve">Baseline:</w:t>
      </w:r>
      <w:r>
        <w:rPr>
          <w:rFonts w:ascii="Calibri" w:cs="Calibri" w:eastAsia="Calibri" w:hAnsi="Calibri"/>
          <w:sz w:val="21"/>
          <w:szCs w:val="21"/>
        </w:rPr>
        <w:t xml:space="preserve"> twelve months of the client's own history, agreed before the Observe tier ends, covering balances, payment timing, DSO and FX cost.</w:t>
      </w:r>
    </w:p>
    <w:p>
      <w:pPr>
        <w:pStyle w:val="ListParagraph"/>
        <w:numPr>
          <w:ilvl w:val="0"/>
          <w:numId w:val="4"/>
        </w:numPr>
        <w:spacing w:after="70" w:line="268"/>
      </w:pPr>
      <w:r>
        <w:rPr>
          <w:rFonts w:ascii="Calibri" w:cs="Calibri" w:eastAsia="Calibri" w:hAnsi="Calibri"/>
          <w:b/>
          <w:bCs/>
          <w:sz w:val="21"/>
          <w:szCs w:val="21"/>
        </w:rPr>
        <w:t xml:space="preserve">Fee:</w:t>
      </w:r>
      <w:r>
        <w:rPr>
          <w:rFonts w:ascii="Calibri" w:cs="Calibri" w:eastAsia="Calibri" w:hAnsi="Calibri"/>
          <w:sz w:val="21"/>
          <w:szCs w:val="21"/>
        </w:rPr>
        <w:t xml:space="preserve"> a fixed percentage of audited uplift, settled quarterly with an annual true-up; a floor of zero (no uplift, no fee) and a cap so the client can budget.</w:t>
      </w:r>
    </w:p>
    <w:p>
      <w:pPr>
        <w:pStyle w:val="ListParagraph"/>
        <w:numPr>
          <w:ilvl w:val="0"/>
          <w:numId w:val="4"/>
        </w:numPr>
        <w:spacing w:after="70" w:line="268"/>
      </w:pPr>
      <w:r>
        <w:rPr>
          <w:rFonts w:ascii="Calibri" w:cs="Calibri" w:eastAsia="Calibri" w:hAnsi="Calibri"/>
          <w:b/>
          <w:bCs/>
          <w:sz w:val="21"/>
          <w:szCs w:val="21"/>
        </w:rPr>
        <w:t xml:space="preserve">Measurement:</w:t>
      </w:r>
      <w:r>
        <w:rPr>
          <w:rFonts w:ascii="Calibri" w:cs="Calibri" w:eastAsia="Calibri" w:hAnsi="Calibri"/>
          <w:sz w:val="21"/>
          <w:szCs w:val="21"/>
        </w:rPr>
        <w:t xml:space="preserve"> a written method, borrowed from energy performance contracting, that defines each lever's formula, the reference rates, the adjustments for business change (acquisitions, seasonality, rate moves) and the dispute route. Third-party audit on request.</w:t>
      </w:r>
    </w:p>
    <w:p>
      <w:pPr>
        <w:pStyle w:val="ListParagraph"/>
        <w:numPr>
          <w:ilvl w:val="0"/>
          <w:numId w:val="4"/>
        </w:numPr>
        <w:spacing w:after="70" w:line="268"/>
      </w:pPr>
      <w:r>
        <w:rPr>
          <w:rFonts w:ascii="Calibri" w:cs="Calibri" w:eastAsia="Calibri" w:hAnsi="Calibri"/>
          <w:b/>
          <w:bCs/>
          <w:sz w:val="21"/>
          <w:szCs w:val="21"/>
        </w:rPr>
        <w:t xml:space="preserve">What the client gives:</w:t>
      </w:r>
      <w:r>
        <w:rPr>
          <w:rFonts w:ascii="Calibri" w:cs="Calibri" w:eastAsia="Calibri" w:hAnsi="Calibri"/>
          <w:sz w:val="21"/>
          <w:szCs w:val="21"/>
        </w:rPr>
        <w:t xml:space="preserve"> the operating account at Wells, data access to the ERP or TMS, and a mandate with limits. What the bank gives up: part of the free-float margin on balances it now sweeps on the client's behalf.</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9A961" w:sz="36"/>
              <w:bottom w:val="none" w:color="FFFFFF" w:sz="0"/>
              <w:right w:val="none" w:color="FFFFFF" w:sz="0"/>
            </w:tcBorders>
            <w:shd w:fill="F7F3E8" w:color="auto" w:val="clear"/>
            <w:tcMar>
              <w:top w:type="dxa" w:w="120"/>
              <w:left w:type="dxa" w:w="220"/>
              <w:bottom w:type="dxa" w:w="100"/>
              <w:right w:type="dxa" w:w="200"/>
            </w:tcMar>
          </w:tcPr>
          <w:p>
            <w:pPr>
              <w:spacing w:after="60"/>
            </w:pPr>
            <w:r>
              <w:rPr>
                <w:rFonts w:ascii="Trebuchet MS" w:cs="Trebuchet MS" w:eastAsia="Trebuchet MS" w:hAnsi="Trebuchet MS"/>
                <w:b/>
                <w:bCs/>
                <w:color w:val="0F2D52"/>
                <w:sz w:val="21"/>
                <w:szCs w:val="21"/>
              </w:rPr>
              <w:t xml:space="preserve">Illustrative mechanics [ILL]</w:t>
            </w:r>
          </w:p>
          <w:p>
            <w:pPr>
              <w:spacing w:after="60" w:line="268"/>
            </w:pPr>
            <w:r>
              <w:rPr>
                <w:rFonts w:ascii="Calibri" w:cs="Calibri" w:eastAsia="Calibri" w:hAnsi="Calibri"/>
                <w:sz w:val="20"/>
                <w:szCs w:val="20"/>
              </w:rPr>
              <w:t xml:space="preserve">Assumptions, not findings: a $200M-revenue distributor with average operating cash of $10M, of which $6M is on average idle above its buffer; a 4% yield on swept balances; $100k a year of early-payment discounts currently missed; two days of DSO improvement; an 8% cost of capital; a 25% gain-share.</w:t>
            </w:r>
          </w:p>
          <w:p>
            <w:pPr>
              <w:spacing w:after="60" w:line="268"/>
            </w:pPr>
            <w:r>
              <w:rPr>
                <w:rFonts w:ascii="Calibri" w:cs="Calibri" w:eastAsia="Calibri" w:hAnsi="Calibri"/>
                <w:sz w:val="20"/>
                <w:szCs w:val="20"/>
              </w:rPr>
              <w:t xml:space="preserve">Idle cash: $6M at 4% is $240k. Discounts: $100k. Collections: two days of $200M a year is about $1.1M of cash released, worth about $88k at 8%. Gross uplift about $430k; the client keeps about $320k and pays about $107k.</w:t>
            </w:r>
          </w:p>
          <w:p>
            <w:pPr>
              <w:spacing w:after="60" w:line="268"/>
            </w:pPr>
            <w:r>
              <w:rPr>
                <w:rFonts w:ascii="Calibri" w:cs="Calibri" w:eastAsia="Calibri" w:hAnsi="Calibri"/>
                <w:sz w:val="20"/>
                <w:szCs w:val="20"/>
              </w:rPr>
              <w:t xml:space="preserve">The bank's side is the point to notice: if the $6M was earning the bank a free-float margin of, say, 2%, that is $120k the bank no longer keeps, against a $107k fee. The design therefore has to keep the swept cash in Wells products that earn a product margin, and to count the operating flows and deposits that now must sit at Wells. The fee alone does not carry the idea; the relationship economics do.</w:t>
            </w:r>
          </w:p>
        </w:tc>
      </w:tr>
    </w:tbl>
    <w:p>
      <w:pPr>
        <w:pStyle w:val="Heading2"/>
        <w:keepNext/>
      </w:pPr>
      <w:r>
        <w:rPr>
          <w:rFonts w:ascii="Trebuchet MS" w:cs="Trebuchet MS" w:eastAsia="Trebuchet MS" w:hAnsi="Trebuchet MS"/>
        </w:rPr>
        <w:t xml:space="preserve">4.4 Who pays whom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3160"/>
        <w:gridCol w:w="1800"/>
      </w:tblGrid>
      <w:tr>
        <w:trPr>
          <w:cantSplit/>
          <w:tblHeader/>
        </w:trPr>
        <w:tc>
          <w:tcPr>
            <w:tcW w:type="dxa" w:w="17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Party</w:t>
            </w:r>
          </w:p>
        </w:tc>
        <w:tc>
          <w:tcPr>
            <w:tcW w:type="dxa" w:w="27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Pays or gives</w:t>
            </w:r>
          </w:p>
        </w:tc>
        <w:tc>
          <w:tcPr>
            <w:tcW w:type="dxa" w:w="31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Receives</w:t>
            </w:r>
          </w:p>
        </w:tc>
        <w:tc>
          <w:tcPr>
            <w:tcW w:type="dxa" w:w="18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Note</w:t>
            </w:r>
          </w:p>
        </w:tc>
      </w:tr>
      <w:tr>
        <w:trPr>
          <w:cantSplit w:val="false"/>
        </w:trPr>
        <w:tc>
          <w:tcPr>
            <w:tcW w:type="dxa" w:w="1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Client</w:t>
            </w:r>
          </w:p>
        </w:tc>
        <w:tc>
          <w:tcPr>
            <w:tcW w:type="dxa" w:w="2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 share of audited uplift; operating account and data access; a mandate</w:t>
            </w:r>
          </w:p>
        </w:tc>
        <w:tc>
          <w:tcPr>
            <w:tcW w:type="dxa" w:w="31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rest of the uplift, a treasury function it does not staff, and a bank that is paid only when it finds money</w:t>
            </w:r>
          </w:p>
        </w:tc>
        <w:tc>
          <w:tcPr>
            <w:tcW w:type="dxa" w:w="1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only visible fee is tied to money the client can see it gained</w:t>
            </w:r>
          </w:p>
        </w:tc>
      </w:tr>
      <w:tr>
        <w:trPr>
          <w:cantSplit w:val="false"/>
        </w:trPr>
        <w:tc>
          <w:tcPr>
            <w:tcW w:type="dxa" w:w="1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Wells Fargo</w:t>
            </w:r>
          </w:p>
        </w:tc>
        <w:tc>
          <w:tcPr>
            <w:tcW w:type="dxa" w:w="2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Part of the free-float margin; the cost of running the agents; the measurement overhead</w:t>
            </w:r>
          </w:p>
        </w:tc>
        <w:tc>
          <w:tcPr>
            <w:tcW w:type="dxa" w:w="31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gain-share; operating flows and deposits that must sit at Wells; a client whose cash operations run on Wells agents and cannot easily leave</w:t>
            </w:r>
          </w:p>
        </w:tc>
        <w:tc>
          <w:tcPr>
            <w:tcW w:type="dxa" w:w="1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Switching cost replaces fee as the moat</w:t>
            </w:r>
          </w:p>
        </w:tc>
      </w:tr>
      <w:tr>
        <w:trPr>
          <w:cantSplit w:val="false"/>
        </w:trPr>
        <w:tc>
          <w:tcPr>
            <w:tcW w:type="dxa" w:w="1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Private-equity sponsor (variant)</w:t>
            </w:r>
          </w:p>
        </w:tc>
        <w:tc>
          <w:tcPr>
            <w:tcW w:type="dxa" w:w="2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One contract across a portfolio; sponsor-level baseline and audit</w:t>
            </w:r>
          </w:p>
        </w:tc>
        <w:tc>
          <w:tcPr>
            <w:tcW w:type="dxa" w:w="31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Portfolio-wide working-capital improvement, reported per company</w:t>
            </w:r>
          </w:p>
        </w:tc>
        <w:tc>
          <w:tcPr>
            <w:tcW w:type="dxa" w:w="1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Sponsors already buy outcome-priced operating improvement</w:t>
            </w:r>
          </w:p>
        </w:tc>
      </w:tr>
      <w:tr>
        <w:trPr>
          <w:cantSplit w:val="false"/>
        </w:trPr>
        <w:tc>
          <w:tcPr>
            <w:tcW w:type="dxa" w:w="1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TMS and ERP vendors</w:t>
            </w:r>
          </w:p>
        </w:tc>
        <w:tc>
          <w:tcPr>
            <w:tcW w:type="dxa" w:w="2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Data access through existing connectors</w:t>
            </w:r>
          </w:p>
        </w:tc>
        <w:tc>
          <w:tcPr>
            <w:tcW w:type="dxa" w:w="31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 bank that routes execution through their systems</w:t>
            </w:r>
          </w:p>
        </w:tc>
        <w:tc>
          <w:tcPr>
            <w:tcW w:type="dxa" w:w="1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Will resist if the bank's agents displace their own; partner where possible</w:t>
            </w:r>
          </w:p>
        </w:tc>
      </w:tr>
    </w:tbl>
    <w:p>
      <w:pPr>
        <w:pStyle w:val="Heading2"/>
        <w:keepNext/>
      </w:pPr>
      <w:r>
        <w:rPr>
          <w:rFonts w:ascii="Trebuchet MS" w:cs="Trebuchet MS" w:eastAsia="Trebuchet MS" w:hAnsi="Trebuchet MS"/>
        </w:rPr>
        <w:t xml:space="preserve">4.5 Segment and industry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cantSplit/>
          <w:tblHeader/>
        </w:trPr>
        <w:tc>
          <w:tcPr>
            <w:tcW w:type="dxa" w:w="23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Segment</w:t>
            </w:r>
          </w:p>
        </w:tc>
        <w:tc>
          <w:tcPr>
            <w:tcW w:type="dxa" w:w="15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Fit</w:t>
            </w:r>
          </w:p>
        </w:tc>
        <w:tc>
          <w:tcPr>
            <w:tcW w:type="dxa" w:w="55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Why</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Small business (&lt;$25M)</w:t>
            </w:r>
          </w:p>
        </w:tc>
        <w:tc>
          <w:tcPr>
            <w:tcW w:type="dxa" w:w="1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No</w:t>
            </w:r>
          </w:p>
        </w:tc>
        <w:tc>
          <w:tcPr>
            <w:tcW w:type="dxa" w:w="55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mechanism works, but the absolute uplift is too small to fund a contract with measurement and audit. Deliver the sweep as a free feature instead</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Emerging middle market ($25M–$500M)</w:t>
            </w:r>
          </w:p>
        </w:tc>
        <w:tc>
          <w:tcPr>
            <w:tcW w:type="dxa" w:w="15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Strong</w:t>
            </w:r>
          </w:p>
        </w:tc>
        <w:tc>
          <w:tcPr>
            <w:tcW w:type="dxa" w:w="55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Thin treasury teams, one or two banks so Wells sees most of the flows, idle cash nobody manages. Manufacturing, wholesale and distribution, healthcare services and commercial real estate developers have the lumpiest cash and the clearest levers</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Core and upper middle market ($500M–$2B)</w:t>
            </w:r>
          </w:p>
        </w:tc>
        <w:tc>
          <w:tcPr>
            <w:tcW w:type="dxa" w:w="1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Partial</w:t>
            </w:r>
          </w:p>
        </w:tc>
        <w:tc>
          <w:tcPr>
            <w:tcW w:type="dxa" w:w="55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Many have a TMS and a treasurer; pockets remain in FX netting, discount capture and subsidiaries outside the TMS</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Large corporate (&gt;$2B)</w:t>
            </w:r>
          </w:p>
        </w:tc>
        <w:tc>
          <w:tcPr>
            <w:tcW w:type="dxa" w:w="15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Weak</w:t>
            </w:r>
          </w:p>
        </w:tc>
        <w:tc>
          <w:tcPr>
            <w:tcW w:type="dxa" w:w="55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Treasury teams, a TMS, eleven banks on average so attribution breaks, and CFOs already over budget on AI. Pockets only: weak regional subsidiaries, FX netting</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Mega-caps (Walmart-scale)</w:t>
            </w:r>
          </w:p>
        </w:tc>
        <w:tc>
          <w:tcPr>
            <w:tcW w:type="dxa" w:w="1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No</w:t>
            </w:r>
          </w:p>
        </w:tc>
        <w:tc>
          <w:tcPr>
            <w:tcW w:type="dxa" w:w="55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Treasury as sophisticated as the bank's; Wells sees a fraction of flows; would never share upside</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Private-equity portfolio companies</w:t>
            </w:r>
          </w:p>
        </w:tc>
        <w:tc>
          <w:tcPr>
            <w:tcW w:type="dxa" w:w="15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Sharpest first market</w:t>
            </w:r>
          </w:p>
        </w:tc>
        <w:tc>
          <w:tcPr>
            <w:tcW w:type="dxa" w:w="55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Sponsors buy working-capital improvement by the portfolio and already pay on outcomes; one gain-share contract across twenty mid-market companies, with sponsor-level audit, is a cleaner sale than twenty separate ones</w:t>
            </w:r>
          </w:p>
        </w:tc>
      </w:tr>
    </w:tbl>
    <w:p>
      <w:pPr>
        <w:pStyle w:val="Heading2"/>
        <w:keepNext/>
      </w:pPr>
      <w:r>
        <w:rPr>
          <w:rFonts w:ascii="Trebuchet MS" w:cs="Trebuchet MS" w:eastAsia="Trebuchet MS" w:hAnsi="Trebuchet MS"/>
        </w:rPr>
        <w:t xml:space="preserve">4.6 What Vantage has and what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Already there</w:t>
            </w:r>
          </w:p>
        </w:tc>
        <w:tc>
          <w:tcPr>
            <w:tcW w:type="dxa" w:w="468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To build or acquire</w:t>
            </w:r>
          </w:p>
        </w:tc>
      </w:tr>
      <w:tr>
        <w:trPr>
          <w:cantSplit w:val="false"/>
        </w:trPr>
        <w:tc>
          <w:tcPr>
            <w:tcW w:type="dxa" w:w="468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Sweep products and interest-bearing targets for idle cash</w:t>
            </w:r>
          </w:p>
        </w:tc>
        <w:tc>
          <w:tcPr>
            <w:tcW w:type="dxa" w:w="468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A forecasting engine of Wells Fargo's own, or a contracted one (Trovata is the current referral; terms would change)</w:t>
            </w:r>
          </w:p>
        </w:tc>
      </w:tr>
      <w:tr>
        <w:trPr>
          <w:cantSplit w:val="false"/>
        </w:trPr>
        <w:tc>
          <w:tcPr>
            <w:tcW w:type="dxa" w:w="468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Information reporting and the Commercial Banking APIs as data feeds</w:t>
            </w:r>
          </w:p>
        </w:tc>
        <w:tc>
          <w:tcPr>
            <w:tcW w:type="dxa" w:w="468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Execution agents under mandate, sharing the mandate engine with Idea A</w:t>
            </w:r>
          </w:p>
        </w:tc>
      </w:tr>
      <w:tr>
        <w:trPr>
          <w:cantSplit w:val="false"/>
        </w:trPr>
        <w:tc>
          <w:tcPr>
            <w:tcW w:type="dxa" w:w="468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Fraud Manager, Dual Custody and Positive Pay as release controls</w:t>
            </w:r>
          </w:p>
        </w:tc>
        <w:tc>
          <w:tcPr>
            <w:tcW w:type="dxa" w:w="468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A baseline and measurement engine with the written method, reference rates and adjustment rules</w:t>
            </w:r>
          </w:p>
        </w:tc>
      </w:tr>
      <w:tr>
        <w:trPr>
          <w:cantSplit w:val="false"/>
        </w:trPr>
        <w:tc>
          <w:tcPr>
            <w:tcW w:type="dxa" w:w="468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Vantage as the release surface for the Propose tier</w:t>
            </w:r>
          </w:p>
        </w:tc>
        <w:tc>
          <w:tcPr>
            <w:tcW w:type="dxa" w:w="468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Contract templates for gain-share, caps, audit and dispute; a private-equity portfolio variant</w:t>
            </w:r>
          </w:p>
        </w:tc>
      </w:tr>
      <w:tr>
        <w:trPr>
          <w:cantSplit w:val="false"/>
        </w:trPr>
        <w:tc>
          <w:tcPr>
            <w:tcW w:type="dxa" w:w="468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Tokenised deposits for 24/7 sweeps</w:t>
            </w:r>
          </w:p>
        </w:tc>
        <w:tc>
          <w:tcPr>
            <w:tcW w:type="dxa" w:w="468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A Legal determination on whether operating cash under mandate is advice or a fiduciary role, and the client disclosures that follow</w:t>
            </w:r>
          </w:p>
        </w:tc>
      </w:tr>
      <w:tr>
        <w:trPr>
          <w:cantSplit w:val="false"/>
        </w:trPr>
        <w:tc>
          <w:tcPr>
            <w:tcW w:type="dxa" w:w="468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Payments AI already in production (26 live use cases)</w:t>
            </w:r>
          </w:p>
        </w:tc>
        <w:tc>
          <w:tcPr>
            <w:tcW w:type="dxa" w:w="468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6"/>
                <w:szCs w:val="16"/>
              </w:rPr>
              <w:t xml:space="preserve">Pricing governance that sets the share, the cap and the treatment of foregone float, and reports relationship economics per client</w:t>
            </w:r>
          </w:p>
        </w:tc>
      </w:tr>
    </w:tbl>
    <w:p>
      <w:pPr>
        <w:pStyle w:val="Heading2"/>
        <w:keepNext/>
      </w:pPr>
      <w:r>
        <w:rPr>
          <w:rFonts w:ascii="Trebuchet MS" w:cs="Trebuchet MS" w:eastAsia="Trebuchet MS" w:hAnsi="Trebuchet MS"/>
        </w:rPr>
        <w:t xml:space="preserve">4.7 Competitive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860"/>
        <w:gridCol w:w="1100"/>
      </w:tblGrid>
      <w:tr>
        <w:trPr>
          <w:cantSplit/>
          <w:tblHeader/>
        </w:trPr>
        <w:tc>
          <w:tcPr>
            <w:tcW w:type="dxa" w:w="22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Player</w:t>
            </w:r>
          </w:p>
        </w:tc>
        <w:tc>
          <w:tcPr>
            <w:tcW w:type="dxa" w:w="32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What they do</w:t>
            </w:r>
          </w:p>
        </w:tc>
        <w:tc>
          <w:tcPr>
            <w:tcW w:type="dxa" w:w="28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Gap left</w:t>
            </w:r>
          </w:p>
        </w:tc>
        <w:tc>
          <w:tcPr>
            <w:tcW w:type="dxa" w:w="11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Tag</w:t>
            </w:r>
          </w:p>
        </w:tc>
      </w:tr>
      <w:tr>
        <w:trPr>
          <w:cantSplit w:val="false"/>
        </w:trPr>
        <w:tc>
          <w:tcPr>
            <w:tcW w:type="dxa" w:w="2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J.P. Morgan Cash Flow Intelligence</w:t>
            </w:r>
          </w:p>
        </w:tc>
        <w:tc>
          <w:tcPr>
            <w:tcW w:type="dxa" w:w="3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AI forecasting inside J.P. Morgan Access; about 2,500 clients, free, "considering charging" (Mar 2024); marketed as "AI as a service" with Amtrak and Domino's cases; no current price published</w:t>
            </w:r>
          </w:p>
        </w:tc>
        <w:tc>
          <w:tcPr>
            <w:tcW w:type="dxa" w:w="28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Gives the tool away; does not operate the client's cash or price on outcome</w:t>
            </w:r>
          </w:p>
        </w:tc>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 (secondary)</w:t>
            </w:r>
          </w:p>
        </w:tc>
      </w:tr>
      <w:tr>
        <w:trPr>
          <w:cantSplit w:val="false"/>
        </w:trPr>
        <w:tc>
          <w:tcPr>
            <w:tcW w:type="dxa" w:w="22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Bank of America CashPro Forecasting and Data Intelligence suite</w:t>
            </w:r>
          </w:p>
        </w:tc>
        <w:tc>
          <w:tcPr>
            <w:tcW w:type="dxa" w:w="32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Forecasting bundled into information reporting; 3,000+ companies in 2025; Payments Insights with peer benchmarking (28 Sep 2026), pricing not published</w:t>
            </w:r>
          </w:p>
        </w:tc>
        <w:tc>
          <w:tcPr>
            <w:tcW w:type="dxa" w:w="28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Same: tooling, bundled</w:t>
            </w:r>
          </w:p>
        </w:tc>
        <w:tc>
          <w:tcPr>
            <w:tcW w:type="dxa" w:w="1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BR</w:t>
            </w:r>
          </w:p>
        </w:tc>
      </w:tr>
      <w:tr>
        <w:trPr>
          <w:cantSplit w:val="false"/>
        </w:trPr>
        <w:tc>
          <w:tcPr>
            <w:tcW w:type="dxa" w:w="2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TMS vendors (Kyriba, Trovata, GTreasury, ION)</w:t>
            </w:r>
          </w:p>
        </w:tc>
        <w:tc>
          <w:tcPr>
            <w:tcW w:type="dxa" w:w="3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Subscriptions; Trovata lists $24k a year base</w:t>
            </w:r>
          </w:p>
        </w:tc>
        <w:tc>
          <w:tcPr>
            <w:tcW w:type="dxa" w:w="28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Sell software; do not move money or share gains</w:t>
            </w:r>
          </w:p>
        </w:tc>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V</w:t>
            </w:r>
          </w:p>
        </w:tc>
      </w:tr>
      <w:tr>
        <w:trPr>
          <w:cantSplit w:val="false"/>
        </w:trPr>
        <w:tc>
          <w:tcPr>
            <w:tcW w:type="dxa" w:w="22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Fintech spend and AP platforms (Ramp, BILL)</w:t>
            </w:r>
          </w:p>
        </w:tc>
        <w:tc>
          <w:tcPr>
            <w:tcW w:type="dxa" w:w="32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Agents that approve and pay on their own rails at the small end</w:t>
            </w:r>
          </w:p>
        </w:tc>
        <w:tc>
          <w:tcPr>
            <w:tcW w:type="dxa" w:w="28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Below the segment; no treasury operation</w:t>
            </w:r>
          </w:p>
        </w:tc>
        <w:tc>
          <w:tcPr>
            <w:tcW w:type="dxa" w:w="1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V</w:t>
            </w:r>
          </w:p>
        </w:tc>
      </w:tr>
      <w:tr>
        <w:trPr>
          <w:cantSplit w:val="false"/>
        </w:trPr>
        <w:tc>
          <w:tcPr>
            <w:tcW w:type="dxa" w:w="2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Deloitte 2026 predictions</w:t>
            </w:r>
          </w:p>
        </w:tc>
        <w:tc>
          <w:tcPr>
            <w:tcW w:type="dxa" w:w="32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Predicts outcome-based pricing for bank AI products</w:t>
            </w:r>
          </w:p>
        </w:tc>
        <w:tc>
          <w:tcPr>
            <w:tcW w:type="dxa" w:w="28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 prediction; no bank named</w:t>
            </w:r>
          </w:p>
        </w:tc>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AE</w:t>
            </w:r>
          </w:p>
        </w:tc>
      </w:tr>
      <w:tr>
        <w:trPr>
          <w:cantSplit w:val="false"/>
        </w:trPr>
        <w:tc>
          <w:tcPr>
            <w:tcW w:type="dxa" w:w="22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Banks pricing treasury on outcome</w:t>
            </w:r>
          </w:p>
        </w:tc>
        <w:tc>
          <w:tcPr>
            <w:tcW w:type="dxa" w:w="32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None found</w:t>
            </w:r>
          </w:p>
        </w:tc>
        <w:tc>
          <w:tcPr>
            <w:tcW w:type="dxa" w:w="28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seat is open</w:t>
            </w:r>
          </w:p>
        </w:tc>
        <w:tc>
          <w:tcPr>
            <w:tcW w:type="dxa" w:w="1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SYN</w:t>
            </w:r>
          </w:p>
        </w:tc>
      </w:tr>
    </w:tbl>
    <w:p>
      <w:pPr>
        <w:pStyle w:val="Heading2"/>
        <w:keepNext/>
      </w:pPr>
      <w:r>
        <w:rPr>
          <w:rFonts w:ascii="Trebuchet MS" w:cs="Trebuchet MS" w:eastAsia="Trebuchet MS" w:hAnsi="Trebuchet MS"/>
        </w:rPr>
        <w:t xml:space="preserve">4.8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cantSplit/>
          <w:tblHeader/>
        </w:trPr>
        <w:tc>
          <w:tcPr>
            <w:tcW w:type="dxa" w:w="19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Risk</w:t>
            </w:r>
          </w:p>
        </w:tc>
        <w:tc>
          <w:tcPr>
            <w:tcW w:type="dxa" w:w="35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What could happen</w:t>
            </w:r>
          </w:p>
        </w:tc>
        <w:tc>
          <w:tcPr>
            <w:tcW w:type="dxa" w:w="39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Mitigation</w:t>
            </w:r>
          </w:p>
        </w:tc>
      </w:tr>
      <w:tr>
        <w:trPr>
          <w:cantSplit w:val="false"/>
        </w:trPr>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Attribution disputes</w:t>
            </w:r>
          </w:p>
        </w:tc>
        <w:tc>
          <w:tcPr>
            <w:tcW w:type="dxa" w:w="3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Client credits the uplift to a rate move, a new customer or its own changes</w:t>
            </w:r>
          </w:p>
        </w:tc>
        <w:tc>
          <w:tcPr>
            <w:tcW w:type="dxa" w:w="39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Written method with adjustments agreed before Observe ends; quarterly statements; audit on request; cap on the fee</w:t>
            </w:r>
          </w:p>
        </w:tc>
      </w:tr>
      <w:tr>
        <w:trPr>
          <w:cantSplit w:val="false"/>
        </w:trPr>
        <w:tc>
          <w:tcPr>
            <w:tcW w:type="dxa" w:w="19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Advice or fiduciary characterisation</w:t>
            </w:r>
          </w:p>
        </w:tc>
        <w:tc>
          <w:tcPr>
            <w:tcW w:type="dxa" w:w="35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Operating cash under mandate is treated as investment advice or a fiduciary role, with duties and conflicts the bank must manage</w:t>
            </w:r>
          </w:p>
        </w:tc>
        <w:tc>
          <w:tcPr>
            <w:tcW w:type="dxa" w:w="39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Legal determination before any fee; sweeps only into pre-approved product menus; disclosures; Propose tier until resolved</w:t>
            </w:r>
          </w:p>
        </w:tc>
      </w:tr>
      <w:tr>
        <w:trPr>
          <w:cantSplit w:val="false"/>
        </w:trPr>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Cannibalised margin</w:t>
            </w:r>
          </w:p>
        </w:tc>
        <w:tc>
          <w:tcPr>
            <w:tcW w:type="dxa" w:w="3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bank loses more free-float margin than it earns in fees</w:t>
            </w:r>
          </w:p>
        </w:tc>
        <w:tc>
          <w:tcPr>
            <w:tcW w:type="dxa" w:w="39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Keep swept cash in Wells products with a margin; count flows and deposits in relationship economics; set the share with that in view</w:t>
            </w:r>
          </w:p>
        </w:tc>
      </w:tr>
      <w:tr>
        <w:trPr>
          <w:cantSplit w:val="false"/>
        </w:trPr>
        <w:tc>
          <w:tcPr>
            <w:tcW w:type="dxa" w:w="19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Learn-then-leave</w:t>
            </w:r>
          </w:p>
        </w:tc>
        <w:tc>
          <w:tcPr>
            <w:tcW w:type="dxa" w:w="35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client runs the Observe and Propose tiers, learns the levers, and does it itself</w:t>
            </w:r>
          </w:p>
        </w:tc>
        <w:tc>
          <w:tcPr>
            <w:tcW w:type="dxa" w:w="39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Charge nothing until Execute; make execution, measurement and the agents the service; contract terms on early exit</w:t>
            </w:r>
          </w:p>
        </w:tc>
      </w:tr>
      <w:tr>
        <w:trPr>
          <w:cantSplit w:val="false"/>
        </w:trPr>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Model risk</w:t>
            </w:r>
          </w:p>
        </w:tc>
        <w:tc>
          <w:tcPr>
            <w:tcW w:type="dxa" w:w="3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Forecast errors cause overdrafts or missed payments</w:t>
            </w:r>
          </w:p>
        </w:tc>
        <w:tc>
          <w:tcPr>
            <w:tcW w:type="dxa" w:w="39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Buffers in the mandate; limits; exceptions to humans; Fraud Manager controls stay in force</w:t>
            </w:r>
          </w:p>
        </w:tc>
      </w:tr>
      <w:tr>
        <w:trPr>
          <w:cantSplit w:val="false"/>
        </w:trPr>
        <w:tc>
          <w:tcPr>
            <w:tcW w:type="dxa" w:w="19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Vendor resistance</w:t>
            </w:r>
          </w:p>
        </w:tc>
        <w:tc>
          <w:tcPr>
            <w:tcW w:type="dxa" w:w="35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TMS and ERP vendors restrict connectors or compete</w:t>
            </w:r>
          </w:p>
        </w:tc>
        <w:tc>
          <w:tcPr>
            <w:tcW w:type="dxa" w:w="39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Partner where the vendor has an agent of its own; route proposals through their system</w:t>
            </w:r>
          </w:p>
        </w:tc>
      </w:tr>
      <w:tr>
        <w:trPr>
          <w:cantSplit w:val="false"/>
        </w:trPr>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Reputation</w:t>
            </w:r>
          </w:p>
        </w:tc>
        <w:tc>
          <w:tcPr>
            <w:tcW w:type="dxa" w:w="3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bank is seen to earn from the client's cash twice</w:t>
            </w:r>
          </w:p>
        </w:tc>
        <w:tc>
          <w:tcPr>
            <w:tcW w:type="dxa" w:w="39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Transparent statements that show the uplift, the share and the float trade-off; no fee without a visible gain</w:t>
            </w:r>
          </w:p>
        </w:tc>
      </w:tr>
    </w:tbl>
    <w:p>
      <w:pPr>
        <w:pStyle w:val="Heading2"/>
        <w:keepNext/>
      </w:pPr>
      <w:r>
        <w:rPr>
          <w:rFonts w:ascii="Trebuchet MS" w:cs="Trebuchet MS" w:eastAsia="Trebuchet MS" w:hAnsi="Trebuchet MS"/>
        </w:rPr>
        <w:t xml:space="preserve">4.9 Open questions</w:t>
      </w:r>
    </w:p>
    <w:p>
      <w:pPr>
        <w:pStyle w:val="ListParagraph"/>
        <w:numPr>
          <w:ilvl w:val="0"/>
          <w:numId w:val="4"/>
        </w:numPr>
        <w:spacing w:after="70" w:line="268"/>
      </w:pPr>
      <w:r>
        <w:rPr>
          <w:rFonts w:ascii="Calibri" w:cs="Calibri" w:eastAsia="Calibri" w:hAnsi="Calibri"/>
          <w:sz w:val="21"/>
          <w:szCs w:val="21"/>
        </w:rPr>
        <w:t xml:space="preserve">Is cash operation under mandate advice, a fiduciary role, or an agency arrangement within treasury services? The answer sets disclosures, product menus and possibly licensing.</w:t>
      </w:r>
    </w:p>
    <w:p>
      <w:pPr>
        <w:pStyle w:val="ListParagraph"/>
        <w:numPr>
          <w:ilvl w:val="0"/>
          <w:numId w:val="4"/>
        </w:numPr>
        <w:spacing w:after="70" w:line="268"/>
      </w:pPr>
      <w:r>
        <w:rPr>
          <w:rFonts w:ascii="Calibri" w:cs="Calibri" w:eastAsia="Calibri" w:hAnsi="Calibri"/>
          <w:sz w:val="21"/>
          <w:szCs w:val="21"/>
        </w:rPr>
        <w:t xml:space="preserve">What share and cap would a middle-market CFO accept, and does a private-equity sponsor accept a different one? No published data exists; the pilot has to find out.</w:t>
      </w:r>
    </w:p>
    <w:p>
      <w:pPr>
        <w:pStyle w:val="ListParagraph"/>
        <w:numPr>
          <w:ilvl w:val="0"/>
          <w:numId w:val="4"/>
        </w:numPr>
        <w:spacing w:after="70" w:line="268"/>
      </w:pPr>
      <w:r>
        <w:rPr>
          <w:rFonts w:ascii="Calibri" w:cs="Calibri" w:eastAsia="Calibri" w:hAnsi="Calibri"/>
          <w:sz w:val="21"/>
          <w:szCs w:val="21"/>
        </w:rPr>
        <w:t xml:space="preserve">How should foregone free-float margin be charged internally so that the product is judged on relationship economics, not on fee alone?</w:t>
      </w:r>
    </w:p>
    <w:p>
      <w:pPr>
        <w:pStyle w:val="ListParagraph"/>
        <w:numPr>
          <w:ilvl w:val="0"/>
          <w:numId w:val="4"/>
        </w:numPr>
        <w:spacing w:after="70" w:line="268"/>
      </w:pPr>
      <w:r>
        <w:rPr>
          <w:rFonts w:ascii="Calibri" w:cs="Calibri" w:eastAsia="Calibri" w:hAnsi="Calibri"/>
          <w:sz w:val="21"/>
          <w:szCs w:val="21"/>
        </w:rPr>
        <w:t xml:space="preserve">Can the levers run on Trovata or must forecasting be built? The current referral arrangement is not a product contract.</w:t>
      </w:r>
    </w:p>
    <w:p>
      <w:pPr>
        <w:pStyle w:val="ListParagraph"/>
        <w:numPr>
          <w:ilvl w:val="0"/>
          <w:numId w:val="4"/>
        </w:numPr>
        <w:spacing w:after="70" w:line="268"/>
      </w:pPr>
      <w:r>
        <w:rPr>
          <w:rFonts w:ascii="Calibri" w:cs="Calibri" w:eastAsia="Calibri" w:hAnsi="Calibri"/>
          <w:sz w:val="21"/>
          <w:szCs w:val="21"/>
        </w:rPr>
        <w:t xml:space="preserve">Does gain-share pricing need regulatory notice as a new fee type under account analysis?</w:t>
      </w:r>
    </w:p>
    <w:p>
      <w:pPr>
        <w:pStyle w:val="Heading2"/>
        <w:keepNext/>
      </w:pPr>
      <w:r>
        <w:rPr>
          <w:rFonts w:ascii="Trebuchet MS" w:cs="Trebuchet MS" w:eastAsia="Trebuchet MS" w:hAnsi="Trebuchet MS"/>
        </w:rPr>
        <w:t xml:space="preserve">4.10 One-year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00"/>
        <w:gridCol w:w="3260"/>
      </w:tblGrid>
      <w:tr>
        <w:trPr>
          <w:cantSplit/>
          <w:tblHeader/>
        </w:trPr>
        <w:tc>
          <w:tcPr>
            <w:tcW w:type="dxa" w:w="11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Quarter</w:t>
            </w:r>
          </w:p>
        </w:tc>
        <w:tc>
          <w:tcPr>
            <w:tcW w:type="dxa" w:w="50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Step</w:t>
            </w:r>
          </w:p>
        </w:tc>
        <w:tc>
          <w:tcPr>
            <w:tcW w:type="dxa" w:w="32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Proof point</w:t>
            </w:r>
          </w:p>
        </w:tc>
      </w:tr>
      <w:tr>
        <w:trPr>
          <w:cantSplit w:val="false"/>
        </w:trPr>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Q1 2027</w:t>
            </w:r>
          </w:p>
        </w:tc>
        <w:tc>
          <w:tcPr>
            <w:tcW w:type="dxa" w:w="50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Legal determination on advice and fiduciary status; written measurement method; select ten clients at $50M–$500M in manufacturing, distribution and healthcare services, plus one private-equity sponsor with three portfolio companies</w:t>
            </w:r>
          </w:p>
        </w:tc>
        <w:tc>
          <w:tcPr>
            <w:tcW w:type="dxa" w:w="32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Signed Observe-tier agreements; baselines built</w:t>
            </w:r>
          </w:p>
        </w:tc>
      </w:tr>
      <w:tr>
        <w:trPr>
          <w:cantSplit w:val="false"/>
        </w:trPr>
        <w:tc>
          <w:tcPr>
            <w:tcW w:type="dxa" w:w="1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Q2 2027</w:t>
            </w:r>
          </w:p>
        </w:tc>
        <w:tc>
          <w:tcPr>
            <w:tcW w:type="dxa" w:w="50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Observe tier runs; agents compute what each lever would have earned; clients see a shadow statement with the uplift they did not get</w:t>
            </w:r>
          </w:p>
        </w:tc>
        <w:tc>
          <w:tcPr>
            <w:tcW w:type="dxa" w:w="32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Median shadow uplift as a percentage of operating cash; client reaction to the shown share</w:t>
            </w:r>
          </w:p>
        </w:tc>
      </w:tr>
      <w:tr>
        <w:trPr>
          <w:cantSplit w:val="false"/>
        </w:trPr>
        <w:tc>
          <w:tcPr>
            <w:tcW w:type="dxa" w:w="1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Q3 2027</w:t>
            </w:r>
          </w:p>
        </w:tc>
        <w:tc>
          <w:tcPr>
            <w:tcW w:type="dxa" w:w="50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Propose tier: agents draft sweeps, payment timing and collection actions; clients release in Vantage; first priced statements</w:t>
            </w:r>
          </w:p>
        </w:tc>
        <w:tc>
          <w:tcPr>
            <w:tcW w:type="dxa" w:w="32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Release rate of proposals; uplift realised versus shadow; first fees invoiced and paid</w:t>
            </w:r>
          </w:p>
        </w:tc>
      </w:tr>
      <w:tr>
        <w:trPr>
          <w:cantSplit w:val="false"/>
        </w:trPr>
        <w:tc>
          <w:tcPr>
            <w:tcW w:type="dxa" w:w="1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Q4 2027</w:t>
            </w:r>
          </w:p>
        </w:tc>
        <w:tc>
          <w:tcPr>
            <w:tcW w:type="dxa" w:w="50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Execute tier for sweeps and payment timing within limits; annual true-up; relationship economics reported per client including float trade-off and flows gained</w:t>
            </w:r>
          </w:p>
        </w:tc>
        <w:tc>
          <w:tcPr>
            <w:tcW w:type="dxa" w:w="32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Fee revenue, foregone margin, deposits and flows per client; sponsor decision on a portfolio contract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9A961" w:sz="36"/>
              <w:bottom w:val="none" w:color="FFFFFF" w:sz="0"/>
              <w:right w:val="none" w:color="FFFFFF" w:sz="0"/>
            </w:tcBorders>
            <w:shd w:fill="F7F3E8" w:color="auto" w:val="clear"/>
            <w:tcMar>
              <w:top w:type="dxa" w:w="120"/>
              <w:left w:type="dxa" w:w="220"/>
              <w:bottom w:type="dxa" w:w="100"/>
              <w:right w:type="dxa" w:w="200"/>
            </w:tcMar>
          </w:tcPr>
          <w:p>
            <w:pPr>
              <w:spacing w:after="60"/>
            </w:pPr>
            <w:r>
              <w:rPr>
                <w:rFonts w:ascii="Trebuchet MS" w:cs="Trebuchet MS" w:eastAsia="Trebuchet MS" w:hAnsi="Trebuchet MS"/>
                <w:b/>
                <w:bCs/>
                <w:color w:val="0F2D52"/>
                <w:sz w:val="21"/>
                <w:szCs w:val="21"/>
              </w:rPr>
              <w:t xml:space="preserve">Kill criteria</w:t>
            </w:r>
          </w:p>
          <w:p>
            <w:pPr>
              <w:spacing w:after="60" w:line="268"/>
            </w:pPr>
            <w:r>
              <w:rPr>
                <w:rFonts w:ascii="Calibri" w:cs="Calibri" w:eastAsia="Calibri" w:hAnsi="Calibri"/>
                <w:sz w:val="20"/>
                <w:szCs w:val="20"/>
              </w:rPr>
              <w:t xml:space="preserve">Stop if fewer than half the pilot clients accept a priced Propose-tier contract after seeing their shadow statement; if Legal concludes the mandate is advice the bank will not give under these terms; or if relationship economics (fee plus flows minus foregone margin) are negative for the median client after the true-up.</w:t>
            </w:r>
          </w:p>
        </w:tc>
      </w:tr>
    </w:tbl>
    <w:p>
      <w:pPr>
        <w:pStyle w:val="Heading1"/>
        <w:keepNext/>
      </w:pPr>
      <w:r>
        <w:rPr>
          <w:rFonts w:ascii="Trebuchet MS" w:cs="Trebuchet MS" w:eastAsia="Trebuchet MS" w:hAnsi="Trebuchet MS"/>
        </w:rPr>
        <w:t xml:space="preserve">5  How the two ideas fit together</w:t>
      </w:r>
    </w:p>
    <w:p>
      <w:pPr>
        <w:spacing w:after="120" w:line="276"/>
      </w:pPr>
      <w:r>
        <w:rPr>
          <w:rFonts w:ascii="Calibri" w:cs="Calibri" w:eastAsia="Calibri" w:hAnsi="Calibri"/>
          <w:sz w:val="21"/>
          <w:szCs w:val="21"/>
        </w:rPr>
        <w:t xml:space="preserve">Both ideas are built on one engine. Idea A gives Idea B the rails and the indemnity it needs to move from Propose to Execute. Idea B gives Idea A its first execute-tier mandates, on Wells's own agents, where the bank controls both ends. [SYN]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rPr>
          <w:cantSplit/>
          <w:tblHeader/>
        </w:trPr>
        <w:tc>
          <w:tcPr>
            <w:tcW w:type="dxa" w:w="31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Shared component</w:t>
            </w:r>
          </w:p>
        </w:tc>
        <w:tc>
          <w:tcPr>
            <w:tcW w:type="dxa" w:w="31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Idea A uses it for</w:t>
            </w:r>
          </w:p>
        </w:tc>
        <w:tc>
          <w:tcPr>
            <w:tcW w:type="dxa" w:w="31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Idea B uses it for</w:t>
            </w:r>
          </w:p>
        </w:tc>
      </w:tr>
      <w:tr>
        <w:trPr>
          <w:cantSplit w:val="false"/>
        </w:trPr>
        <w:tc>
          <w:tcPr>
            <w:tcW w:type="dxa" w:w="31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Mandate registry (entity, signatory, scope, limits, expiry, revocation)</w:t>
            </w:r>
          </w:p>
        </w:tc>
        <w:tc>
          <w:tcPr>
            <w:tcW w:type="dxa" w:w="3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credential's content</w:t>
            </w:r>
          </w:p>
        </w:tc>
        <w:tc>
          <w:tcPr>
            <w:tcW w:type="dxa" w:w="3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boundary within which the treasury agents act</w:t>
            </w:r>
          </w:p>
        </w:tc>
      </w:tr>
      <w:tr>
        <w:trPr>
          <w:cantSplit w:val="false"/>
        </w:trPr>
        <w:tc>
          <w:tcPr>
            <w:tcW w:type="dxa" w:w="31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Execution agent with human release in Vantage</w:t>
            </w:r>
          </w:p>
        </w:tc>
        <w:tc>
          <w:tcPr>
            <w:tcW w:type="dxa" w:w="3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Propose and Execute tiers for client agents</w:t>
            </w:r>
          </w:p>
        </w:tc>
        <w:tc>
          <w:tcPr>
            <w:tcW w:type="dxa" w:w="3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Propose and Execute tiers for Wells agents</w:t>
            </w:r>
          </w:p>
        </w:tc>
      </w:tr>
      <w:tr>
        <w:trPr>
          <w:cantSplit w:val="false"/>
        </w:trPr>
        <w:tc>
          <w:tcPr>
            <w:tcW w:type="dxa" w:w="31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Audit trail</w:t>
            </w:r>
          </w:p>
        </w:tc>
        <w:tc>
          <w:tcPr>
            <w:tcW w:type="dxa" w:w="3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Evidence for verification and indemnity claims</w:t>
            </w:r>
          </w:p>
        </w:tc>
        <w:tc>
          <w:tcPr>
            <w:tcW w:type="dxa" w:w="3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Evidence for the measurement method</w:t>
            </w:r>
          </w:p>
        </w:tc>
      </w:tr>
      <w:tr>
        <w:trPr>
          <w:cantSplit w:val="false"/>
        </w:trPr>
        <w:tc>
          <w:tcPr>
            <w:tcW w:type="dxa" w:w="31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Indemnity</w:t>
            </w:r>
          </w:p>
        </w:tc>
        <w:tc>
          <w:tcPr>
            <w:tcW w:type="dxa" w:w="3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Sold to clients moving to execute-tier mandates</w:t>
            </w:r>
          </w:p>
        </w:tc>
        <w:tc>
          <w:tcPr>
            <w:tcW w:type="dxa" w:w="3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Covers Wells's own agents' errors within mandate</w:t>
            </w:r>
          </w:p>
        </w:tc>
      </w:tr>
      <w:tr>
        <w:trPr>
          <w:cantSplit w:val="false"/>
        </w:trPr>
        <w:tc>
          <w:tcPr>
            <w:tcW w:type="dxa" w:w="31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Measurement layer</w:t>
            </w:r>
          </w:p>
        </w:tc>
        <w:tc>
          <w:tcPr>
            <w:tcW w:type="dxa" w:w="3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Verification volumes, false rejects, loss inside mandate</w:t>
            </w:r>
          </w:p>
        </w:tc>
        <w:tc>
          <w:tcPr>
            <w:tcW w:type="dxa" w:w="31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Uplift per lever against baseline</w:t>
            </w:r>
          </w:p>
        </w:tc>
      </w:tr>
      <w:tr>
        <w:trPr>
          <w:cantSplit w:val="false"/>
        </w:trPr>
        <w:tc>
          <w:tcPr>
            <w:tcW w:type="dxa" w:w="31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Tokenised deposits</w:t>
            </w:r>
          </w:p>
        </w:tc>
        <w:tc>
          <w:tcPr>
            <w:tcW w:type="dxa" w:w="3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24/7 settlement for execute-tier payments</w:t>
            </w:r>
          </w:p>
        </w:tc>
        <w:tc>
          <w:tcPr>
            <w:tcW w:type="dxa" w:w="31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24/7 sweeps</w:t>
            </w:r>
          </w:p>
        </w:tc>
      </w:tr>
    </w:tbl>
    <w:p>
      <w:pPr>
        <w:spacing w:after="80"/>
      </w:pPr>
    </w:p>
    <w:p>
      <w:pPr>
        <w:spacing w:after="120" w:line="276"/>
      </w:pPr>
      <w:r>
        <w:rPr>
          <w:rFonts w:ascii="Calibri" w:cs="Calibri" w:eastAsia="Calibri" w:hAnsi="Calibri"/>
          <w:b/>
          <w:bCs/>
          <w:sz w:val="21"/>
          <w:szCs w:val="21"/>
        </w:rPr>
        <w:t xml:space="preserve">Sequencing [SYN]:</w:t>
      </w:r>
      <w:r>
        <w:rPr>
          <w:rFonts w:ascii="Calibri" w:cs="Calibri" w:eastAsia="Calibri" w:hAnsi="Calibri"/>
          <w:sz w:val="21"/>
          <w:szCs w:val="21"/>
        </w:rPr>
        <w:t xml:space="preserve"> Idea B can start first because it needs no counterparty to agree to anything; its Observe tier can run in the first quarter of 2027 on existing data feeds. Idea A's read-only credentials can run in parallel in sandbox. The execute tiers of both land together in the fourth quarter, when the indemnity has a legal footing.</w:t>
      </w:r>
    </w:p>
    <w:p>
      <w:pPr>
        <w:pStyle w:val="Heading1"/>
        <w:keepNext/>
      </w:pPr>
      <w:r>
        <w:rPr>
          <w:rFonts w:ascii="Trebuchet MS" w:cs="Trebuchet MS" w:eastAsia="Trebuchet MS" w:hAnsi="Trebuchet MS"/>
        </w:rPr>
        <w:t xml:space="preserve">6  The bench: three ideas held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000"/>
        <w:gridCol w:w="1900"/>
        <w:gridCol w:w="1360"/>
      </w:tblGrid>
      <w:tr>
        <w:trPr>
          <w:cantSplit/>
          <w:tblHeader/>
        </w:trPr>
        <w:tc>
          <w:tcPr>
            <w:tcW w:type="dxa" w:w="15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Idea</w:t>
            </w:r>
          </w:p>
        </w:tc>
        <w:tc>
          <w:tcPr>
            <w:tcW w:type="dxa" w:w="26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What it is</w:t>
            </w:r>
          </w:p>
        </w:tc>
        <w:tc>
          <w:tcPr>
            <w:tcW w:type="dxa" w:w="20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Who it is for</w:t>
            </w:r>
          </w:p>
        </w:tc>
        <w:tc>
          <w:tcPr>
            <w:tcW w:type="dxa" w:w="19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Why it is on the bench</w:t>
            </w:r>
          </w:p>
        </w:tc>
        <w:tc>
          <w:tcPr>
            <w:tcW w:type="dxa" w:w="13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Trigger to revisit</w:t>
            </w:r>
          </w:p>
        </w:tc>
      </w:tr>
      <w:tr>
        <w:trPr>
          <w:cantSplit w:val="false"/>
        </w:trPr>
        <w:tc>
          <w:tcPr>
            <w:tcW w:type="dxa" w:w="1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4"/>
                <w:szCs w:val="14"/>
              </w:rPr>
              <w:t xml:space="preserve">Micro-liquidity for agents</w:t>
            </w:r>
          </w:p>
        </w:tc>
        <w:tc>
          <w:tcPr>
            <w:tcW w:type="dxa" w:w="26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Continuously priced intraday liquidity: options and committed settlement windows that an agent buys minutes before a payroll run or a settlement cut-off, settled on tokenised deposits. A market humans never bought because the transaction cost was too high relative to the value; agents can</w:t>
            </w:r>
          </w:p>
        </w:tc>
        <w:tc>
          <w:tcPr>
            <w:tcW w:type="dxa" w:w="20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Treasury-intensive large corporates: payment companies, insurers, marketplaces, utilities with settlement cycles; the upper middle market where intraday timing bites; cash-rich mega-caps rarely</w:t>
            </w:r>
          </w:p>
        </w:tc>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Needs execute-tier agents on both sides and a live tokenised-deposit market; pricing intraday liquidity to agents has no precedent to borrow</w:t>
            </w:r>
          </w:p>
        </w:tc>
        <w:tc>
          <w:tcPr>
            <w:tcW w:type="dxa" w:w="13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Execute-tier mandates live at scale; tokenised deposits used for routine settlement</w:t>
            </w:r>
          </w:p>
        </w:tc>
      </w:tr>
      <w:tr>
        <w:trPr>
          <w:cantSplit w:val="false"/>
        </w:trPr>
        <w:tc>
          <w:tcPr>
            <w:tcW w:type="dxa" w:w="15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4"/>
                <w:szCs w:val="14"/>
              </w:rPr>
              <w:t xml:space="preserve">Agent-to-agent terms clearing</w:t>
            </w:r>
          </w:p>
        </w:tc>
        <w:tc>
          <w:tcPr>
            <w:tcW w:type="dxa" w:w="26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Buyer-side and supplier-side agents of Wells clients negotiate early-payment terms continuously inside the Wells network; Wells funds and clears the gap and earns the spread. Supply-chain finance without the programme</w:t>
            </w:r>
          </w:p>
        </w:tc>
        <w:tc>
          <w:tcPr>
            <w:tcW w:type="dxa" w:w="20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Anchors at $500M–$5B (manufacturers, regional retailers, health systems) whose suppliers bank at Wells; small and middle-market suppliers on the receiving side; not mega-caps, which dictate terms and run their own programmes</w:t>
            </w:r>
          </w:p>
        </w:tc>
        <w:tc>
          <w:tcPr>
            <w:tcW w:type="dxa" w:w="19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Needs both sides on the network with execute-tier mandates and a pricing engine for term changes; competes with established dynamic-discounting marketplaces</w:t>
            </w:r>
          </w:p>
        </w:tc>
        <w:tc>
          <w:tcPr>
            <w:tcW w:type="dxa" w:w="13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Idea A credentials common enough that Wells-to-Wells pairs are a meaningful share of an anchor's payables</w:t>
            </w:r>
          </w:p>
        </w:tc>
      </w:tr>
      <w:tr>
        <w:trPr>
          <w:cantSplit w:val="false"/>
        </w:trPr>
        <w:tc>
          <w:tcPr>
            <w:tcW w:type="dxa" w:w="15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4"/>
                <w:szCs w:val="14"/>
              </w:rPr>
              <w:t xml:space="preserve">Finance operations as a service</w:t>
            </w:r>
          </w:p>
        </w:tc>
        <w:tc>
          <w:tcPr>
            <w:tcW w:type="dxa" w:w="26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Wells's agents run accounts payable, receivable and the close for clients without a controller, priced against headcount, replacing a bookkeeper or a BPO</w:t>
            </w:r>
          </w:p>
        </w:tc>
        <w:tc>
          <w:tcPr>
            <w:tcW w:type="dxa" w:w="20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Upper small business ($5M–$25M) and the emerging middle market ($25M–$250M); franchise groups; private-equity add-ons</w:t>
            </w:r>
          </w:p>
        </w:tc>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A step outside banking that competes with accounting firms and with Ramp and BILL; bank permissibility of the activity needs checking; the segment is partly outside Commercial Banking's remit</w:t>
            </w:r>
          </w:p>
        </w:tc>
        <w:tc>
          <w:tcPr>
            <w:tcW w:type="dxa" w:w="13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4"/>
                <w:szCs w:val="14"/>
              </w:rPr>
              <w:t xml:space="preserve">A permissibility answer and a partner (accounting firm or platform) willing to white-label</w:t>
            </w:r>
          </w:p>
        </w:tc>
      </w:tr>
    </w:tbl>
    <w:p>
      <w:pPr>
        <w:pStyle w:val="Heading1"/>
        <w:keepNext/>
      </w:pPr>
      <w:r>
        <w:rPr>
          <w:rFonts w:ascii="Trebuchet MS" w:cs="Trebuchet MS" w:eastAsia="Trebuchet MS" w:hAnsi="Trebuchet MS"/>
        </w:rPr>
        <w:t xml:space="preserve">7  Segment relevance across all five ideas</w:t>
      </w:r>
    </w:p>
    <w:p>
      <w:pPr>
        <w:spacing w:after="120" w:line="276"/>
      </w:pPr>
      <w:r>
        <w:rPr>
          <w:rFonts w:ascii="Calibri" w:cs="Calibri" w:eastAsia="Calibri" w:hAnsi="Calibri"/>
          <w:sz w:val="21"/>
          <w:szCs w:val="21"/>
        </w:rPr>
        <w:t xml:space="preserve">All ratings are relevance, not willingness to pay, and all are inference. [SYN]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1900"/>
        <w:gridCol w:w="1860"/>
      </w:tblGrid>
      <w:tr>
        <w:trPr>
          <w:cantSplit/>
          <w:tblHeader/>
        </w:trPr>
        <w:tc>
          <w:tcPr>
            <w:tcW w:type="dxa" w:w="17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Idea</w:t>
            </w:r>
          </w:p>
        </w:tc>
        <w:tc>
          <w:tcPr>
            <w:tcW w:type="dxa" w:w="19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Small business (&lt;$25M)</w:t>
            </w:r>
          </w:p>
        </w:tc>
        <w:tc>
          <w:tcPr>
            <w:tcW w:type="dxa" w:w="20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Emerging and core middle market ($25M–$2B)</w:t>
            </w:r>
          </w:p>
        </w:tc>
        <w:tc>
          <w:tcPr>
            <w:tcW w:type="dxa" w:w="19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Large corporate (&gt;$2B)</w:t>
            </w:r>
          </w:p>
        </w:tc>
        <w:tc>
          <w:tcPr>
            <w:tcW w:type="dxa" w:w="18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Mega-caps (Walmart-scale)</w:t>
            </w:r>
          </w:p>
        </w:tc>
      </w:tr>
      <w:tr>
        <w:trPr>
          <w:cantSplit w:val="false"/>
        </w:trPr>
        <w:tc>
          <w:tcPr>
            <w:tcW w:type="dxa" w:w="1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 Agent Trust Authority</w:t>
            </w:r>
          </w:p>
        </w:tc>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Weak as issued clients; their agents live in the platforms, which would hold the credential</w:t>
            </w:r>
          </w:p>
        </w:tc>
        <w:tc>
          <w:tcPr>
            <w:tcW w:type="dxa" w:w="20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Strong, on the issuance side; distributors, manufacturers, healthcare with many-to-many relationships</w:t>
            </w:r>
          </w:p>
        </w:tc>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Strong for multi-entity groups and cross-border; also verifiers</w:t>
            </w:r>
          </w:p>
        </w:tc>
        <w:tc>
          <w:tcPr>
            <w:tcW w:type="dxa" w:w="18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Yes, as verifier, not as issued party; self-insures; the natural first verification customer</w:t>
            </w:r>
          </w:p>
        </w:tc>
      </w:tr>
      <w:tr>
        <w:trPr>
          <w:cantSplit w:val="false"/>
        </w:trPr>
        <w:tc>
          <w:tcPr>
            <w:tcW w:type="dxa" w:w="1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B. Outcome-priced treasury</w:t>
            </w:r>
          </w:p>
        </w:tc>
        <w:tc>
          <w:tcPr>
            <w:tcW w:type="dxa" w:w="19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No; uplift too small to fund a contract; give the sweep away</w:t>
            </w:r>
          </w:p>
        </w:tc>
        <w:tc>
          <w:tcPr>
            <w:tcW w:type="dxa" w:w="20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Strong at $25M–$500M; partial above; manufacturing, distribution, healthcare services, CRE developers</w:t>
            </w:r>
          </w:p>
        </w:tc>
        <w:tc>
          <w:tcPr>
            <w:tcW w:type="dxa" w:w="19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Weak; pockets in FX netting, discount capture, weak subsidiaries</w:t>
            </w:r>
          </w:p>
        </w:tc>
        <w:tc>
          <w:tcPr>
            <w:tcW w:type="dxa" w:w="18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No; treasury as sophisticated as the bank's, partial flow visibility, no upside sharing</w:t>
            </w:r>
          </w:p>
        </w:tc>
      </w:tr>
      <w:tr>
        <w:trPr>
          <w:cantSplit w:val="false"/>
        </w:trPr>
        <w:tc>
          <w:tcPr>
            <w:tcW w:type="dxa" w:w="1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Micro-liquidity for agents</w:t>
            </w:r>
          </w:p>
        </w:tc>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No</w:t>
            </w:r>
          </w:p>
        </w:tc>
        <w:tc>
          <w:tcPr>
            <w:tcW w:type="dxa" w:w="20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Upper band only, where intraday timing bites</w:t>
            </w:r>
          </w:p>
        </w:tc>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Strong for payment companies, insurers, marketplaces, utilities</w:t>
            </w:r>
          </w:p>
        </w:tc>
        <w:tc>
          <w:tcPr>
            <w:tcW w:type="dxa" w:w="18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Possible as buyer of 24/7 settlement windows; rarely needs to buy liquidity</w:t>
            </w:r>
          </w:p>
        </w:tc>
      </w:tr>
      <w:tr>
        <w:trPr>
          <w:cantSplit w:val="false"/>
        </w:trPr>
        <w:tc>
          <w:tcPr>
            <w:tcW w:type="dxa" w:w="17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Agent-to-agent terms clearing</w:t>
            </w:r>
          </w:p>
        </w:tc>
        <w:tc>
          <w:tcPr>
            <w:tcW w:type="dxa" w:w="19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Yes, as the supplier side; the money comes from the anchor</w:t>
            </w:r>
          </w:p>
        </w:tc>
        <w:tc>
          <w:tcPr>
            <w:tcW w:type="dxa" w:w="20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Yes on both sides; best anchors at $500M–$5B</w:t>
            </w:r>
          </w:p>
        </w:tc>
        <w:tc>
          <w:tcPr>
            <w:tcW w:type="dxa" w:w="19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Strong as anchors if their suppliers are on the network</w:t>
            </w:r>
          </w:p>
        </w:tc>
        <w:tc>
          <w:tcPr>
            <w:tcW w:type="dxa" w:w="18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No; dictates terms and runs its own supplier finance</w:t>
            </w:r>
          </w:p>
        </w:tc>
      </w:tr>
      <w:tr>
        <w:trPr>
          <w:cantSplit w:val="false"/>
        </w:trPr>
        <w:tc>
          <w:tcPr>
            <w:tcW w:type="dxa" w:w="17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Finance operations as a service</w:t>
            </w:r>
          </w:p>
        </w:tc>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Strong for $5M–$25M without a controller</w:t>
            </w:r>
          </w:p>
        </w:tc>
        <w:tc>
          <w:tcPr>
            <w:tcW w:type="dxa" w:w="20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Strong for $25M–$250M; franchise groups</w:t>
            </w:r>
          </w:p>
        </w:tc>
        <w:tc>
          <w:tcPr>
            <w:tcW w:type="dxa" w:w="19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No</w:t>
            </w:r>
          </w:p>
        </w:tc>
        <w:tc>
          <w:tcPr>
            <w:tcW w:type="dxa" w:w="18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No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9A961" w:sz="36"/>
              <w:bottom w:val="none" w:color="FFFFFF" w:sz="0"/>
              <w:right w:val="none" w:color="FFFFFF" w:sz="0"/>
            </w:tcBorders>
            <w:shd w:fill="F7F3E8" w:color="auto" w:val="clear"/>
            <w:tcMar>
              <w:top w:type="dxa" w:w="120"/>
              <w:left w:type="dxa" w:w="220"/>
              <w:bottom w:type="dxa" w:w="100"/>
              <w:right w:type="dxa" w:w="200"/>
            </w:tcMar>
          </w:tcPr>
          <w:p>
            <w:pPr>
              <w:spacing w:after="60"/>
            </w:pPr>
            <w:r>
              <w:rPr>
                <w:rFonts w:ascii="Trebuchet MS" w:cs="Trebuchet MS" w:eastAsia="Trebuchet MS" w:hAnsi="Trebuchet MS"/>
                <w:b/>
                <w:bCs/>
                <w:color w:val="0F2D52"/>
                <w:sz w:val="21"/>
                <w:szCs w:val="21"/>
              </w:rPr>
              <w:t xml:space="preserve">Two sub-segments the bands hide</w:t>
            </w:r>
          </w:p>
          <w:p>
            <w:pPr>
              <w:spacing w:after="60" w:line="268"/>
            </w:pPr>
            <w:r>
              <w:rPr>
                <w:rFonts w:ascii="Calibri" w:cs="Calibri" w:eastAsia="Calibri" w:hAnsi="Calibri"/>
                <w:b/>
                <w:bCs/>
                <w:sz w:val="20"/>
                <w:szCs w:val="20"/>
              </w:rPr>
              <w:t xml:space="preserve">Private-equity portfolio companies.</w:t>
            </w:r>
            <w:r>
              <w:rPr>
                <w:rFonts w:ascii="Calibri" w:cs="Calibri" w:eastAsia="Calibri" w:hAnsi="Calibri"/>
                <w:sz w:val="20"/>
                <w:szCs w:val="20"/>
              </w:rPr>
              <w:t xml:space="preserve"> Sponsors buy working-capital improvement by the portfolio and pay on outcomes already. One gain-share contract across a sponsor's twenty mid-market companies is a sharper first market for Idea B than any single client.</w:t>
            </w:r>
          </w:p>
          <w:p>
            <w:pPr>
              <w:spacing w:after="60" w:line="268"/>
            </w:pPr>
            <w:r>
              <w:rPr>
                <w:rFonts w:ascii="Calibri" w:cs="Calibri" w:eastAsia="Calibri" w:hAnsi="Calibri"/>
                <w:b/>
                <w:bCs/>
                <w:sz w:val="20"/>
                <w:szCs w:val="20"/>
              </w:rPr>
              <w:t xml:space="preserve">The counterparty side of Idea A.</w:t>
            </w:r>
            <w:r>
              <w:rPr>
                <w:rFonts w:ascii="Calibri" w:cs="Calibri" w:eastAsia="Calibri" w:hAnsi="Calibri"/>
                <w:sz w:val="20"/>
                <w:szCs w:val="20"/>
              </w:rPr>
              <w:t xml:space="preserve"> The entities that pay per verification are the ones with the largest supplier bases: Walmart, Amazon, the big health systems, and AP networks such as BILL and AvidXchange. The mega-cap that will buy nothing else on this list is the natural first customer for verification.</w:t>
            </w:r>
          </w:p>
        </w:tc>
      </w:tr>
    </w:tbl>
    <w:p>
      <w:pPr>
        <w:spacing w:after="80"/>
      </w:pPr>
    </w:p>
    <w:p>
      <w:pPr>
        <w:spacing w:after="120" w:line="276"/>
      </w:pPr>
      <w:r>
        <w:rPr>
          <w:rFonts w:ascii="Calibri" w:cs="Calibri" w:eastAsia="Calibri" w:hAnsi="Calibri"/>
          <w:b/>
          <w:bCs/>
          <w:sz w:val="21"/>
          <w:szCs w:val="21"/>
        </w:rPr>
        <w:t xml:space="preserve">Summary [SYN]:</w:t>
      </w:r>
      <w:r>
        <w:rPr>
          <w:rFonts w:ascii="Calibri" w:cs="Calibri" w:eastAsia="Calibri" w:hAnsi="Calibri"/>
          <w:sz w:val="21"/>
          <w:szCs w:val="21"/>
        </w:rPr>
        <w:t xml:space="preserve"> most of the issuance, gain-share and operations revenue sits in the middle market. Large corporates and mega-caps matter as verifiers, anchors and buyers of liquidity rather than as subscribers.</w:t>
      </w:r>
    </w:p>
    <w:p>
      <w:pPr>
        <w:pStyle w:val="Heading1"/>
        <w:keepNext/>
      </w:pPr>
      <w:r>
        <w:rPr>
          <w:rFonts w:ascii="Trebuchet MS" w:cs="Trebuchet MS" w:eastAsia="Trebuchet MS" w:hAnsi="Trebuchet MS"/>
        </w:rPr>
        <w:t xml:space="preserve">8  Caveats and evidence quality</w:t>
      </w:r>
    </w:p>
    <w:p>
      <w:pPr>
        <w:pStyle w:val="Heading2"/>
        <w:keepNext/>
      </w:pPr>
      <w:r>
        <w:rPr>
          <w:rFonts w:ascii="Trebuchet MS" w:cs="Trebuchet MS" w:eastAsia="Trebuchet MS" w:hAnsi="Trebuchet MS"/>
        </w:rPr>
        <w:t xml:space="preserve">8.1 What this brief rests on</w:t>
      </w:r>
    </w:p>
    <w:p>
      <w:pPr>
        <w:pStyle w:val="ListParagraph"/>
        <w:numPr>
          <w:ilvl w:val="0"/>
          <w:numId w:val="4"/>
        </w:numPr>
        <w:spacing w:after="70" w:line="268"/>
      </w:pPr>
      <w:r>
        <w:rPr>
          <w:rFonts w:ascii="Calibri" w:cs="Calibri" w:eastAsia="Calibri" w:hAnsi="Calibri"/>
          <w:b/>
          <w:bCs/>
          <w:sz w:val="21"/>
          <w:szCs w:val="21"/>
        </w:rPr>
        <w:t xml:space="preserve">None of the five ideas has willingness-to-pay evidence, because none exists in the market.</w:t>
      </w:r>
      <w:r>
        <w:rPr>
          <w:rFonts w:ascii="Calibri" w:cs="Calibri" w:eastAsia="Calibri" w:hAnsi="Calibri"/>
          <w:sz w:val="21"/>
          <w:szCs w:val="21"/>
        </w:rPr>
        <w:t xml:space="preserve"> Every likelihood is inference from adjacent payments (reporting fees, API fees, fraud tools, dual custody) and from stated preferences in bank-, vendor- and consultancy-sponsored surveys whose revenue bands do not match the bank bands used here.</w:t>
      </w:r>
    </w:p>
    <w:p>
      <w:pPr>
        <w:pStyle w:val="ListParagraph"/>
        <w:numPr>
          <w:ilvl w:val="0"/>
          <w:numId w:val="4"/>
        </w:numPr>
        <w:spacing w:after="70" w:line="268"/>
      </w:pPr>
      <w:r>
        <w:rPr>
          <w:rFonts w:ascii="Calibri" w:cs="Calibri" w:eastAsia="Calibri" w:hAnsi="Calibri"/>
          <w:b/>
          <w:bCs/>
          <w:sz w:val="21"/>
          <w:szCs w:val="21"/>
        </w:rPr>
        <w:t xml:space="preserve">The "no bank found" statements are bounded by the research done.</w:t>
      </w:r>
      <w:r>
        <w:rPr>
          <w:rFonts w:ascii="Calibri" w:cs="Calibri" w:eastAsia="Calibri" w:hAnsi="Calibri"/>
          <w:sz w:val="21"/>
          <w:szCs w:val="21"/>
        </w:rPr>
        <w:t xml:space="preserve"> The 19 October research examined the large US banks, several regionals and HSBC, Danske, Nordea, DBS, NatWest, Lloyds and Barclays; BBVA, Santander, ING, BNP Paribas, Deutsche Bank, OCBC, UOB and Standard Chartered were not examined. The novelty checks for this brief were four searches and four page reads. A bank could be doing either idea quietly.</w:t>
      </w:r>
    </w:p>
    <w:p>
      <w:pPr>
        <w:pStyle w:val="ListParagraph"/>
        <w:numPr>
          <w:ilvl w:val="0"/>
          <w:numId w:val="4"/>
        </w:numPr>
        <w:spacing w:after="70" w:line="268"/>
      </w:pPr>
      <w:r>
        <w:rPr>
          <w:rFonts w:ascii="Calibri" w:cs="Calibri" w:eastAsia="Calibri" w:hAnsi="Calibri"/>
          <w:b/>
          <w:bCs/>
          <w:sz w:val="21"/>
          <w:szCs w:val="21"/>
        </w:rPr>
        <w:t xml:space="preserve">Deloitte's figures are Deloitte's estimates.</w:t>
      </w:r>
      <w:r>
        <w:rPr>
          <w:rFonts w:ascii="Calibri" w:cs="Calibri" w:eastAsia="Calibri" w:hAnsi="Calibri"/>
          <w:sz w:val="21"/>
          <w:szCs w:val="21"/>
        </w:rPr>
        <w:t xml:space="preserve"> The 25% and $66B numbers are forecasts of a category, not evidence that any product earns revenue today.</w:t>
      </w:r>
    </w:p>
    <w:p>
      <w:pPr>
        <w:pStyle w:val="ListParagraph"/>
        <w:numPr>
          <w:ilvl w:val="0"/>
          <w:numId w:val="4"/>
        </w:numPr>
        <w:spacing w:after="70" w:line="268"/>
      </w:pPr>
      <w:r>
        <w:rPr>
          <w:rFonts w:ascii="Calibri" w:cs="Calibri" w:eastAsia="Calibri" w:hAnsi="Calibri"/>
          <w:b/>
          <w:bCs/>
          <w:sz w:val="21"/>
          <w:szCs w:val="21"/>
        </w:rPr>
        <w:t xml:space="preserve">The illustrative mechanics in Section 4.3 are arithmetic on assumptions</w:t>
      </w:r>
      <w:r>
        <w:rPr>
          <w:rFonts w:ascii="Calibri" w:cs="Calibri" w:eastAsia="Calibri" w:hAnsi="Calibri"/>
          <w:sz w:val="21"/>
          <w:szCs w:val="21"/>
        </w:rPr>
        <w:t xml:space="preserve">, chosen to show how the levers and the float trade-off interact. They are not sizing.</w:t>
      </w:r>
    </w:p>
    <w:p>
      <w:pPr>
        <w:pStyle w:val="ListParagraph"/>
        <w:numPr>
          <w:ilvl w:val="0"/>
          <w:numId w:val="4"/>
        </w:numPr>
        <w:spacing w:after="70" w:line="268"/>
      </w:pPr>
      <w:r>
        <w:rPr>
          <w:rFonts w:ascii="Calibri" w:cs="Calibri" w:eastAsia="Calibri" w:hAnsi="Calibri"/>
          <w:b/>
          <w:bCs/>
          <w:sz w:val="21"/>
          <w:szCs w:val="21"/>
        </w:rPr>
        <w:t xml:space="preserve">Several Wells Fargo facts are from secondary sources</w:t>
      </w:r>
      <w:r>
        <w:rPr>
          <w:rFonts w:ascii="Calibri" w:cs="Calibri" w:eastAsia="Calibri" w:hAnsi="Calibri"/>
          <w:sz w:val="21"/>
          <w:szCs w:val="21"/>
        </w:rPr>
        <w:t xml:space="preserve"> (the Q3 2026 call via PYMNTS and AIM; the May 2026 American Banker piece; the Nasdaq summary of the September 2024 APIs). The fraud-defenses page was read directly and may not list every product.</w:t>
      </w:r>
    </w:p>
    <w:p>
      <w:pPr>
        <w:pStyle w:val="ListParagraph"/>
        <w:numPr>
          <w:ilvl w:val="0"/>
          <w:numId w:val="4"/>
        </w:numPr>
        <w:spacing w:after="70" w:line="268"/>
      </w:pPr>
      <w:r>
        <w:rPr>
          <w:rFonts w:ascii="Calibri" w:cs="Calibri" w:eastAsia="Calibri" w:hAnsi="Calibri"/>
          <w:b/>
          <w:bCs/>
          <w:sz w:val="21"/>
          <w:szCs w:val="21"/>
        </w:rPr>
        <w:t xml:space="preserve">Peer pricing is unpublished almost everywhere.</w:t>
      </w:r>
      <w:r>
        <w:rPr>
          <w:rFonts w:ascii="Calibri" w:cs="Calibri" w:eastAsia="Calibri" w:hAnsi="Calibri"/>
          <w:sz w:val="21"/>
          <w:szCs w:val="21"/>
        </w:rPr>
        <w:t xml:space="preserve"> "Free" and "bundled" come from bank marketing and press and can change; J.P. Morgan said in 2024 it might charge.</w:t>
      </w:r>
    </w:p>
    <w:p>
      <w:pPr>
        <w:pStyle w:val="Heading2"/>
        <w:keepNext/>
      </w:pPr>
      <w:r>
        <w:rPr>
          <w:rFonts w:ascii="Trebuchet MS" w:cs="Trebuchet MS" w:eastAsia="Trebuchet MS" w:hAnsi="Trebuchet MS"/>
        </w:rPr>
        <w:t xml:space="preserve">8.2 What could change the picture within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260"/>
      </w:tblGrid>
      <w:tr>
        <w:trPr>
          <w:cantSplit/>
          <w:tblHeader/>
        </w:trPr>
        <w:tc>
          <w:tcPr>
            <w:tcW w:type="dxa" w:w="23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Item</w:t>
            </w:r>
          </w:p>
        </w:tc>
        <w:tc>
          <w:tcPr>
            <w:tcW w:type="dxa" w:w="380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Status</w:t>
            </w:r>
          </w:p>
        </w:tc>
        <w:tc>
          <w:tcPr>
            <w:tcW w:type="dxa" w:w="3260"/>
            <w:tcBorders>
              <w:top w:val="single" w:color="C8CED8" w:sz="4"/>
              <w:left w:val="single" w:color="C8CED8" w:sz="4"/>
              <w:bottom w:val="single" w:color="C8CED8" w:sz="4"/>
              <w:right w:val="single" w:color="C8CED8" w:sz="4"/>
            </w:tcBorders>
            <w:shd w:fill="0F2D52" w:color="auto" w:val="clear"/>
            <w:tcMar>
              <w:top w:type="dxa" w:w="70"/>
              <w:left w:type="dxa" w:w="110"/>
              <w:bottom w:type="dxa" w:w="70"/>
              <w:right w:type="dxa" w:w="110"/>
            </w:tcMar>
            <w:vAlign w:val="top"/>
          </w:tcPr>
          <w:p>
            <w:pPr>
              <w:spacing w:after="50" w:line="250"/>
            </w:pPr>
            <w:r>
              <w:rPr>
                <w:rFonts w:ascii="Calibri" w:cs="Calibri" w:eastAsia="Calibri" w:hAnsi="Calibri"/>
                <w:b/>
                <w:bCs/>
                <w:color w:val="FFFFFF"/>
                <w:sz w:val="18"/>
                <w:szCs w:val="18"/>
              </w:rPr>
              <w:t xml:space="preserve">Effect on the ideas</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CFPB Section 1033 reconsideration</w:t>
            </w:r>
          </w:p>
        </w:tc>
        <w:tc>
          <w:tcPr>
            <w:tcW w:type="dxa" w:w="3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Finalised Oct 2024; enjoined since late 2025; reconsideration proposal sent to OIRA 6 Aug 2026 and not published by mid-August; press reports it may drop the fee ban; never covered business accounts</w:t>
            </w:r>
          </w:p>
        </w:tc>
        <w:tc>
          <w:tcPr>
            <w:tcW w:type="dxa" w:w="32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Mostly indirect; a settled consent regime for consumer data would shape how business-account consent is drafted</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SR 26-2 / OCC 2026-13 and the promised RFI</w:t>
            </w:r>
          </w:p>
        </w:tc>
        <w:tc>
          <w:tcPr>
            <w:tcW w:type="dxa" w:w="3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Generative and agentic AI out of scope; RFI not yet published (prior research, not re-verified)</w:t>
            </w:r>
          </w:p>
        </w:tc>
        <w:tc>
          <w:tcPr>
            <w:tcW w:type="dxa" w:w="32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Supervisory view of execute-tier mandates and indemnity</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AP2 under FIDO; Mastercard Verifiable Intent; Visa Intelligent Commerce</w:t>
            </w:r>
          </w:p>
        </w:tc>
        <w:tc>
          <w:tcPr>
            <w:tcW w:type="dxa" w:w="3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Moving specifications; consumer-first</w:t>
            </w:r>
          </w:p>
        </w:tc>
        <w:tc>
          <w:tcPr>
            <w:tcW w:type="dxa" w:w="32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Whether a corporate authority credential is claimed by a network</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SWIFT CBPR+ structured addresses</w:t>
            </w:r>
          </w:p>
        </w:tc>
        <w:tc>
          <w:tcPr>
            <w:tcW w:type="dxa" w:w="3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Mandatory November 2026</w:t>
            </w:r>
          </w:p>
        </w:tc>
        <w:tc>
          <w:tcPr>
            <w:tcW w:type="dxa" w:w="32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ISO 20022 field discipline that credential embedding would ride on</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Bank of America rollouts</w:t>
            </w:r>
          </w:p>
        </w:tc>
        <w:tc>
          <w:tcPr>
            <w:tcW w:type="dxa" w:w="3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Capital Markets Insights online from October 2026; Security Insights global in 2027</w:t>
            </w:r>
          </w:p>
        </w:tc>
        <w:tc>
          <w:tcPr>
            <w:tcW w:type="dxa" w:w="32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Peers keep bundling; a priced module from BofA would be a signal either way</w:t>
            </w:r>
          </w:p>
        </w:tc>
      </w:tr>
      <w:tr>
        <w:trPr>
          <w:cantSplit w:val="false"/>
        </w:trPr>
        <w:tc>
          <w:tcPr>
            <w:tcW w:type="dxa" w:w="23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Nordea "Få koll" fee start</w:t>
            </w:r>
          </w:p>
        </w:tc>
        <w:tc>
          <w:tcPr>
            <w:tcW w:type="dxa" w:w="380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Free until 31 Dec 2026, then SEK 600 a year</w:t>
            </w:r>
          </w:p>
        </w:tc>
        <w:tc>
          <w:tcPr>
            <w:tcW w:type="dxa" w:w="3260"/>
            <w:tcBorders>
              <w:top w:val="single" w:color="C8CED8" w:sz="4"/>
              <w:left w:val="single" w:color="C8CED8" w:sz="4"/>
              <w:bottom w:val="single" w:color="C8CED8" w:sz="4"/>
              <w:right w:val="single" w:color="C8CED8" w:sz="4"/>
            </w:tcBorders>
            <w:shd w:fill="EEF2F7"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The first observed SME insight fee, and its 2027 retention</w:t>
            </w:r>
          </w:p>
        </w:tc>
      </w:tr>
      <w:tr>
        <w:trPr>
          <w:cantSplit w:val="false"/>
        </w:trPr>
        <w:tc>
          <w:tcPr>
            <w:tcW w:type="dxa" w:w="23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bCs/>
                <w:sz w:val="15"/>
                <w:szCs w:val="15"/>
              </w:rPr>
              <w:t xml:space="preserve">EU AI Act Annex III</w:t>
            </w:r>
          </w:p>
        </w:tc>
        <w:tc>
          <w:tcPr>
            <w:tcW w:type="dxa" w:w="380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Delayed to 2 Dec 2027 under the Digital Omnibus</w:t>
            </w:r>
          </w:p>
        </w:tc>
        <w:tc>
          <w:tcPr>
            <w:tcW w:type="dxa" w:w="3260"/>
            <w:tcBorders>
              <w:top w:val="single" w:color="C8CED8" w:sz="4"/>
              <w:left w:val="single" w:color="C8CED8" w:sz="4"/>
              <w:bottom w:val="single" w:color="C8CED8" w:sz="4"/>
              <w:right w:val="single" w:color="C8CED8" w:sz="4"/>
            </w:tcBorders>
            <w:shd w:fill="FFFFFF" w:color="auto" w:val="clear"/>
            <w:tcMar>
              <w:top w:type="dxa" w:w="70"/>
              <w:left w:type="dxa" w:w="110"/>
              <w:bottom w:type="dxa" w:w="70"/>
              <w:right w:type="dxa" w:w="110"/>
            </w:tcMar>
            <w:vAlign w:val="top"/>
          </w:tcPr>
          <w:p>
            <w:pPr>
              <w:spacing w:after="50" w:line="250"/>
            </w:pPr>
            <w:r>
              <w:rPr>
                <w:rFonts w:ascii="Calibri" w:cs="Calibri" w:eastAsia="Calibri" w:hAnsi="Calibri"/>
                <w:b w:val="false"/>
                <w:bCs w:val="false"/>
                <w:sz w:val="15"/>
                <w:szCs w:val="15"/>
              </w:rPr>
              <w:t xml:space="preserve">EU-facing deployments only</w:t>
            </w:r>
          </w:p>
        </w:tc>
      </w:tr>
    </w:tbl>
    <w:p>
      <w:pPr>
        <w:pStyle w:val="Heading1"/>
        <w:keepNext/>
      </w:pPr>
      <w:r>
        <w:rPr>
          <w:rFonts w:ascii="Trebuchet MS" w:cs="Trebuchet MS" w:eastAsia="Trebuchet MS" w:hAnsi="Trebuchet MS"/>
        </w:rPr>
        <w:t xml:space="preserve">Appendix A  Source register</w:t>
      </w:r>
    </w:p>
    <w:p>
      <w:pPr>
        <w:spacing w:after="120" w:line="276"/>
      </w:pPr>
      <w:r>
        <w:rPr>
          <w:rFonts w:ascii="Calibri" w:cs="Calibri" w:eastAsia="Calibri" w:hAnsi="Calibri"/>
          <w:sz w:val="21"/>
          <w:szCs w:val="21"/>
        </w:rPr>
        <w:t xml:space="preserve">Sources used in this brief, with the date each was published or accessed. Items marked (secondary) were read through trade press or a third-party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100"/>
        <w:gridCol w:w="3260"/>
      </w:tblGrid>
      <w:tr>
        <w:trPr>
          <w:cantSplit/>
          <w:tblHeader/>
        </w:trPr>
        <w:tc>
          <w:tcPr>
            <w:tcW w:type="dxa" w:w="2800"/>
            <w:tcBorders>
              <w:top w:val="single" w:color="C8CED8" w:sz="4"/>
              <w:left w:val="single" w:color="C8CED8" w:sz="4"/>
              <w:bottom w:val="single" w:color="C8CED8" w:sz="4"/>
              <w:right w:val="single" w:color="C8CED8" w:sz="4"/>
            </w:tcBorders>
            <w:shd w:fill="0F2D52" w:color="auto" w:val="clear"/>
            <w:tcMar>
              <w:top w:type="dxa" w:w="40"/>
              <w:left w:type="dxa" w:w="110"/>
              <w:bottom w:type="dxa" w:w="40"/>
              <w:right w:type="dxa" w:w="110"/>
            </w:tcMar>
            <w:vAlign w:val="top"/>
          </w:tcPr>
          <w:p>
            <w:pPr>
              <w:spacing w:after="50" w:line="250"/>
            </w:pPr>
            <w:r>
              <w:rPr>
                <w:rFonts w:ascii="Calibri" w:cs="Calibri" w:eastAsia="Calibri" w:hAnsi="Calibri"/>
                <w:b/>
                <w:bCs/>
                <w:color w:val="FFFFFF"/>
                <w:sz w:val="18"/>
                <w:szCs w:val="18"/>
              </w:rPr>
              <w:t xml:space="preserve">Source</w:t>
            </w:r>
          </w:p>
        </w:tc>
        <w:tc>
          <w:tcPr>
            <w:tcW w:type="dxa" w:w="2200"/>
            <w:tcBorders>
              <w:top w:val="single" w:color="C8CED8" w:sz="4"/>
              <w:left w:val="single" w:color="C8CED8" w:sz="4"/>
              <w:bottom w:val="single" w:color="C8CED8" w:sz="4"/>
              <w:right w:val="single" w:color="C8CED8" w:sz="4"/>
            </w:tcBorders>
            <w:shd w:fill="0F2D52" w:color="auto" w:val="clear"/>
            <w:tcMar>
              <w:top w:type="dxa" w:w="40"/>
              <w:left w:type="dxa" w:w="110"/>
              <w:bottom w:type="dxa" w:w="40"/>
              <w:right w:type="dxa" w:w="110"/>
            </w:tcMar>
            <w:vAlign w:val="top"/>
          </w:tcPr>
          <w:p>
            <w:pPr>
              <w:spacing w:after="50" w:line="250"/>
            </w:pPr>
            <w:r>
              <w:rPr>
                <w:rFonts w:ascii="Calibri" w:cs="Calibri" w:eastAsia="Calibri" w:hAnsi="Calibri"/>
                <w:b/>
                <w:bCs/>
                <w:color w:val="FFFFFF"/>
                <w:sz w:val="18"/>
                <w:szCs w:val="18"/>
              </w:rPr>
              <w:t xml:space="preserve">Used for</w:t>
            </w:r>
          </w:p>
        </w:tc>
        <w:tc>
          <w:tcPr>
            <w:tcW w:type="dxa" w:w="1100"/>
            <w:tcBorders>
              <w:top w:val="single" w:color="C8CED8" w:sz="4"/>
              <w:left w:val="single" w:color="C8CED8" w:sz="4"/>
              <w:bottom w:val="single" w:color="C8CED8" w:sz="4"/>
              <w:right w:val="single" w:color="C8CED8" w:sz="4"/>
            </w:tcBorders>
            <w:shd w:fill="0F2D52" w:color="auto" w:val="clear"/>
            <w:tcMar>
              <w:top w:type="dxa" w:w="40"/>
              <w:left w:type="dxa" w:w="110"/>
              <w:bottom w:type="dxa" w:w="40"/>
              <w:right w:type="dxa" w:w="110"/>
            </w:tcMar>
            <w:vAlign w:val="top"/>
          </w:tcPr>
          <w:p>
            <w:pPr>
              <w:spacing w:after="50" w:line="250"/>
            </w:pPr>
            <w:r>
              <w:rPr>
                <w:rFonts w:ascii="Calibri" w:cs="Calibri" w:eastAsia="Calibri" w:hAnsi="Calibri"/>
                <w:b/>
                <w:bCs/>
                <w:color w:val="FFFFFF"/>
                <w:sz w:val="18"/>
                <w:szCs w:val="18"/>
              </w:rPr>
              <w:t xml:space="preserve">Date</w:t>
            </w:r>
          </w:p>
        </w:tc>
        <w:tc>
          <w:tcPr>
            <w:tcW w:type="dxa" w:w="3260"/>
            <w:tcBorders>
              <w:top w:val="single" w:color="C8CED8" w:sz="4"/>
              <w:left w:val="single" w:color="C8CED8" w:sz="4"/>
              <w:bottom w:val="single" w:color="C8CED8" w:sz="4"/>
              <w:right w:val="single" w:color="C8CED8" w:sz="4"/>
            </w:tcBorders>
            <w:shd w:fill="0F2D52" w:color="auto" w:val="clear"/>
            <w:tcMar>
              <w:top w:type="dxa" w:w="40"/>
              <w:left w:type="dxa" w:w="110"/>
              <w:bottom w:type="dxa" w:w="40"/>
              <w:right w:type="dxa" w:w="110"/>
            </w:tcMar>
            <w:vAlign w:val="top"/>
          </w:tcPr>
          <w:p>
            <w:pPr>
              <w:spacing w:after="50" w:line="250"/>
            </w:pPr>
            <w:r>
              <w:rPr>
                <w:rFonts w:ascii="Calibri" w:cs="Calibri" w:eastAsia="Calibri" w:hAnsi="Calibri"/>
                <w:b/>
                <w:bCs/>
                <w:color w:val="FFFFFF"/>
                <w:sz w:val="18"/>
                <w:szCs w:val="18"/>
              </w:rPr>
              <w:t xml:space="preserve">URL</w:t>
            </w:r>
          </w:p>
        </w:tc>
      </w:tr>
      <w:tr>
        <w:trPr>
          <w:cantSplit/>
        </w:trPr>
        <w:tc>
          <w:tcPr>
            <w:tcW w:type="dxa" w:w="28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GLEIF blog, Alexandre Kech: "When AI agents transact, who stands behind them?"</w:t>
            </w:r>
          </w:p>
        </w:tc>
        <w:tc>
          <w:tcPr>
            <w:tcW w:type="dxa" w:w="22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Agent authority model; vLEI; no bank named</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1 Sep 2026</w:t>
            </w:r>
          </w:p>
        </w:tc>
        <w:tc>
          <w:tcPr>
            <w:tcW w:type="dxa" w:w="32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https://www.gleif.org/en/newsroom/blog/when-ai-agents-transact-who-stands-behind-them-why-verifiable-organizational-identity-is-critical-to-agentic-payments</w:t>
            </w:r>
          </w:p>
        </w:tc>
      </w:tr>
      <w:tr>
        <w:trPr>
          <w:cantSplit/>
        </w:trPr>
        <w:tc>
          <w:tcPr>
            <w:tcW w:type="dxa" w:w="28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Deloitte Insights: AI-native products in institutional banking (2026 predictions)</w:t>
            </w:r>
          </w:p>
        </w:tc>
        <w:tc>
          <w:tcPr>
            <w:tcW w:type="dxa" w:w="22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Outcome-based pricing; 25% and $66B estimates</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2026</w:t>
            </w:r>
          </w:p>
        </w:tc>
        <w:tc>
          <w:tcPr>
            <w:tcW w:type="dxa" w:w="32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https://www.deloitte.com/us/en/insights/industry/financial-services/financial-services-industry-predictions/2026/ai-native-products-institutional-banking.html</w:t>
            </w:r>
          </w:p>
        </w:tc>
      </w:tr>
      <w:tr>
        <w:trPr>
          <w:cantSplit/>
        </w:trPr>
        <w:tc>
          <w:tcPr>
            <w:tcW w:type="dxa" w:w="28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Dock: the missing identity layer for AI agents</w:t>
            </w:r>
          </w:p>
        </w:tc>
        <w:tc>
          <w:tcPr>
            <w:tcW w:type="dxa" w:w="22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Identity-vendor landscape</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2026</w:t>
            </w:r>
          </w:p>
        </w:tc>
        <w:tc>
          <w:tcPr>
            <w:tcW w:type="dxa" w:w="32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https://www.dock.io/post/the-missing-identity-layer-for-ai-agents-and-why-oauth-and-kya-arent-enough</w:t>
            </w:r>
          </w:p>
        </w:tc>
      </w:tr>
      <w:tr>
        <w:trPr>
          <w:cantSplit/>
        </w:trPr>
        <w:tc>
          <w:tcPr>
            <w:tcW w:type="dxa" w:w="28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Nuggets: Know Your Agent; Proof: five levels of verified identity; Autheo KYA docs</w:t>
            </w:r>
          </w:p>
        </w:tc>
        <w:tc>
          <w:tcPr>
            <w:tcW w:type="dxa" w:w="22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Identity-vendor landscape</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2026</w:t>
            </w:r>
          </w:p>
        </w:tc>
        <w:tc>
          <w:tcPr>
            <w:tcW w:type="dxa" w:w="32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https://nuggets.life/docs/solutions/know-your-agent</w:t>
            </w:r>
          </w:p>
        </w:tc>
      </w:tr>
      <w:tr>
        <w:trPr>
          <w:cantSplit/>
        </w:trPr>
        <w:tc>
          <w:tcPr>
            <w:tcW w:type="dxa" w:w="28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Wells Fargo: Fraud Defenses (commercial)</w:t>
            </w:r>
          </w:p>
        </w:tc>
        <w:tc>
          <w:tcPr>
            <w:tcW w:type="dxa" w:w="22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Fraud Manager components; no AI or validation listed; no pricing</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accessed 19 Oct 2026</w:t>
            </w:r>
          </w:p>
        </w:tc>
        <w:tc>
          <w:tcPr>
            <w:tcW w:type="dxa" w:w="32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https://wellsfargo.com/com/fraud/fraud-defenses</w:t>
            </w:r>
          </w:p>
        </w:tc>
      </w:tr>
      <w:tr>
        <w:trPr>
          <w:cantSplit/>
        </w:trPr>
        <w:tc>
          <w:tcPr>
            <w:tcW w:type="dxa" w:w="28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Nasdaq: Wells Fargo introduces new APIs for Commercial Banking clients (secondary)</w:t>
            </w:r>
          </w:p>
        </w:tc>
        <w:tc>
          <w:tcPr>
            <w:tcW w:type="dxa" w:w="22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Commercial Banking APIs</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18 Sep 2024</w:t>
            </w:r>
          </w:p>
        </w:tc>
        <w:tc>
          <w:tcPr>
            <w:tcW w:type="dxa" w:w="32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https://www.nasdaq.com/articles/wells-fargo-introduces-new-apis-commercial-banking-clients</w:t>
            </w:r>
          </w:p>
        </w:tc>
      </w:tr>
      <w:tr>
        <w:trPr>
          <w:cantSplit/>
        </w:trPr>
        <w:tc>
          <w:tcPr>
            <w:tcW w:type="dxa" w:w="28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PYMNTS and AIM Media House: Wells Fargo Q3 2026 call (secondary)</w:t>
            </w:r>
          </w:p>
        </w:tc>
        <w:tc>
          <w:tcPr>
            <w:tcW w:type="dxa" w:w="22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Tokenised deposits; CEO statement on agents</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13–14 Oct 2026</w:t>
            </w:r>
          </w:p>
        </w:tc>
        <w:tc>
          <w:tcPr>
            <w:tcW w:type="dxa" w:w="32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https://www.pymnts.com/earnings/2026/wells-fargo-enhances-banking-capabilities-using-ai-and-digital-assets/</w:t>
            </w:r>
          </w:p>
        </w:tc>
      </w:tr>
      <w:tr>
        <w:trPr>
          <w:cantSplit/>
        </w:trPr>
        <w:tc>
          <w:tcPr>
            <w:tcW w:type="dxa" w:w="28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American Banker: how Wells Fargo deploys AI in payments (secondary)</w:t>
            </w:r>
          </w:p>
        </w:tc>
        <w:tc>
          <w:tcPr>
            <w:tcW w:type="dxa" w:w="22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335 experiments, 26 live</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May 2026</w:t>
            </w:r>
          </w:p>
        </w:tc>
        <w:tc>
          <w:tcPr>
            <w:tcW w:type="dxa" w:w="32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https://www.americanbanker.com/payments/news/how-wells-fargo-deploys-ai-in-payments</w:t>
            </w:r>
          </w:p>
        </w:tc>
      </w:tr>
      <w:tr>
        <w:trPr>
          <w:cantSplit/>
        </w:trPr>
        <w:tc>
          <w:tcPr>
            <w:tcW w:type="dxa" w:w="28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Finovate: Wells Fargo launches Vantage</w:t>
            </w:r>
          </w:p>
        </w:tc>
        <w:tc>
          <w:tcPr>
            <w:tcW w:type="dxa" w:w="22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Vantage baseline</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6 Dec 2022</w:t>
            </w:r>
          </w:p>
        </w:tc>
        <w:tc>
          <w:tcPr>
            <w:tcW w:type="dxa" w:w="32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https://finovate.com/wells-fargo-launches-new-digital-banking-platform-vantage-for-commercial-and-corporate-clients/</w:t>
            </w:r>
          </w:p>
        </w:tc>
      </w:tr>
      <w:tr>
        <w:trPr>
          <w:cantSplit/>
        </w:trPr>
        <w:tc>
          <w:tcPr>
            <w:tcW w:type="dxa" w:w="28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Trovata pricing page</w:t>
            </w:r>
          </w:p>
        </w:tc>
        <w:tc>
          <w:tcPr>
            <w:tcW w:type="dxa" w:w="22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Fintech list price</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accessed Oct 2026</w:t>
            </w:r>
          </w:p>
        </w:tc>
        <w:tc>
          <w:tcPr>
            <w:tcW w:type="dxa" w:w="32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https://trovata.io/pricing</w:t>
            </w:r>
          </w:p>
        </w:tc>
      </w:tr>
      <w:tr>
        <w:trPr>
          <w:cantSplit/>
        </w:trPr>
        <w:tc>
          <w:tcPr>
            <w:tcW w:type="dxa" w:w="28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PaymentsJournal: Citi unveils Payment Outlier Detection</w:t>
            </w:r>
          </w:p>
        </w:tc>
        <w:tc>
          <w:tcPr>
            <w:tcW w:type="dxa" w:w="22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Peer AI fraud product; no price</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27 Jun 2019</w:t>
            </w:r>
          </w:p>
        </w:tc>
        <w:tc>
          <w:tcPr>
            <w:tcW w:type="dxa" w:w="32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https://www.paymentsjournal.com/citi-unveils-new-solution-for-detecting-outlier-payments/</w:t>
            </w:r>
          </w:p>
        </w:tc>
      </w:tr>
      <w:tr>
        <w:trPr>
          <w:cantSplit/>
        </w:trPr>
        <w:tc>
          <w:tcPr>
            <w:tcW w:type="dxa" w:w="28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J.P. Morgan Payments: fraud solutions</w:t>
            </w:r>
          </w:p>
        </w:tc>
        <w:tc>
          <w:tcPr>
            <w:tcW w:type="dxa" w:w="22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Account Confidence Score; no price</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accessed 19 Oct 2026</w:t>
            </w:r>
          </w:p>
        </w:tc>
        <w:tc>
          <w:tcPr>
            <w:tcW w:type="dxa" w:w="32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https://www.jpmorgan.com/payments/fraud-solutions</w:t>
            </w:r>
          </w:p>
        </w:tc>
      </w:tr>
      <w:tr>
        <w:trPr>
          <w:cantSplit/>
        </w:trPr>
        <w:tc>
          <w:tcPr>
            <w:tcW w:type="dxa" w:w="28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CTMfile (Bloomberg via): AI-driven cashflow tool; J.P. Morgan Treasury Insights page; Amtrak case</w:t>
            </w:r>
          </w:p>
        </w:tc>
        <w:tc>
          <w:tcPr>
            <w:tcW w:type="dxa" w:w="22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Cash Flow Intelligence free, "considering charging"; Amtrak idle funds</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Mar 2024; 2025–2026</w:t>
            </w:r>
          </w:p>
        </w:tc>
        <w:tc>
          <w:tcPr>
            <w:tcW w:type="dxa" w:w="32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https://ctmfile.com/story/ai-driven-cashflow-tool-helps-corporate-clients-cut-manual-work-by-90</w:t>
            </w:r>
          </w:p>
        </w:tc>
      </w:tr>
      <w:tr>
        <w:trPr>
          <w:cantSplit/>
        </w:trPr>
        <w:tc>
          <w:tcPr>
            <w:tcW w:type="dxa" w:w="28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Bank of America newsroom: Payments Insights; CashPro Forecasting year of volatility</w:t>
            </w:r>
          </w:p>
        </w:tc>
        <w:tc>
          <w:tcPr>
            <w:tcW w:type="dxa" w:w="22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Bundled forecasting; 3,000+ companies; Payments Insights unpriced</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28 Sep 2026; Dec 2025</w:t>
            </w:r>
          </w:p>
        </w:tc>
        <w:tc>
          <w:tcPr>
            <w:tcW w:type="dxa" w:w="32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https://newsroom.bankofamerica.com/content/newsroom/press-releases/2026/09/bank-of-america-launches-payments-insights-for-cashpro--clients.html</w:t>
            </w:r>
          </w:p>
        </w:tc>
      </w:tr>
      <w:tr>
        <w:trPr>
          <w:cantSplit/>
        </w:trPr>
        <w:tc>
          <w:tcPr>
            <w:tcW w:type="dxa" w:w="28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Chase newsroom: Chase expands digital hub (Customer Insights to small-business cards)</w:t>
            </w:r>
          </w:p>
        </w:tc>
        <w:tc>
          <w:tcPr>
            <w:tcW w:type="dxa" w:w="22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Free benchmarking to about 5M businesses</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9 Jun 2026</w:t>
            </w:r>
          </w:p>
        </w:tc>
        <w:tc>
          <w:tcPr>
            <w:tcW w:type="dxa" w:w="32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https://media.chase.com/news/chase-expands-digital-hub</w:t>
            </w:r>
          </w:p>
        </w:tc>
      </w:tr>
      <w:tr>
        <w:trPr>
          <w:cantSplit/>
        </w:trPr>
        <w:tc>
          <w:tcPr>
            <w:tcW w:type="dxa" w:w="28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Nordea: Så använder du Nordea Business; business price list</w:t>
            </w:r>
          </w:p>
        </w:tc>
        <w:tc>
          <w:tcPr>
            <w:tcW w:type="dxa" w:w="22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SEK 600 a year after 31 Dec 2026</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accessed Oct 2026</w:t>
            </w:r>
          </w:p>
        </w:tc>
        <w:tc>
          <w:tcPr>
            <w:tcW w:type="dxa" w:w="32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https://www.nordea.se/foretag/produkter/mobilbank-internetbank/sa-anvander-du-nordea-business.html</w:t>
            </w:r>
          </w:p>
        </w:tc>
      </w:tr>
      <w:tr>
        <w:trPr>
          <w:cantSplit/>
        </w:trPr>
        <w:tc>
          <w:tcPr>
            <w:tcW w:type="dxa" w:w="28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Capgemini World Payments Report 2027 press release; World Corporate and Investment Banking Report 2026</w:t>
            </w:r>
          </w:p>
        </w:tc>
        <w:tc>
          <w:tcPr>
            <w:tcW w:type="dxa" w:w="22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71% bank preference; 23% fully met needs; 11 bank relationships</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24 Sep 2026; 16 Mar 2026</w:t>
            </w:r>
          </w:p>
        </w:tc>
        <w:tc>
          <w:tcPr>
            <w:tcW w:type="dxa" w:w="32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https://www.capgemini.com/us-en/news/press-releases/banks-risk-losing-230-billion-in-payments-revenue-as-stablecoins-and-tokenized-deposits-go-mainstream/</w:t>
            </w:r>
          </w:p>
        </w:tc>
      </w:tr>
      <w:tr>
        <w:trPr>
          <w:cantSplit/>
        </w:trPr>
        <w:tc>
          <w:tcPr>
            <w:tcW w:type="dxa" w:w="28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U.S. Bank CFO Insights, Fall 2026</w:t>
            </w:r>
          </w:p>
        </w:tc>
        <w:tc>
          <w:tcPr>
            <w:tcW w:type="dxa" w:w="22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51% over AI budget; priorities</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Oct 2026</w:t>
            </w:r>
          </w:p>
        </w:tc>
        <w:tc>
          <w:tcPr>
            <w:tcW w:type="dxa" w:w="32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https://www.usbank.com/corporate-and-commercial-banking/cfo-insights.html</w:t>
            </w:r>
          </w:p>
        </w:tc>
      </w:tr>
      <w:tr>
        <w:trPr>
          <w:cantSplit/>
        </w:trPr>
        <w:tc>
          <w:tcPr>
            <w:tcW w:type="dxa" w:w="28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Datos Insights small-business report via Jack Henry</w:t>
            </w:r>
          </w:p>
        </w:tc>
        <w:tc>
          <w:tcPr>
            <w:tcW w:type="dxa" w:w="22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77% few products worth paying for</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Q1 2025</w:t>
            </w:r>
          </w:p>
        </w:tc>
        <w:tc>
          <w:tcPr>
            <w:tcW w:type="dxa" w:w="32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https://www.jackhenry.com/hubfs/resources/reports/jh-report-datos-matrix.pdf</w:t>
            </w:r>
          </w:p>
        </w:tc>
      </w:tr>
      <w:tr>
        <w:trPr>
          <w:cantSplit/>
        </w:trPr>
        <w:tc>
          <w:tcPr>
            <w:tcW w:type="dxa" w:w="28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Truist account analysis guide; Axos fee schedule; Banner Bank treasury fees</w:t>
            </w:r>
          </w:p>
        </w:tc>
        <w:tc>
          <w:tcPr>
            <w:tcW w:type="dxa" w:w="22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Observed pricing of reporting and APIs</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2026</w:t>
            </w:r>
          </w:p>
        </w:tc>
        <w:tc>
          <w:tcPr>
            <w:tcW w:type="dxa" w:w="32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https://www.axos.com/documents/analyzed-commercial-banking-and-treasury-management-fee-schedule</w:t>
            </w:r>
          </w:p>
        </w:tc>
      </w:tr>
      <w:tr>
        <w:trPr>
          <w:cantSplit/>
        </w:trPr>
        <w:tc>
          <w:tcPr>
            <w:tcW w:type="dxa" w:w="28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Treasury Today: HSBC launches HSBCnio; Danske Bank developer portal MCP Service; The Paypers on Danske pilot</w:t>
            </w:r>
          </w:p>
        </w:tc>
        <w:tc>
          <w:tcPr>
            <w:tcW w:type="dxa" w:w="22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Query-only bank agent endpoints, unpriced</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29 Sep 2026; Sep 2026</w:t>
            </w:r>
          </w:p>
        </w:tc>
        <w:tc>
          <w:tcPr>
            <w:tcW w:type="dxa" w:w="32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https://developers.danskebank.com/premium-apis/mcp-service</w:t>
            </w:r>
          </w:p>
        </w:tc>
      </w:tr>
      <w:tr>
        <w:trPr>
          <w:cantSplit/>
        </w:trPr>
        <w:tc>
          <w:tcPr>
            <w:tcW w:type="dxa" w:w="28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MarketBeat: BNY Q2 2026 earnings call highlights; S&amp;P Global on European banks' AI (body unavailable)</w:t>
            </w:r>
          </w:p>
        </w:tc>
        <w:tc>
          <w:tcPr>
            <w:tcW w:type="dxa" w:w="22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No AI product revenue disclosed</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15 Jul 2026; Feb 2026</w:t>
            </w:r>
          </w:p>
        </w:tc>
        <w:tc>
          <w:tcPr>
            <w:tcW w:type="dxa" w:w="32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https://www.marketbeat.com/instant-alerts/bank-of-new-york-mellon-q2-earnings-call-highlights-2026-07-15/</w:t>
            </w:r>
          </w:p>
        </w:tc>
      </w:tr>
      <w:tr>
        <w:trPr>
          <w:cantSplit/>
        </w:trPr>
        <w:tc>
          <w:tcPr>
            <w:tcW w:type="dxa" w:w="28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Consumer Finance Monitor: CFPB sends new Section 1033 proposal to OIRA</w:t>
            </w:r>
          </w:p>
        </w:tc>
        <w:tc>
          <w:tcPr>
            <w:tcW w:type="dxa" w:w="22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1033 status</w:t>
            </w:r>
          </w:p>
        </w:tc>
        <w:tc>
          <w:tcPr>
            <w:tcW w:type="dxa" w:w="110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6 Aug 2026</w:t>
            </w:r>
          </w:p>
        </w:tc>
        <w:tc>
          <w:tcPr>
            <w:tcW w:type="dxa" w:w="3260"/>
            <w:tcBorders>
              <w:top w:val="single" w:color="C8CED8" w:sz="4"/>
              <w:left w:val="single" w:color="C8CED8" w:sz="4"/>
              <w:bottom w:val="single" w:color="C8CED8" w:sz="4"/>
              <w:right w:val="single" w:color="C8CED8" w:sz="4"/>
            </w:tcBorders>
            <w:shd w:fill="FFFFFF"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https://www.consumerfinancemonitor.com/2026/08/06/cfpb-sends-new-section-1033-open-banking-proposal-to-oira-for-review/</w:t>
            </w:r>
          </w:p>
        </w:tc>
      </w:tr>
      <w:tr>
        <w:trPr>
          <w:cantSplit/>
        </w:trPr>
        <w:tc>
          <w:tcPr>
            <w:tcW w:type="dxa" w:w="28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Prior research in this series: segment synthesis (8 Oct 2026) and corporate synthesis (Oct 2026)</w:t>
            </w:r>
          </w:p>
        </w:tc>
        <w:tc>
          <w:tcPr>
            <w:tcW w:type="dxa" w:w="22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AP2, Verifiable Intent, Visa Intelligent Commerce, SR 26-2, SWIFT CBPR+, MCP specification, liability frameworks</w:t>
            </w:r>
          </w:p>
        </w:tc>
        <w:tc>
          <w:tcPr>
            <w:tcW w:type="dxa" w:w="110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2026</w:t>
            </w:r>
          </w:p>
        </w:tc>
        <w:tc>
          <w:tcPr>
            <w:tcW w:type="dxa" w:w="3260"/>
            <w:tcBorders>
              <w:top w:val="single" w:color="C8CED8" w:sz="4"/>
              <w:left w:val="single" w:color="C8CED8" w:sz="4"/>
              <w:bottom w:val="single" w:color="C8CED8" w:sz="4"/>
              <w:right w:val="single" w:color="C8CED8" w:sz="4"/>
            </w:tcBorders>
            <w:shd w:fill="EEF2F7" w:color="auto" w:val="clear"/>
            <w:tcMar>
              <w:top w:type="dxa" w:w="40"/>
              <w:left w:type="dxa" w:w="110"/>
              <w:bottom w:type="dxa" w:w="40"/>
              <w:right w:type="dxa" w:w="110"/>
            </w:tcMar>
            <w:vAlign w:val="top"/>
          </w:tcPr>
          <w:p>
            <w:pPr>
              <w:spacing w:after="50" w:line="250"/>
            </w:pPr>
            <w:r>
              <w:rPr>
                <w:rFonts w:ascii="Calibri" w:cs="Calibri" w:eastAsia="Calibri" w:hAnsi="Calibri"/>
                <w:b w:val="false"/>
                <w:bCs w:val="false"/>
                <w:sz w:val="13"/>
                <w:szCs w:val="13"/>
              </w:rPr>
              <w:t xml:space="preserve">Companion documents</w:t>
            </w:r>
          </w:p>
        </w:tc>
      </w:tr>
    </w:tbl>
    <w:sectPr>
      <w:headerReference w:type="default" r:id="rId7"/>
      <w:headerReference w:type="first" r:id="rId8"/>
      <w:footerReference w:type="default" r:id="rId9"/>
      <w:footerReference w:type="first" r:id="rId10"/>
      <w:pgSz w:w="12240" w:h="15840"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Prepared 19 October 2026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4"/>
      </w:pBdr>
      <w:jc w:val="right"/>
    </w:pPr>
    <w:r>
      <w:rPr>
        <w:rFonts w:ascii="Trebuchet MS" w:cs="Trebuchet MS" w:eastAsia="Trebuchet MS" w:hAnsi="Trebuchet MS"/>
        <w:color w:val="1E3A5F"/>
        <w:sz w:val="16"/>
        <w:szCs w:val="16"/>
      </w:rPr>
      <w:t xml:space="preserve">Two New Seats for the Bank  |  Idea Brief</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961" w:sz="12" w:space="4"/>
      </w:pBdr>
      <w:spacing w:after="200" w:before="240"/>
      <w:outlineLvl w:val="0"/>
    </w:pPr>
    <w:rPr>
      <w:rFonts w:ascii="Trebuchet MS" w:cs="Trebuchet MS" w:eastAsia="Trebuchet MS" w:hAnsi="Trebuchet MS"/>
      <w:b/>
      <w:bCs/>
      <w:color w:val="0F2D52"/>
      <w:sz w:val="34"/>
      <w:szCs w:val="34"/>
    </w:rPr>
  </w:style>
  <w:style w:type="paragraph" w:styleId="Heading2">
    <w:name w:val="Heading 2"/>
    <w:basedOn w:val="Normal"/>
    <w:next w:val="Normal"/>
    <w:qFormat/>
    <w:pPr>
      <w:spacing w:after="120" w:before="240"/>
      <w:outlineLvl w:val="1"/>
    </w:pPr>
    <w:rPr>
      <w:rFonts w:ascii="Trebuchet MS" w:cs="Trebuchet MS" w:eastAsia="Trebuchet MS" w:hAnsi="Trebuchet MS"/>
      <w:b/>
      <w:bCs/>
      <w:color w:val="1E3A5F"/>
      <w:sz w:val="26"/>
      <w:szCs w:val="26"/>
    </w:rPr>
  </w:style>
  <w:style w:type="paragraph" w:styleId="Heading3">
    <w:name w:val="Heading 3"/>
    <w:basedOn w:val="Normal"/>
    <w:next w:val="Normal"/>
    <w:qFormat/>
    <w:pPr>
      <w:spacing w:after="100" w:before="160"/>
      <w:outlineLvl w:val="2"/>
    </w:pPr>
    <w:rPr>
      <w:rFonts w:ascii="Trebuchet MS" w:cs="Trebuchet MS" w:eastAsia="Trebuchet MS" w:hAnsi="Trebuchet MS"/>
      <w:b/>
      <w:bCs/>
      <w:color w:val="0F2D5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New Seats for the Bank: AI-era revenue ideas for Commercial and Corporate Banking</dc:title>
  <dc:creator>Claude</dc:creator>
  <cp:lastModifiedBy>Un-named</cp:lastModifiedBy>
  <cp:revision>1</cp:revision>
  <dcterms:created xsi:type="dcterms:W3CDTF">2026-10-19T16:05:34.603Z</dcterms:created>
  <dcterms:modified xsi:type="dcterms:W3CDTF">2026-10-19T16:05:34.604Z</dcterms:modified>
</cp:coreProperties>
</file>

<file path=docProps/custom.xml><?xml version="1.0" encoding="utf-8"?>
<Properties xmlns="http://schemas.openxmlformats.org/officeDocument/2006/custom-properties" xmlns:vt="http://schemas.openxmlformats.org/officeDocument/2006/docPropsVTypes"/>
</file>