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961" w:sz="36"/>
              <w:right w:val="none" w:color="FFFFFF" w:sz="0"/>
            </w:tcBorders>
            <w:shd w:fill="0F2D52" w:color="auto" w:val="clear"/>
            <w:tcMar>
              <w:top w:type="dxa" w:w="420"/>
              <w:left w:type="dxa" w:w="420"/>
              <w:bottom w:type="dxa" w:w="380"/>
              <w:right w:type="dxa" w:w="420"/>
            </w:tcMar>
          </w:tcPr>
          <w:p>
            <w:pPr>
              <w:spacing w:after="200"/>
            </w:pPr>
            <w:r>
              <w:rPr>
                <w:rFonts w:ascii="Trebuchet MS" w:cs="Trebuchet MS" w:eastAsia="Trebuchet MS" w:hAnsi="Trebuchet MS"/>
                <w:b/>
                <w:bCs/>
                <w:color w:val="C9A961"/>
                <w:spacing w:val="60"/>
                <w:sz w:val="20"/>
                <w:szCs w:val="20"/>
              </w:rPr>
              <w:t xml:space="preserve">ADDENDUM TO THE IDEA BRIEF  |  EMERGING MIDDLE MARKET</w:t>
            </w:r>
          </w:p>
          <w:p>
            <w:pPr>
              <w:spacing w:after="240" w:line="276" w:lineRule="auto"/>
            </w:pPr>
            <w:r>
              <w:rPr>
                <w:rFonts w:ascii="Trebuchet MS" w:cs="Trebuchet MS" w:eastAsia="Trebuchet MS" w:hAnsi="Trebuchet MS"/>
                <w:b/>
                <w:bCs/>
                <w:color w:val="FFFFFF"/>
                <w:sz w:val="50"/>
                <w:szCs w:val="50"/>
              </w:rPr>
              <w:t xml:space="preserve">The Six EMM Priorities, Tested</w:t>
            </w:r>
          </w:p>
          <w:p>
            <w:pPr>
              <w:spacing w:after="0" w:line="276" w:lineRule="auto"/>
            </w:pPr>
            <w:r>
              <w:rPr>
                <w:rFonts w:ascii="Calibri" w:cs="Calibri" w:eastAsia="Calibri" w:hAnsi="Calibri"/>
                <w:color w:val="D9E2EE"/>
                <w:sz w:val="25"/>
                <w:szCs w:val="25"/>
              </w:rPr>
              <w:t xml:space="preserve">What a Vantage-type platform and AI-assisted features can add to the payables, receivables, fraud and liquidity priorities, checked against Wells Fargo's public offering and against what the market has actually shipped</w:t>
            </w:r>
          </w:p>
        </w:tc>
      </w:tr>
    </w:tbl>
    <w:p>
      <w:pPr>
        <w:spacing w:after="80"/>
      </w:pPr>
    </w:p>
    <w:p>
      <w:pPr>
        <w:spacing w:after="30" w:line="276"/>
      </w:pPr>
      <w:r>
        <w:rPr>
          <w:rFonts w:ascii="Calibri" w:cs="Calibri" w:eastAsia="Calibri" w:hAnsi="Calibri"/>
          <w:b/>
          <w:bCs/>
          <w:sz w:val="20"/>
          <w:szCs w:val="20"/>
        </w:rPr>
        <w:t xml:space="preserve">Prepared:</w:t>
      </w:r>
      <w:r>
        <w:rPr>
          <w:rFonts w:ascii="Calibri" w:cs="Calibri" w:eastAsia="Calibri" w:hAnsi="Calibri"/>
          <w:sz w:val="20"/>
          <w:szCs w:val="20"/>
        </w:rPr>
        <w:t xml:space="preserve"> 19 October 2026</w:t>
      </w:r>
    </w:p>
    <w:p>
      <w:pPr>
        <w:spacing w:after="30" w:line="276"/>
      </w:pPr>
      <w:r>
        <w:rPr>
          <w:rFonts w:ascii="Calibri" w:cs="Calibri" w:eastAsia="Calibri" w:hAnsi="Calibri"/>
          <w:b/>
          <w:bCs/>
          <w:sz w:val="20"/>
          <w:szCs w:val="20"/>
        </w:rPr>
        <w:t xml:space="preserve">Status:</w:t>
      </w:r>
      <w:r>
        <w:rPr>
          <w:rFonts w:ascii="Calibri" w:cs="Calibri" w:eastAsia="Calibri" w:hAnsi="Calibri"/>
          <w:sz w:val="20"/>
          <w:szCs w:val="20"/>
        </w:rPr>
        <w:t xml:space="preserve"> addendum to "Two New Seats for the Bank" (19 October 2026). It takes the six EMM product priorities as given and tests each AI idea proposed for them against Wells Fargo's public products and market evidence, with a verdict, a real market example and a worked client walk-through for each.</w:t>
      </w:r>
    </w:p>
    <w:p>
      <w:pPr>
        <w:spacing w:after="30" w:line="276"/>
      </w:pPr>
      <w:r>
        <w:rPr>
          <w:rFonts w:ascii="Calibri" w:cs="Calibri" w:eastAsia="Calibri" w:hAnsi="Calibri"/>
          <w:b/>
          <w:bCs/>
          <w:sz w:val="20"/>
          <w:szCs w:val="20"/>
        </w:rPr>
        <w:t xml:space="preserve">Segment:</w:t>
      </w:r>
      <w:r>
        <w:rPr>
          <w:rFonts w:ascii="Calibri" w:cs="Calibri" w:eastAsia="Calibri" w:hAnsi="Calibri"/>
          <w:sz w:val="20"/>
          <w:szCs w:val="20"/>
        </w:rPr>
        <w:t xml:space="preserve"> emerging middle market, about $25M to $500M in revenue: a controller and a small finance team, an ERP (NetSuite, Sage Intacct, Microsoft Dynamics 365 Business Central or QuickBooks Enterprise), one or two banks, no dedicated treasurer.</w:t>
      </w:r>
    </w:p>
    <w:p>
      <w:pPr>
        <w:spacing w:after="60" w:line="276"/>
      </w:pPr>
      <w:r>
        <w:rPr>
          <w:rFonts w:ascii="Calibri" w:cs="Calibri" w:eastAsia="Calibri" w:hAnsi="Calibri"/>
          <w:b/>
          <w:bCs/>
          <w:sz w:val="20"/>
          <w:szCs w:val="20"/>
        </w:rPr>
        <w:t xml:space="preserve">Evidence base:</w:t>
      </w:r>
      <w:r>
        <w:rPr>
          <w:rFonts w:ascii="Calibri" w:cs="Calibri" w:eastAsia="Calibri" w:hAnsi="Calibri"/>
          <w:sz w:val="20"/>
          <w:szCs w:val="20"/>
        </w:rPr>
        <w:t xml:space="preserve"> research completed 19 October 2026 on Wells Fargo's public commercial pages, peer banks, ERP and fintech vendors, the AFP 2026 fraud survey and the FBI IC3 2025 report; Section 10 lists what was not examined. "Magnitude card", "Preferred sweeps" and "minibox" are internal names that do not appear publicly; the public equivalents are used where they exist.</w:t>
      </w:r>
    </w:p>
    <w:p>
      <w:pPr>
        <w:pStyle w:val="Heading3"/>
        <w:keepNext/>
      </w:pPr>
      <w:r>
        <w:rPr>
          <w:rFonts w:ascii="Trebuchet MS" w:cs="Trebuchet MS" w:eastAsia="Trebuchet MS" w:hAnsi="Trebuchet MS"/>
        </w:rPr>
        <w:t xml:space="preserve">How to read the evidence tags and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C8CED8" w:sz="4"/>
              <w:left w:val="single" w:color="C8CED8" w:sz="4"/>
              <w:bottom w:val="single" w:color="C8CED8" w:sz="4"/>
              <w:right w:val="single" w:color="C8CED8" w:sz="4"/>
            </w:tcBorders>
            <w:shd w:fill="0F2D52" w:color="auto" w:val="clear"/>
            <w:tcMar>
              <w:top w:type="dxa" w:w="24"/>
              <w:left w:type="dxa" w:w="110"/>
              <w:bottom w:type="dxa" w:w="24"/>
              <w:right w:type="dxa" w:w="110"/>
            </w:tcMar>
            <w:vAlign w:val="top"/>
          </w:tcPr>
          <w:p>
            <w:pPr>
              <w:spacing w:after="50" w:line="250"/>
            </w:pPr>
            <w:r>
              <w:rPr>
                <w:rFonts w:ascii="Calibri" w:cs="Calibri" w:eastAsia="Calibri" w:hAnsi="Calibri"/>
                <w:b/>
                <w:bCs/>
                <w:color w:val="FFFFFF"/>
                <w:sz w:val="16"/>
                <w:szCs w:val="16"/>
              </w:rPr>
              <w:t xml:space="preserve">Tag or verdict</w:t>
            </w:r>
          </w:p>
        </w:tc>
        <w:tc>
          <w:tcPr>
            <w:tcW w:type="dxa" w:w="7460"/>
            <w:tcBorders>
              <w:top w:val="single" w:color="C8CED8" w:sz="4"/>
              <w:left w:val="single" w:color="C8CED8" w:sz="4"/>
              <w:bottom w:val="single" w:color="C8CED8" w:sz="4"/>
              <w:right w:val="single" w:color="C8CED8" w:sz="4"/>
            </w:tcBorders>
            <w:shd w:fill="0F2D52" w:color="auto" w:val="clear"/>
            <w:tcMar>
              <w:top w:type="dxa" w:w="24"/>
              <w:left w:type="dxa" w:w="110"/>
              <w:bottom w:type="dxa" w:w="24"/>
              <w:right w:type="dxa" w:w="110"/>
            </w:tcMar>
            <w:vAlign w:val="top"/>
          </w:tcPr>
          <w:p>
            <w:pPr>
              <w:spacing w:after="50" w:line="250"/>
            </w:pPr>
            <w:r>
              <w:rPr>
                <w:rFonts w:ascii="Calibri" w:cs="Calibri" w:eastAsia="Calibri" w:hAnsi="Calibri"/>
                <w:b/>
                <w:bCs/>
                <w:color w:val="FFFFFF"/>
                <w:sz w:val="16"/>
                <w:szCs w:val="16"/>
              </w:rPr>
              <w:t xml:space="preserve">Meaning</w:t>
            </w:r>
          </w:p>
        </w:tc>
      </w:tr>
      <w:tr>
        <w:trPr>
          <w:cantSplit/>
        </w:trPr>
        <w:tc>
          <w:tcPr>
            <w:tcW w:type="dxa" w:w="1900"/>
            <w:tcBorders>
              <w:top w:val="single" w:color="C8CED8" w:sz="4"/>
              <w:left w:val="single" w:color="C8CED8" w:sz="4"/>
              <w:bottom w:val="single" w:color="C8CED8" w:sz="4"/>
              <w:right w:val="single" w:color="C8CED8" w:sz="4"/>
            </w:tcBorders>
            <w:shd w:fill="FFFFFF" w:color="auto" w:val="clear"/>
            <w:tcMar>
              <w:top w:type="dxa" w:w="24"/>
              <w:left w:type="dxa" w:w="110"/>
              <w:bottom w:type="dxa" w:w="24"/>
              <w:right w:type="dxa" w:w="110"/>
            </w:tcMar>
            <w:vAlign w:val="top"/>
          </w:tcPr>
          <w:p>
            <w:pPr>
              <w:spacing w:after="50" w:line="250"/>
            </w:pPr>
            <w:r>
              <w:rPr>
                <w:rFonts w:ascii="Calibri" w:cs="Calibri" w:eastAsia="Calibri" w:hAnsi="Calibri"/>
                <w:b/>
                <w:bCs/>
                <w:sz w:val="16"/>
                <w:szCs w:val="16"/>
              </w:rPr>
              <w:t xml:space="preserve">P / BR / S / AE / V / SYN</w:t>
            </w:r>
          </w:p>
        </w:tc>
        <w:tc>
          <w:tcPr>
            <w:tcW w:type="dxa" w:w="7460"/>
            <w:tcBorders>
              <w:top w:val="single" w:color="C8CED8" w:sz="4"/>
              <w:left w:val="single" w:color="C8CED8" w:sz="4"/>
              <w:bottom w:val="single" w:color="C8CED8" w:sz="4"/>
              <w:right w:val="single" w:color="C8CED8" w:sz="4"/>
            </w:tcBorders>
            <w:shd w:fill="FFFFFF" w:color="auto" w:val="clear"/>
            <w:tcMar>
              <w:top w:type="dxa" w:w="24"/>
              <w:left w:type="dxa" w:w="110"/>
              <w:bottom w:type="dxa" w:w="24"/>
              <w:right w:type="dxa" w:w="110"/>
            </w:tcMar>
            <w:vAlign w:val="top"/>
          </w:tcPr>
          <w:p>
            <w:pPr>
              <w:spacing w:after="50" w:line="250"/>
            </w:pPr>
            <w:r>
              <w:rPr>
                <w:rFonts w:ascii="Calibri" w:cs="Calibri" w:eastAsia="Calibri" w:hAnsi="Calibri"/>
                <w:b w:val="false"/>
                <w:bCs w:val="false"/>
                <w:sz w:val="16"/>
                <w:szCs w:val="16"/>
              </w:rPr>
              <w:t xml:space="preserve">Primary text; bank-reported; survey or consultancy; analyst estimate; vendor claim; synthesis or inference made in this document.</w:t>
            </w:r>
          </w:p>
        </w:tc>
      </w:tr>
      <w:tr>
        <w:trPr>
          <w:cantSplit/>
        </w:trPr>
        <w:tc>
          <w:tcPr>
            <w:tcW w:type="dxa" w:w="1900"/>
            <w:tcBorders>
              <w:top w:val="single" w:color="C8CED8" w:sz="4"/>
              <w:left w:val="single" w:color="C8CED8" w:sz="4"/>
              <w:bottom w:val="single" w:color="C8CED8" w:sz="4"/>
              <w:right w:val="single" w:color="C8CED8" w:sz="4"/>
            </w:tcBorders>
            <w:shd w:fill="EEF2F7" w:color="auto" w:val="clear"/>
            <w:tcMar>
              <w:top w:type="dxa" w:w="24"/>
              <w:left w:type="dxa" w:w="110"/>
              <w:bottom w:type="dxa" w:w="24"/>
              <w:right w:type="dxa" w:w="110"/>
            </w:tcMar>
            <w:vAlign w:val="top"/>
          </w:tcPr>
          <w:p>
            <w:pPr>
              <w:spacing w:after="50" w:line="250"/>
            </w:pPr>
            <w:r>
              <w:rPr>
                <w:rFonts w:ascii="Calibri" w:cs="Calibri" w:eastAsia="Calibri" w:hAnsi="Calibri"/>
                <w:b/>
                <w:bCs/>
                <w:sz w:val="16"/>
                <w:szCs w:val="16"/>
              </w:rPr>
              <w:t xml:space="preserve">ILL</w:t>
            </w:r>
          </w:p>
        </w:tc>
        <w:tc>
          <w:tcPr>
            <w:tcW w:type="dxa" w:w="7460"/>
            <w:tcBorders>
              <w:top w:val="single" w:color="C8CED8" w:sz="4"/>
              <w:left w:val="single" w:color="C8CED8" w:sz="4"/>
              <w:bottom w:val="single" w:color="C8CED8" w:sz="4"/>
              <w:right w:val="single" w:color="C8CED8" w:sz="4"/>
            </w:tcBorders>
            <w:shd w:fill="EEF2F7" w:color="auto" w:val="clear"/>
            <w:tcMar>
              <w:top w:type="dxa" w:w="24"/>
              <w:left w:type="dxa" w:w="110"/>
              <w:bottom w:type="dxa" w:w="24"/>
              <w:right w:type="dxa" w:w="110"/>
            </w:tcMar>
            <w:vAlign w:val="top"/>
          </w:tcPr>
          <w:p>
            <w:pPr>
              <w:spacing w:after="50" w:line="250"/>
            </w:pPr>
            <w:r>
              <w:rPr>
                <w:rFonts w:ascii="Calibri" w:cs="Calibri" w:eastAsia="Calibri" w:hAnsi="Calibri"/>
                <w:b w:val="false"/>
                <w:bCs w:val="false"/>
                <w:sz w:val="16"/>
                <w:szCs w:val="16"/>
              </w:rPr>
              <w:t xml:space="preserve">Illustrative worked example with stated assumptions. The companies are fictional composites; the numbers are assumptions, not findings.</w:t>
            </w:r>
          </w:p>
        </w:tc>
      </w:tr>
      <w:tr>
        <w:trPr>
          <w:cantSplit/>
        </w:trPr>
        <w:tc>
          <w:tcPr>
            <w:tcW w:type="dxa" w:w="1900"/>
            <w:tcBorders>
              <w:top w:val="single" w:color="C8CED8" w:sz="4"/>
              <w:left w:val="single" w:color="C8CED8" w:sz="4"/>
              <w:bottom w:val="single" w:color="C8CED8" w:sz="4"/>
              <w:right w:val="single" w:color="C8CED8" w:sz="4"/>
            </w:tcBorders>
            <w:shd w:fill="FFFFFF" w:color="auto" w:val="clear"/>
            <w:tcMar>
              <w:top w:type="dxa" w:w="24"/>
              <w:left w:type="dxa" w:w="110"/>
              <w:bottom w:type="dxa" w:w="24"/>
              <w:right w:type="dxa" w:w="110"/>
            </w:tcMar>
            <w:vAlign w:val="top"/>
          </w:tcPr>
          <w:p>
            <w:pPr>
              <w:spacing w:after="50" w:line="250"/>
            </w:pPr>
            <w:r>
              <w:rPr>
                <w:rFonts w:ascii="Calibri" w:cs="Calibri" w:eastAsia="Calibri" w:hAnsi="Calibri"/>
                <w:b/>
                <w:bCs/>
                <w:sz w:val="16"/>
                <w:szCs w:val="16"/>
              </w:rPr>
              <w:t xml:space="preserve">(secondary)</w:t>
            </w:r>
          </w:p>
        </w:tc>
        <w:tc>
          <w:tcPr>
            <w:tcW w:type="dxa" w:w="7460"/>
            <w:tcBorders>
              <w:top w:val="single" w:color="C8CED8" w:sz="4"/>
              <w:left w:val="single" w:color="C8CED8" w:sz="4"/>
              <w:bottom w:val="single" w:color="C8CED8" w:sz="4"/>
              <w:right w:val="single" w:color="C8CED8" w:sz="4"/>
            </w:tcBorders>
            <w:shd w:fill="FFFFFF" w:color="auto" w:val="clear"/>
            <w:tcMar>
              <w:top w:type="dxa" w:w="24"/>
              <w:left w:type="dxa" w:w="110"/>
              <w:bottom w:type="dxa" w:w="24"/>
              <w:right w:type="dxa" w:w="110"/>
            </w:tcMar>
            <w:vAlign w:val="top"/>
          </w:tcPr>
          <w:p>
            <w:pPr>
              <w:spacing w:after="50" w:line="250"/>
            </w:pPr>
            <w:r>
              <w:rPr>
                <w:rFonts w:ascii="Calibri" w:cs="Calibri" w:eastAsia="Calibri" w:hAnsi="Calibri"/>
                <w:b w:val="false"/>
                <w:bCs w:val="false"/>
                <w:sz w:val="16"/>
                <w:szCs w:val="16"/>
              </w:rPr>
              <w:t xml:space="preserve">Seen through trade press or a third-party summary, not the primary source.</w:t>
            </w:r>
          </w:p>
        </w:tc>
      </w:tr>
      <w:tr>
        <w:trPr>
          <w:cantSplit/>
        </w:trPr>
        <w:tc>
          <w:tcPr>
            <w:tcW w:type="dxa" w:w="1900"/>
            <w:tcBorders>
              <w:top w:val="single" w:color="C8CED8" w:sz="4"/>
              <w:left w:val="single" w:color="C8CED8" w:sz="4"/>
              <w:bottom w:val="single" w:color="C8CED8" w:sz="4"/>
              <w:right w:val="single" w:color="C8CED8" w:sz="4"/>
            </w:tcBorders>
            <w:shd w:fill="EEF2F7" w:color="auto" w:val="clear"/>
            <w:tcMar>
              <w:top w:type="dxa" w:w="24"/>
              <w:left w:type="dxa" w:w="110"/>
              <w:bottom w:type="dxa" w:w="24"/>
              <w:right w:type="dxa" w:w="110"/>
            </w:tcMar>
            <w:vAlign w:val="top"/>
          </w:tcPr>
          <w:p>
            <w:pPr>
              <w:spacing w:after="50" w:line="250"/>
            </w:pPr>
            <w:r>
              <w:rPr>
                <w:rFonts w:ascii="Calibri" w:cs="Calibri" w:eastAsia="Calibri" w:hAnsi="Calibri"/>
                <w:b/>
                <w:bCs/>
                <w:sz w:val="16"/>
                <w:szCs w:val="16"/>
              </w:rPr>
              <w:t xml:space="preserve">Confirmed</w:t>
            </w:r>
          </w:p>
        </w:tc>
        <w:tc>
          <w:tcPr>
            <w:tcW w:type="dxa" w:w="7460"/>
            <w:tcBorders>
              <w:top w:val="single" w:color="C8CED8" w:sz="4"/>
              <w:left w:val="single" w:color="C8CED8" w:sz="4"/>
              <w:bottom w:val="single" w:color="C8CED8" w:sz="4"/>
              <w:right w:val="single" w:color="C8CED8" w:sz="4"/>
            </w:tcBorders>
            <w:shd w:fill="EEF2F7" w:color="auto" w:val="clear"/>
            <w:tcMar>
              <w:top w:type="dxa" w:w="24"/>
              <w:left w:type="dxa" w:w="110"/>
              <w:bottom w:type="dxa" w:w="24"/>
              <w:right w:type="dxa" w:w="110"/>
            </w:tcMar>
            <w:vAlign w:val="top"/>
          </w:tcPr>
          <w:p>
            <w:pPr>
              <w:spacing w:after="50" w:line="250"/>
            </w:pPr>
            <w:r>
              <w:rPr>
                <w:rFonts w:ascii="Calibri" w:cs="Calibri" w:eastAsia="Calibri" w:hAnsi="Calibri"/>
                <w:b w:val="false"/>
                <w:bCs w:val="false"/>
                <w:sz w:val="16"/>
                <w:szCs w:val="16"/>
              </w:rPr>
              <w:t xml:space="preserve">A bank or vendor has shipped the idea, or Wells Fargo already offers the non-AI version of it.</w:t>
            </w:r>
          </w:p>
        </w:tc>
      </w:tr>
      <w:tr>
        <w:trPr>
          <w:cantSplit/>
        </w:trPr>
        <w:tc>
          <w:tcPr>
            <w:tcW w:type="dxa" w:w="1900"/>
            <w:tcBorders>
              <w:top w:val="single" w:color="C8CED8" w:sz="4"/>
              <w:left w:val="single" w:color="C8CED8" w:sz="4"/>
              <w:bottom w:val="single" w:color="C8CED8" w:sz="4"/>
              <w:right w:val="single" w:color="C8CED8" w:sz="4"/>
            </w:tcBorders>
            <w:shd w:fill="FFFFFF" w:color="auto" w:val="clear"/>
            <w:tcMar>
              <w:top w:type="dxa" w:w="24"/>
              <w:left w:type="dxa" w:w="110"/>
              <w:bottom w:type="dxa" w:w="24"/>
              <w:right w:type="dxa" w:w="110"/>
            </w:tcMar>
            <w:vAlign w:val="top"/>
          </w:tcPr>
          <w:p>
            <w:pPr>
              <w:spacing w:after="50" w:line="250"/>
            </w:pPr>
            <w:r>
              <w:rPr>
                <w:rFonts w:ascii="Calibri" w:cs="Calibri" w:eastAsia="Calibri" w:hAnsi="Calibri"/>
                <w:b/>
                <w:bCs/>
                <w:sz w:val="16"/>
                <w:szCs w:val="16"/>
              </w:rPr>
              <w:t xml:space="preserve">Modified</w:t>
            </w:r>
          </w:p>
        </w:tc>
        <w:tc>
          <w:tcPr>
            <w:tcW w:type="dxa" w:w="7460"/>
            <w:tcBorders>
              <w:top w:val="single" w:color="C8CED8" w:sz="4"/>
              <w:left w:val="single" w:color="C8CED8" w:sz="4"/>
              <w:bottom w:val="single" w:color="C8CED8" w:sz="4"/>
              <w:right w:val="single" w:color="C8CED8" w:sz="4"/>
            </w:tcBorders>
            <w:shd w:fill="FFFFFF" w:color="auto" w:val="clear"/>
            <w:tcMar>
              <w:top w:type="dxa" w:w="24"/>
              <w:left w:type="dxa" w:w="110"/>
              <w:bottom w:type="dxa" w:w="24"/>
              <w:right w:type="dxa" w:w="110"/>
            </w:tcMar>
            <w:vAlign w:val="top"/>
          </w:tcPr>
          <w:p>
            <w:pPr>
              <w:spacing w:after="50" w:line="250"/>
            </w:pPr>
            <w:r>
              <w:rPr>
                <w:rFonts w:ascii="Calibri" w:cs="Calibri" w:eastAsia="Calibri" w:hAnsi="Calibri"/>
                <w:b w:val="false"/>
                <w:bCs w:val="false"/>
                <w:sz w:val="16"/>
                <w:szCs w:val="16"/>
              </w:rPr>
              <w:t xml:space="preserve">The market supports a narrower or different form of the idea; the row says which.</w:t>
            </w:r>
          </w:p>
        </w:tc>
      </w:tr>
      <w:tr>
        <w:trPr>
          <w:cantSplit/>
        </w:trPr>
        <w:tc>
          <w:tcPr>
            <w:tcW w:type="dxa" w:w="1900"/>
            <w:tcBorders>
              <w:top w:val="single" w:color="C8CED8" w:sz="4"/>
              <w:left w:val="single" w:color="C8CED8" w:sz="4"/>
              <w:bottom w:val="single" w:color="C8CED8" w:sz="4"/>
              <w:right w:val="single" w:color="C8CED8" w:sz="4"/>
            </w:tcBorders>
            <w:shd w:fill="EEF2F7" w:color="auto" w:val="clear"/>
            <w:tcMar>
              <w:top w:type="dxa" w:w="24"/>
              <w:left w:type="dxa" w:w="110"/>
              <w:bottom w:type="dxa" w:w="24"/>
              <w:right w:type="dxa" w:w="110"/>
            </w:tcMar>
            <w:vAlign w:val="top"/>
          </w:tcPr>
          <w:p>
            <w:pPr>
              <w:spacing w:after="50" w:line="250"/>
            </w:pPr>
            <w:r>
              <w:rPr>
                <w:rFonts w:ascii="Calibri" w:cs="Calibri" w:eastAsia="Calibri" w:hAnsi="Calibri"/>
                <w:b/>
                <w:bCs/>
                <w:sz w:val="16"/>
                <w:szCs w:val="16"/>
              </w:rPr>
              <w:t xml:space="preserve">Unproven</w:t>
            </w:r>
          </w:p>
        </w:tc>
        <w:tc>
          <w:tcPr>
            <w:tcW w:type="dxa" w:w="7460"/>
            <w:tcBorders>
              <w:top w:val="single" w:color="C8CED8" w:sz="4"/>
              <w:left w:val="single" w:color="C8CED8" w:sz="4"/>
              <w:bottom w:val="single" w:color="C8CED8" w:sz="4"/>
              <w:right w:val="single" w:color="C8CED8" w:sz="4"/>
            </w:tcBorders>
            <w:shd w:fill="EEF2F7" w:color="auto" w:val="clear"/>
            <w:tcMar>
              <w:top w:type="dxa" w:w="24"/>
              <w:left w:type="dxa" w:w="110"/>
              <w:bottom w:type="dxa" w:w="24"/>
              <w:right w:type="dxa" w:w="110"/>
            </w:tcMar>
            <w:vAlign w:val="top"/>
          </w:tcPr>
          <w:p>
            <w:pPr>
              <w:spacing w:after="50" w:line="250"/>
            </w:pPr>
            <w:r>
              <w:rPr>
                <w:rFonts w:ascii="Calibri" w:cs="Calibri" w:eastAsia="Calibri" w:hAnsi="Calibri"/>
                <w:b w:val="false"/>
                <w:bCs w:val="false"/>
                <w:sz w:val="16"/>
                <w:szCs w:val="16"/>
              </w:rPr>
              <w:t xml:space="preserve">No bank or vendor example and no outcome data were found. The idea may still be sound; it has no evidence yet.</w:t>
            </w:r>
          </w:p>
        </w:tc>
      </w:tr>
    </w:tbl>
    <w:p>
      <w:pPr>
        <w:spacing w:after="30"/>
      </w:pPr>
    </w:p>
    <w:p>
      <w:pPr>
        <w:pStyle w:val="Heading3"/>
        <w:keepNext/>
      </w:pPr>
      <w:r>
        <w:rPr>
          <w:rFonts w:ascii="Trebuchet MS" w:cs="Trebuchet MS" w:eastAsia="Trebuchet MS" w:hAnsi="Trebuchet MS"/>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30"/>
            </w:pPr>
            <w:r>
              <w:rPr>
                <w:rFonts w:ascii="Calibri" w:cs="Calibri" w:eastAsia="Calibri" w:hAnsi="Calibri"/>
                <w:sz w:val="18"/>
                <w:szCs w:val="18"/>
              </w:rPr>
              <w:t xml:space="preserve">1  Executive summary</w:t>
            </w:r>
          </w:p>
          <w:p>
            <w:pPr>
              <w:spacing w:after="30"/>
            </w:pPr>
            <w:r>
              <w:rPr>
                <w:rFonts w:ascii="Calibri" w:cs="Calibri" w:eastAsia="Calibri" w:hAnsi="Calibri"/>
                <w:sz w:val="18"/>
                <w:szCs w:val="18"/>
              </w:rPr>
              <w:t xml:space="preserve">2  Wells Fargo's public baseline</w:t>
            </w:r>
          </w:p>
          <w:p>
            <w:pPr>
              <w:spacing w:after="30"/>
            </w:pPr>
            <w:r>
              <w:rPr>
                <w:rFonts w:ascii="Calibri" w:cs="Calibri" w:eastAsia="Calibri" w:hAnsi="Calibri"/>
                <w:sz w:val="18"/>
                <w:szCs w:val="18"/>
              </w:rPr>
              <w:t xml:space="preserve">3  Payables: commercial card ("Magnitude")</w:t>
            </w:r>
          </w:p>
          <w:p>
            <w:pPr>
              <w:spacing w:after="30"/>
            </w:pPr>
            <w:r>
              <w:rPr>
                <w:rFonts w:ascii="Calibri" w:cs="Calibri" w:eastAsia="Calibri" w:hAnsi="Calibri"/>
                <w:sz w:val="18"/>
                <w:szCs w:val="18"/>
              </w:rPr>
              <w:t xml:space="preserve">4  Payables: Bill Manager</w:t>
            </w:r>
          </w:p>
          <w:p>
            <w:pPr>
              <w:spacing w:after="30"/>
            </w:pPr>
            <w:r>
              <w:rPr>
                <w:rFonts w:ascii="Calibri" w:cs="Calibri" w:eastAsia="Calibri" w:hAnsi="Calibri"/>
                <w:sz w:val="18"/>
                <w:szCs w:val="18"/>
              </w:rPr>
              <w:t xml:space="preserve">5  Receivables: Merchant services</w:t>
            </w:r>
          </w:p>
          <w:p>
            <w:pPr>
              <w:spacing w:after="30"/>
            </w:pPr>
            <w:r>
              <w:rPr>
                <w:rFonts w:ascii="Calibri" w:cs="Calibri" w:eastAsia="Calibri" w:hAnsi="Calibri"/>
                <w:sz w:val="18"/>
                <w:szCs w:val="18"/>
              </w:rPr>
              <w:t xml:space="preserve">6  Receivables: Lockbox ("minibox")</w:t>
            </w:r>
          </w:p>
        </w:tc>
        <w:tc>
          <w:tcPr>
            <w:tcW w:type="dxa" w:w="468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30"/>
            </w:pPr>
            <w:r>
              <w:rPr>
                <w:rFonts w:ascii="Calibri" w:cs="Calibri" w:eastAsia="Calibri" w:hAnsi="Calibri"/>
                <w:sz w:val="18"/>
                <w:szCs w:val="18"/>
              </w:rPr>
              <w:t xml:space="preserve">7  Fraud: Account validation services</w:t>
            </w:r>
          </w:p>
          <w:p>
            <w:pPr>
              <w:spacing w:after="30"/>
            </w:pPr>
            <w:r>
              <w:rPr>
                <w:rFonts w:ascii="Calibri" w:cs="Calibri" w:eastAsia="Calibri" w:hAnsi="Calibri"/>
                <w:sz w:val="18"/>
                <w:szCs w:val="18"/>
              </w:rPr>
              <w:t xml:space="preserve">8  Liquidity: Sweeps ("Preferred sweeps")</w:t>
            </w:r>
          </w:p>
          <w:p>
            <w:pPr>
              <w:spacing w:after="30"/>
            </w:pPr>
            <w:r>
              <w:rPr>
                <w:rFonts w:ascii="Calibri" w:cs="Calibri" w:eastAsia="Calibri" w:hAnsi="Calibri"/>
                <w:sz w:val="18"/>
                <w:szCs w:val="18"/>
              </w:rPr>
              <w:t xml:space="preserve">9  The platform across the six</w:t>
            </w:r>
          </w:p>
          <w:p>
            <w:pPr>
              <w:spacing w:after="30"/>
            </w:pPr>
            <w:r>
              <w:rPr>
                <w:rFonts w:ascii="Calibri" w:cs="Calibri" w:eastAsia="Calibri" w:hAnsi="Calibri"/>
                <w:sz w:val="18"/>
                <w:szCs w:val="18"/>
              </w:rPr>
              <w:t xml:space="preserve">10  Caveats and evidence quality</w:t>
            </w:r>
          </w:p>
          <w:p>
            <w:pPr>
              <w:spacing w:after="30"/>
            </w:pPr>
            <w:r>
              <w:rPr>
                <w:rFonts w:ascii="Calibri" w:cs="Calibri" w:eastAsia="Calibri" w:hAnsi="Calibri"/>
                <w:sz w:val="18"/>
                <w:szCs w:val="18"/>
              </w:rPr>
              <w:t xml:space="preserve">Appendix A  Source register</w:t>
            </w:r>
          </w:p>
        </w:tc>
      </w:tr>
    </w:tbl>
    <w:p>
      <w:pPr>
        <w:pStyle w:val="Heading1"/>
        <w:keepNext/>
        <w:pageBreakBefore/>
      </w:pPr>
      <w:r>
        <w:rPr>
          <w:rFonts w:ascii="Trebuchet MS" w:cs="Trebuchet MS" w:eastAsia="Trebuchet MS" w:hAnsi="Trebuchet MS"/>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What the research changed</w:t>
            </w:r>
          </w:p>
          <w:p>
            <w:pPr>
              <w:spacing w:after="60" w:line="268"/>
            </w:pPr>
            <w:r>
              <w:rPr>
                <w:rFonts w:ascii="Calibri" w:cs="Calibri" w:eastAsia="Calibri" w:hAnsi="Calibri"/>
                <w:sz w:val="20"/>
                <w:szCs w:val="20"/>
              </w:rPr>
              <w:t xml:space="preserve">Wells Fargo already sells a public product behind every one of the six priorities: WellsOne Commercial Card and Expense Manager, Bill Manager (a white-labelled Bill.com service since December 2020), Merchant Services (Clover, Payment Gateway, E-Bill Express, Virtual Card Automation), wholesale and retail lockbox with Receivables Manager and Integrated receivables, "Account validation services", and the Stagecoach Sweep. None of the AI features proposed in the chat table is publicly described as live at Wells Fargo. The market supports most of them only in a narrower form: </w:t>
            </w:r>
            <w:r>
              <w:rPr>
                <w:rFonts w:ascii="Calibri" w:cs="Calibri" w:eastAsia="Calibri" w:hAnsi="Calibri"/>
                <w:b/>
                <w:bCs/>
                <w:sz w:val="20"/>
                <w:szCs w:val="20"/>
              </w:rPr>
              <w:t xml:space="preserve">AI extracts, scores and proposes; the bank or a person releases.</w:t>
            </w:r>
            <w:r>
              <w:rPr>
                <w:rFonts w:ascii="Calibri" w:cs="Calibri" w:eastAsia="Calibri" w:hAnsi="Calibri"/>
                <w:sz w:val="20"/>
                <w:szCs w:val="20"/>
              </w:rPr>
              <w:t xml:space="preserve"> Two of the ideas with the most money attached, AI-set sweep thresholds and outcome-priced sweeps, have no precedent anywhere. [BR, P, SYN]</w:t>
            </w:r>
          </w:p>
        </w:tc>
      </w:tr>
    </w:tbl>
    <w:p>
      <w:pPr>
        <w:spacing w:after="120"/>
      </w:pPr>
    </w:p>
    <w:p>
      <w:pPr>
        <w:pStyle w:val="Heading2"/>
        <w:keepNext/>
      </w:pPr>
      <w:r>
        <w:rPr>
          <w:rFonts w:ascii="Trebuchet MS" w:cs="Trebuchet MS" w:eastAsia="Trebuchet MS" w:hAnsi="Trebuchet MS"/>
        </w:rPr>
        <w:t xml:space="preserve">Verdicts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100"/>
        <w:gridCol w:w="1700"/>
        <w:gridCol w:w="1700"/>
        <w:gridCol w:w="1310"/>
        <w:gridCol w:w="1300"/>
      </w:tblGrid>
      <w:tr>
        <w:trPr>
          <w:cantSplit/>
          <w:tblHeader/>
        </w:trPr>
        <w:tc>
          <w:tcPr>
            <w:tcW w:type="dxa" w:w="125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Priority</w:t>
            </w:r>
          </w:p>
        </w:tc>
        <w:tc>
          <w:tcPr>
            <w:tcW w:type="dxa" w:w="2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Wells Fargo today (public)</w:t>
            </w:r>
          </w:p>
        </w:tc>
        <w:tc>
          <w:tcPr>
            <w:tcW w:type="dxa" w:w="1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Confirmed</w:t>
            </w:r>
          </w:p>
        </w:tc>
        <w:tc>
          <w:tcPr>
            <w:tcW w:type="dxa" w:w="1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Modified</w:t>
            </w:r>
          </w:p>
        </w:tc>
        <w:tc>
          <w:tcPr>
            <w:tcW w:type="dxa" w:w="131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Unproven</w:t>
            </w:r>
          </w:p>
        </w:tc>
        <w:tc>
          <w:tcPr>
            <w:tcW w:type="dxa" w:w="1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First move</w:t>
            </w:r>
          </w:p>
        </w:tc>
      </w:tr>
      <w:tr>
        <w:trPr>
          <w:cantSplit w:val="false"/>
        </w:trPr>
        <w:tc>
          <w:tcPr>
            <w:tcW w:type="dxa" w:w="12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Commercial card</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WellsOne Commercial Card; WellsOne Expense Manager on Vantage (coding, templates, receipt capture, approvals; QRG April 2026); virtual cards for DPO and rebate</w:t>
            </w:r>
          </w:p>
        </w:tc>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Receipt capture and GL coding (table stakes); agent-issued single-use virtual cards (Ramp, early access since March 2026)</w:t>
            </w:r>
          </w:p>
        </w:tc>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Natural-language policy as rules plus review, not free-text authorisation; agents request cards, policy approves</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Per-cardholder anomaly models (no 2025–2026 figure found)</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Policy-to-rules and AI coding; narrow agent-card pilot</w:t>
            </w:r>
          </w:p>
        </w:tc>
      </w:tr>
      <w:tr>
        <w:trPr>
          <w:cantSplit w:val="false"/>
        </w:trPr>
        <w:tc>
          <w:tcPr>
            <w:tcW w:type="dxa" w:w="125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Bill Manager</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Bill.com Connect white label (9 Dec 2020); syncs QuickBooks, Xero, NetSuite, Intacct; Business Central not listed; Consolidated payables; RTP and FedNow intelligent routing</w:t>
            </w:r>
          </w:p>
        </w:tc>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Invoice extraction and coding; duplicate and PO matching (Business Central Payables Agent GA April 2026, PO matching October 2026); approval routing; validation at creation</w:t>
            </w:r>
          </w:p>
        </w:tc>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Bill Manager as the release gate for ERP-agent payment runs (white space, but Wells controls only what Bill.com Connect allows); payment-method optimisation needs a supplier-acceptance check</w:t>
            </w:r>
          </w:p>
        </w:tc>
        <w:tc>
          <w:tcPr>
            <w:tcW w:type="dxa" w:w="131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Payment-timing optimisation (no outcome data); mandate-bounded auto-release of ACH</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Make Vantage the policy gate before ERP-proposed runs are released</w:t>
            </w:r>
          </w:p>
        </w:tc>
      </w:tr>
      <w:tr>
        <w:trPr>
          <w:cantSplit w:val="false"/>
        </w:trPr>
        <w:tc>
          <w:tcPr>
            <w:tcW w:type="dxa" w:w="12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Merchant services</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Commercial page for $25M+ clients: Virtual Card Automation, Payment Gateway ("AI-driven fraud and risk tools", pay links, QR, ACH), E-Bill Express, Clover with Level 2 and 3, surcharging guidance</w:t>
            </w:r>
          </w:p>
        </w:tc>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Level 3 enrichment (Visa phased out Level 2 interchange on 17 April 2026 except commercial fuel, per the Merchant Advisory Group); cash application (Integrated receivables exists)</w:t>
            </w:r>
          </w:p>
        </w:tc>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Agent-run dunning (pay links and reminders exist, the agent does not); agent-ready acceptance is a 2027 watch item</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AI chargeback handling; acceptance-mix advice</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Level 3 auto-enrichment in Clover and Payment Gateway, with qualification rate as the KPI</w:t>
            </w:r>
          </w:p>
        </w:tc>
      </w:tr>
      <w:tr>
        <w:trPr>
          <w:cantSplit w:val="false"/>
        </w:trPr>
        <w:tc>
          <w:tcPr>
            <w:tcW w:type="dxa" w:w="125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Lockbox / minibox</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Wholesale and Retail Image Lockbox, Electronic lockbox, Receivables Manager, Integrated receivables; no small-volume product public; one client's 2023 prices show $0.10 per deposited wholesale check</w:t>
            </w:r>
          </w:p>
        </w:tc>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Auto cash application to ERP (Integrated receivables)</w:t>
            </w:r>
          </w:p>
        </w:tc>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Check-conversion agent (demand proven, outcomes not); image fraud detection fits the payer's positive pay, not the receiver</w:t>
            </w:r>
          </w:p>
        </w:tc>
        <w:tc>
          <w:tcPr>
            <w:tcW w:type="dxa" w:w="131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Vision-model remittance extraction figures; exception agent</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Reframe minibox as a bridge paired with conversion; track conversion per payer</w:t>
            </w:r>
          </w:p>
        </w:tc>
      </w:tr>
      <w:tr>
        <w:trPr>
          <w:cantSplit w:val="false"/>
        </w:trPr>
        <w:tc>
          <w:tcPr>
            <w:tcW w:type="dxa" w:w="12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Account validation</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"Account validation services" (real-time ownership and status); Fraud Manager: ACH Fraud Filter, Positive pay with payee validation, Payment Authorization, Perfect Receivables; Business Essentials bundle; data source and price not published</w:t>
            </w:r>
          </w:p>
        </w:tc>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Network beneficiary scoring (J.P. Morgan Account Confidence Score, 15B+ records, 0–1,000, chargeable add-on); validation at vendor creation</w:t>
            </w:r>
          </w:p>
        </w:tc>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BEC detection with call-back (need proven: $3.05B losses, 74% of organisations hit); per-validation pricing (J.P. Morgan charges, price not published)</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Anomaly detection against the client's own pattern; validating authority behind incoming agent payments</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Upgrade to a confidence score, embed at vendor set-up, price it</w:t>
            </w:r>
          </w:p>
        </w:tc>
      </w:tr>
      <w:tr>
        <w:trPr>
          <w:cantSplit w:val="false"/>
        </w:trPr>
        <w:tc>
          <w:tcPr>
            <w:tcW w:type="dxa" w:w="125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Sweeps</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Stagecoach Sweep (client sets target balances; vehicles not listed publicly); ZBA and target-balance structures; tokenised deposits live September 2026 for USD–GBP payments only</w:t>
            </w:r>
          </w:p>
        </w:tc>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w:t>
            </w:r>
          </w:p>
        </w:tc>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Forecast-suggested targets with client approval (U.S. Bank Liquidity Manager pairs Cash AI with ZBA sweeps but does not set thresholds); 24/7 on tokenised deposits is 2027+; plain-language explanations (vendor example only)</w:t>
            </w:r>
          </w:p>
        </w:tc>
        <w:tc>
          <w:tcPr>
            <w:tcW w:type="dxa" w:w="131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AI-set thresholds; outcome-priced sweep mandate (no precedent; conduct risk given sweep litigation at Wells Fargo Advisors)</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Forecast-suggested targets; compete on the on-balance-sheet rate (Mercury up to 4.05%, Brex up to 3.70%, vendor-published)</w:t>
            </w:r>
          </w:p>
        </w:tc>
      </w:tr>
    </w:tbl>
    <w:p>
      <w:pPr>
        <w:spacing w:after="120"/>
      </w:pPr>
    </w:p>
    <w:p>
      <w:pPr>
        <w:pStyle w:val="Heading2"/>
        <w:keepNext/>
      </w:pPr>
      <w:r>
        <w:rPr>
          <w:rFonts w:ascii="Trebuchet MS" w:cs="Trebuchet MS" w:eastAsia="Trebuchet MS" w:hAnsi="Trebuchet MS"/>
        </w:rPr>
        <w:t xml:space="preserve">Six points for the decision</w:t>
      </w:r>
    </w:p>
    <w:p>
      <w:pPr>
        <w:pStyle w:val="ListParagraph"/>
        <w:numPr>
          <w:ilvl w:val="0"/>
          <w:numId w:val="2"/>
        </w:numPr>
        <w:spacing w:after="80" w:line="268"/>
      </w:pPr>
      <w:r>
        <w:rPr>
          <w:rFonts w:ascii="Calibri" w:cs="Calibri" w:eastAsia="Calibri" w:hAnsi="Calibri"/>
          <w:b/>
          <w:bCs/>
          <w:sz w:val="21"/>
          <w:szCs w:val="21"/>
        </w:rPr>
        <w:t xml:space="preserve">Lead with fraud and payables.</w:t>
      </w:r>
      <w:r>
        <w:rPr>
          <w:rFonts w:ascii="Calibri" w:cs="Calibri" w:eastAsia="Calibri" w:hAnsi="Calibri"/>
          <w:sz w:val="21"/>
          <w:szCs w:val="21"/>
        </w:rPr>
        <w:t xml:space="preserve"> The need is the best-evidenced thing in the research: 76% of organisations saw payments fraud in 2025, 74% saw business email compromise, and the FBI counted $3.05B of BEC losses. J.P. Morgan already sells an AI confidence score as a chargeable add-on. Validation at vendor set-up inside Bill Manager, scored and priced, is the first product. [S, P, BR]</w:t>
      </w:r>
    </w:p>
    <w:p>
      <w:pPr>
        <w:pStyle w:val="ListParagraph"/>
        <w:numPr>
          <w:ilvl w:val="0"/>
          <w:numId w:val="2"/>
        </w:numPr>
        <w:spacing w:after="80" w:line="268"/>
      </w:pPr>
      <w:r>
        <w:rPr>
          <w:rFonts w:ascii="Calibri" w:cs="Calibri" w:eastAsia="Calibri" w:hAnsi="Calibri"/>
          <w:b/>
          <w:bCs/>
          <w:sz w:val="21"/>
          <w:szCs w:val="21"/>
        </w:rPr>
        <w:t xml:space="preserve">Make Vantage the gate, because the ERP agents stop at drafts.</w:t>
      </w:r>
      <w:r>
        <w:rPr>
          <w:rFonts w:ascii="Calibri" w:cs="Calibri" w:eastAsia="Calibri" w:hAnsi="Calibri"/>
          <w:sz w:val="21"/>
          <w:szCs w:val="21"/>
        </w:rPr>
        <w:t xml:space="preserve"> Microsoft describes the Business Central Payables Agent as preparing invoices "for human approval"; an independent tester found its total-amount safeguard off by default and the agent stopping mid-batch when its AI quota ran out. The bank-side release step is where policy, beneficiary checks and anomaly flags belong. The constraint: Bill Manager runs on Bill.com Connect, so the gate may need to sit in Vantage rather than inside Bill Manager. [V, (secondary), SYN]</w:t>
      </w:r>
    </w:p>
    <w:p>
      <w:pPr>
        <w:pStyle w:val="ListParagraph"/>
        <w:numPr>
          <w:ilvl w:val="0"/>
          <w:numId w:val="2"/>
        </w:numPr>
        <w:spacing w:after="80" w:line="268"/>
      </w:pPr>
      <w:r>
        <w:rPr>
          <w:rFonts w:ascii="Calibri" w:cs="Calibri" w:eastAsia="Calibri" w:hAnsi="Calibri"/>
          <w:b/>
          <w:bCs/>
          <w:sz w:val="21"/>
          <w:szCs w:val="21"/>
        </w:rPr>
        <w:t xml:space="preserve">Level 3 enrichment is a now item with a date attached.</w:t>
      </w:r>
      <w:r>
        <w:rPr>
          <w:rFonts w:ascii="Calibri" w:cs="Calibri" w:eastAsia="Calibri" w:hAnsi="Calibri"/>
          <w:sz w:val="21"/>
          <w:szCs w:val="21"/>
        </w:rPr>
        <w:t xml:space="preserve"> Visa phased out Level 2 interchange on 17 April 2026 except for commercial fuel, so on Visa commercial cards only Level 3 data earns the lower rate; a secondary summary of the April 2026 schedule puts Commercial Product 3 at 1.75% + $0.10 against 2.70% + $0.10 card-not-present (verify against Visa's schedule). Clover already supports Level 2 and 3; the AI job is filling line-item data accurately enough to qualify. [S (secondary), BR]</w:t>
      </w:r>
    </w:p>
    <w:p>
      <w:pPr>
        <w:pStyle w:val="ListParagraph"/>
        <w:numPr>
          <w:ilvl w:val="0"/>
          <w:numId w:val="2"/>
        </w:numPr>
        <w:spacing w:after="80" w:line="268"/>
      </w:pPr>
      <w:r>
        <w:rPr>
          <w:rFonts w:ascii="Calibri" w:cs="Calibri" w:eastAsia="Calibri" w:hAnsi="Calibri"/>
          <w:b/>
          <w:bCs/>
          <w:sz w:val="21"/>
          <w:szCs w:val="21"/>
        </w:rPr>
        <w:t xml:space="preserve">Minibox is a bridge, not a destination.</w:t>
      </w:r>
      <w:r>
        <w:rPr>
          <w:rFonts w:ascii="Calibri" w:cs="Calibri" w:eastAsia="Calibri" w:hAnsi="Calibri"/>
          <w:sz w:val="21"/>
          <w:szCs w:val="21"/>
        </w:rPr>
        <w:t xml:space="preserve"> 87% of organisations still use checks and 72% of check users plan to continue indefinitely, so conversion will be partial, and no published campaign success rate exists. Pair the low-volume lockbox with a conversion agent and measure conversion per payer. [S]</w:t>
      </w:r>
    </w:p>
    <w:p>
      <w:pPr>
        <w:pStyle w:val="ListParagraph"/>
        <w:numPr>
          <w:ilvl w:val="0"/>
          <w:numId w:val="2"/>
        </w:numPr>
        <w:spacing w:after="80" w:line="268"/>
      </w:pPr>
      <w:r>
        <w:rPr>
          <w:rFonts w:ascii="Calibri" w:cs="Calibri" w:eastAsia="Calibri" w:hAnsi="Calibri"/>
          <w:b/>
          <w:bCs/>
          <w:sz w:val="21"/>
          <w:szCs w:val="21"/>
        </w:rPr>
        <w:t xml:space="preserve">Sweeps: the rate decides, the AI assists.</w:t>
      </w:r>
      <w:r>
        <w:rPr>
          <w:rFonts w:ascii="Calibri" w:cs="Calibri" w:eastAsia="Calibri" w:hAnsi="Calibri"/>
          <w:sz w:val="21"/>
          <w:szCs w:val="21"/>
        </w:rPr>
        <w:t xml:space="preserve"> No bank publicly lets AI set sweep thresholds; U.S. Bank pairs AI forecasting with ZBA sweeps and leaves the targets to the client. The deposit leakage "Preferred sweeps" is meant to stop goes to money-market yields at Mercury (up to 4.05%) and Brex (up to 3.70%), so the on-balance-sheet rate matters more than the forecast. Outcome pricing has no precedent and carries conduct risk. [BR, V, SYN]</w:t>
      </w:r>
    </w:p>
    <w:p>
      <w:pPr>
        <w:pStyle w:val="ListParagraph"/>
        <w:numPr>
          <w:ilvl w:val="0"/>
          <w:numId w:val="2"/>
        </w:numPr>
        <w:spacing w:after="80" w:line="268"/>
      </w:pPr>
      <w:r>
        <w:rPr>
          <w:rFonts w:ascii="Calibri" w:cs="Calibri" w:eastAsia="Calibri" w:hAnsi="Calibri"/>
          <w:b/>
          <w:bCs/>
          <w:sz w:val="21"/>
          <w:szCs w:val="21"/>
        </w:rPr>
        <w:t xml:space="preserve">Agent access needs contract design before technology.</w:t>
      </w:r>
      <w:r>
        <w:rPr>
          <w:rFonts w:ascii="Calibri" w:cs="Calibri" w:eastAsia="Calibri" w:hAnsi="Calibri"/>
          <w:sz w:val="21"/>
          <w:szCs w:val="21"/>
        </w:rPr>
        <w:t xml:space="preserve"> Wells Fargo's September 2026 Vantage terms prohibit access "by or for the benefit of any third parties" and service-bureau use. Exposing payables, validation or sweep tools to a client's own agents, as the idea brief proposes, is a terms change as much as an API. No large US bank does it yet; Grasshopper (August 2025), Mercury, Nymbus and Meow do. [P, BR]</w:t>
      </w:r>
    </w:p>
    <w:p>
      <w:pPr>
        <w:pStyle w:val="Heading1"/>
        <w:keepNext/>
      </w:pPr>
      <w:r>
        <w:rPr>
          <w:rFonts w:ascii="Trebuchet MS" w:cs="Trebuchet MS" w:eastAsia="Trebuchet MS" w:hAnsi="Trebuchet MS"/>
        </w:rPr>
        <w:t xml:space="preserve">2  Wells Fargo's public baseline</w:t>
      </w:r>
    </w:p>
    <w:p>
      <w:pPr>
        <w:spacing w:after="120" w:line="276"/>
      </w:pPr>
      <w:r>
        <w:rPr>
          <w:rFonts w:ascii="Calibri" w:cs="Calibri" w:eastAsia="Calibri" w:hAnsi="Calibri"/>
          <w:sz w:val="21"/>
          <w:szCs w:val="21"/>
        </w:rPr>
        <w:t xml:space="preserve">Everything in this table is from Wells Fargo's own pages and documents or from launch coverage; two treasury pages (Stagecoach Sweep, electronic receivables) could be read only as search snippets. Internal names are mapped to the public product where 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600"/>
        <w:gridCol w:w="3200"/>
        <w:gridCol w:w="1100"/>
        <w:gridCol w:w="1310"/>
        <w:gridCol w:w="800"/>
      </w:tblGrid>
      <w:tr>
        <w:trPr>
          <w:cantSplit/>
          <w:tblHeader/>
        </w:trPr>
        <w:tc>
          <w:tcPr>
            <w:tcW w:type="dxa" w:w="135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Priority (internal name)</w:t>
            </w:r>
          </w:p>
        </w:tc>
        <w:tc>
          <w:tcPr>
            <w:tcW w:type="dxa" w:w="16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Public product</w:t>
            </w:r>
          </w:p>
        </w:tc>
        <w:tc>
          <w:tcPr>
            <w:tcW w:type="dxa" w:w="3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is described</w:t>
            </w:r>
          </w:p>
        </w:tc>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described?</w:t>
            </w:r>
          </w:p>
        </w:tc>
        <w:tc>
          <w:tcPr>
            <w:tcW w:type="dxa" w:w="131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Pricing</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13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Payables ("Magnitude card")</w:t>
            </w:r>
          </w:p>
        </w:tc>
        <w:tc>
          <w:tcPr>
            <w:tcW w:type="dxa" w:w="16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WellsOne Commercial Card; WellsOne Expense Manager on Vantage; virtual cards</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Purchasing, travel and virtual card uses; cardholder coding, "Quick Coding", expense templates, spend wizards, cash expenses, receipt capture in the mobile app (QRG April 2026). Brochure claims "$182,000 average value … for every $1 million in spending converted to commercial cards", resting on a 2014 RPMG survey. iOS app rated 2.3 on 111 ratings</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Not published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BR, P</w:t>
            </w:r>
          </w:p>
        </w:tc>
      </w:tr>
      <w:tr>
        <w:trPr>
          <w:cantSplit w:val="false"/>
        </w:trPr>
        <w:tc>
          <w:tcPr>
            <w:tcW w:type="dxa" w:w="135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Payables ("Bill Manager")</w:t>
            </w:r>
          </w:p>
        </w:tc>
        <w:tc>
          <w:tcPr>
            <w:tcW w:type="dxa" w:w="16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Bill Manager, powered by Bill.com Connect (launched 9 Dec 2020); Consolidated payables; instant payments</w:t>
            </w:r>
          </w:p>
        </w:tc>
        <w:tc>
          <w:tcPr>
            <w:tcW w:type="dxa" w:w="3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Captures paper bills electronically, approval workflows, mobile approval, document storage; e-invoices and reminders on the receivables side; "seamlessly syncs with QuickBooks, Xero, NetSuite, and Intacct"; Consolidated payables takes one mixed-type file from the ERP with approval in Vantage; API "intelligent routing" across RTP and FedNow</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2020 coverage cited an "Intelligent Virtual Assistant" for invoice data capture; nothing current</w:t>
            </w:r>
          </w:p>
        </w:tc>
        <w:tc>
          <w:tcPr>
            <w:tcW w:type="dxa" w:w="131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Not published</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BR, (secondary)</w:t>
            </w:r>
          </w:p>
        </w:tc>
      </w:tr>
      <w:tr>
        <w:trPr>
          <w:cantSplit w:val="false"/>
        </w:trPr>
        <w:tc>
          <w:tcPr>
            <w:tcW w:type="dxa" w:w="13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Receivables (Merchant services)</w:t>
            </w:r>
          </w:p>
        </w:tc>
        <w:tc>
          <w:tcPr>
            <w:tcW w:type="dxa" w:w="16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Commercial Merchant Services for $25M+ clients: Virtual Card Automation, Payment Gateway, E-Bill Express, Clover</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Virtual Card Automation routes virtual-card emails from all issuers to a "digital lockbox" with ERP remittance files; Payment Gateway offers cards, wallets, ACH, "secure payment links, QR codes, and embedded website checkout", 3DS, tokenisation, Account Updater, recurring and instalment payments; E-Bill Express is hosted presentment and payment with a daily AR file or API (PCI through FIS); Clover has "Level 2 and Level 3 processing capabilities" and P2PE; cost control "with the right mix of surcharging or service fees"</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Yes, in one place: "AI-driven fraud and risk tools with configurable rules" in the Payment Gateway</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Small-business Clover published (e.g. $9.95 a month per location; Clover Compact $349); commercial not published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BR</w:t>
            </w:r>
          </w:p>
        </w:tc>
      </w:tr>
      <w:tr>
        <w:trPr>
          <w:cantSplit w:val="false"/>
        </w:trPr>
        <w:tc>
          <w:tcPr>
            <w:tcW w:type="dxa" w:w="135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Receivables (Lockbox, "minibox")</w:t>
            </w:r>
          </w:p>
        </w:tc>
        <w:tc>
          <w:tcPr>
            <w:tcW w:type="dxa" w:w="16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Wholesale Lockbox, Retail Image Lockbox, Electronic lockbox, Receivables Manager, Integrated and consolidated receivables</w:t>
            </w:r>
          </w:p>
        </w:tc>
        <w:tc>
          <w:tcPr>
            <w:tcW w:type="dxa" w:w="3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Lockbox since 1948 with 18 "wholetail" sites (2014 RFP); Electronic lockbox consolidates bill-pay network payments; Receivables Manager consolidates ACH, internet bill payment, lockbox and electronic deposit into one file; Integrated receivables: "Send us a file of your open invoices; we reassociate with remittance detail before sending a cash application file back to your ERP"</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 ("fully automated")</w:t>
            </w:r>
          </w:p>
        </w:tc>
        <w:tc>
          <w:tcPr>
            <w:tcW w:type="dxa" w:w="131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One client's negotiated public-sector prices (City of Banning, Jan 2023): wholetail base $90.00, $0.275 per coupon, lockbox transmission base $100.00, wholesale deposited check $0.10, E-Box maintenance $100.00 a month</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 (older), BR</w:t>
            </w:r>
          </w:p>
        </w:tc>
      </w:tr>
      <w:tr>
        <w:trPr>
          <w:cantSplit w:val="false"/>
        </w:trPr>
        <w:tc>
          <w:tcPr>
            <w:tcW w:type="dxa" w:w="13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Fraud (Account validation)</w:t>
            </w:r>
          </w:p>
        </w:tc>
        <w:tc>
          <w:tcPr>
            <w:tcW w:type="dxa" w:w="16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"Account validation services"; Fraud Manager; Business Essentials bundle</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"Reduce transaction fraud with real-time account ownership and account status screening functionality"; Fraud Manager: ACH Fraud Filter (pay or return decisions, converted-check monitoring), Positive pay with payee validation, Payment Authorization (check-cashing limits), Perfect Receivables (proxy account numbers for incoming ACH and wires); Business Essentials bundles ACH fraud filter, positive pay, payment authorization and payee validation</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 data source (e.g. Early Warning) not named</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Not published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w:t>
            </w:r>
          </w:p>
        </w:tc>
      </w:tr>
      <w:tr>
        <w:trPr>
          <w:cantSplit w:val="false"/>
        </w:trPr>
        <w:tc>
          <w:tcPr>
            <w:tcW w:type="dxa" w:w="135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Liquidity ("Preferred sweeps")</w:t>
            </w:r>
          </w:p>
        </w:tc>
        <w:tc>
          <w:tcPr>
            <w:tcW w:type="dxa" w:w="16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Stagecoach Sweep; ZBA and target-balance structures; tokenised deposits</w:t>
            </w:r>
          </w:p>
        </w:tc>
        <w:tc>
          <w:tcPr>
            <w:tcW w:type="dxa" w:w="3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"Each day, after daily transaction obligations are met, Wells Fargo calculates your available funds and automatically transfers them into the sweep option you designate. You determine your target balances"; vehicles and any on-balance-sheet option not listed in the snippet; tokenised deposits announced 4 Aug 2026 to "move, program, and settle funds 24/7/365", live September 2026 for select clients on USD–GBP transactions, broader rollout "throughout 2027"</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No</w:t>
            </w:r>
          </w:p>
        </w:tc>
        <w:tc>
          <w:tcPr>
            <w:tcW w:type="dxa" w:w="131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ECR versus interest treatment not published</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P (snippet), BR</w:t>
            </w:r>
          </w:p>
        </w:tc>
      </w:tr>
      <w:tr>
        <w:trPr>
          <w:cantSplit w:val="false"/>
        </w:trPr>
        <w:tc>
          <w:tcPr>
            <w:tcW w:type="dxa" w:w="135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Platform</w:t>
            </w:r>
          </w:p>
        </w:tc>
        <w:tc>
          <w:tcPr>
            <w:tcW w:type="dxa" w:w="16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Vantage; Vantage Connect; Wells Fargo Gateway APIs</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Vantage launched December 2022 with AI-driven "recommendations and next steps"; 2026 page cites "AI, ML" and a client testimonial ("It takes me 30% less time"); Vantage Connect embedded-finance solution with "25+ new or significantly enhanced APIs" in 2023; the well-documented AI assistant, Fargo, is a consumer product; September 2026 Vantage terms allow that chat "may include interaction with a bot, chatbot, virtual assistant" and prohibit third-party and service-bureau access</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General terms only</w:t>
            </w:r>
          </w:p>
        </w:tc>
        <w:tc>
          <w:tcPr>
            <w:tcW w:type="dxa" w:w="131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Vantage: "additional fees may apply"</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BR, P</w:t>
            </w:r>
          </w:p>
        </w:tc>
      </w:tr>
    </w:tbl>
    <w:p>
      <w:pPr>
        <w:spacing w:after="80"/>
      </w:pPr>
    </w:p>
    <w:p>
      <w:pPr>
        <w:spacing w:after="120" w:line="276"/>
      </w:pPr>
      <w:r>
        <w:rPr>
          <w:rFonts w:ascii="Calibri" w:cs="Calibri" w:eastAsia="Calibri" w:hAnsi="Calibri"/>
          <w:b/>
          <w:bCs/>
          <w:sz w:val="21"/>
          <w:szCs w:val="21"/>
        </w:rPr>
        <w:t xml:space="preserve">Reading across [SYN]:</w:t>
      </w:r>
      <w:r>
        <w:rPr>
          <w:rFonts w:ascii="Calibri" w:cs="Calibri" w:eastAsia="Calibri" w:hAnsi="Calibri"/>
          <w:sz w:val="21"/>
          <w:szCs w:val="21"/>
        </w:rPr>
        <w:t xml:space="preserve"> the products exist, the AI does not, and two structural facts shape what can be built. Bill Manager is BILL's technology, so any gate or scoring inside it depends on Bill.com Connect. And the Vantage terms, as written, forbid the third-party access that a client's own AI agent would need.</w:t>
      </w:r>
    </w:p>
    <w:p>
      <w:pPr>
        <w:pStyle w:val="Heading1"/>
        <w:keepNext/>
      </w:pPr>
      <w:r>
        <w:rPr>
          <w:rFonts w:ascii="Trebuchet MS" w:cs="Trebuchet MS" w:eastAsia="Trebuchet MS" w:hAnsi="Trebuchet MS"/>
        </w:rPr>
        <w:t xml:space="preserve">3  Payables: commercial card ("Magnitude")</w:t>
      </w:r>
    </w:p>
    <w:p>
      <w:pPr>
        <w:pStyle w:val="Heading2"/>
        <w:keepNext/>
      </w:pPr>
      <w:r>
        <w:rPr>
          <w:rFonts w:ascii="Trebuchet MS" w:cs="Trebuchet MS" w:eastAsia="Trebuchet MS" w:hAnsi="Trebuchet MS"/>
        </w:rPr>
        <w:t xml:space="preserve">3.1 The ideas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060"/>
        <w:gridCol w:w="8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idea</w:t>
            </w:r>
          </w:p>
        </w:tc>
        <w:tc>
          <w:tcPr>
            <w:tcW w:type="dxa" w:w="1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Verdict</w:t>
            </w:r>
          </w:p>
        </w:tc>
        <w:tc>
          <w:tcPr>
            <w:tcW w:type="dxa" w:w="50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Evidence</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Expense policy written in natural language and enforced as controls</w:t>
            </w:r>
          </w:p>
        </w:tc>
        <w:tc>
          <w:tcPr>
            <w:tcW w:type="dxa" w:w="1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50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Ramp's Policy Agent "reads your expense policy, evaluates every card transaction and reimbursement, and recommends approval, rejection, or escalation". The live pattern is policy text driving review recommendations; hard authorisation controls are still structured rules (merchant category, caps). Build it as policy text generating rule configuration, plus post-transaction review</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Per-cardholder anomaly detection</w:t>
            </w:r>
          </w:p>
        </w:tc>
        <w:tc>
          <w:tcPr>
            <w:tcW w:type="dxa" w:w="1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50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Common in spend-platform marketing, but no 2025–2026 product or accuracy figure was found; bank card features at J.P. Morgan, Bank of America, U.S. Bank, Citi, Capital One and American Express were not examined</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Receipt capture and GL coding into the ERP</w:t>
            </w:r>
          </w:p>
        </w:tc>
        <w:tc>
          <w:tcPr>
            <w:tcW w:type="dxa" w:w="1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(table stakes)</w:t>
            </w:r>
          </w:p>
        </w:tc>
        <w:tc>
          <w:tcPr>
            <w:tcW w:type="dxa" w:w="50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WellsOne Expense Manager already captures receipts and codes transactions; the AI step is suggesting the codes, which Ramp and others market widely. No independent accuracy figure found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V</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Agent-issued single-use virtual cards within a mandate</w:t>
            </w:r>
          </w:p>
        </w:tc>
        <w:tc>
          <w:tcPr>
            <w:tcW w:type="dxa" w:w="1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(early stage)</w:t>
            </w:r>
          </w:p>
        </w:tc>
        <w:tc>
          <w:tcPr>
            <w:tcW w:type="dxa" w:w="50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Ramp Agent Cards (11 March 2026, early access): "a tokenized virtual card with its own spending limit tied to a specific agent and task", on Visa Intelligent Commerce, with merchant controls and approval workflows, via API, CLI and MCP. Mastercard and Santander ran Europe's first live end-to-end agent payment on Agent Pay (2 March 2026) "in a controlled environment", explicitly not a commercial rollout. No adoption figures anywhere</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 BR (secondary)</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Agents proposing card issuance and limit changes for admin approval</w:t>
            </w:r>
          </w:p>
        </w:tc>
        <w:tc>
          <w:tcPr>
            <w:tcW w:type="dxa" w:w="1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50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Ramp lets agents request credentials that policy approves automatically; no published example of an agent proposing structural limit changes to a human administrator. Build it as a governed request workflow</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 SYN</w:t>
            </w:r>
          </w:p>
        </w:tc>
      </w:tr>
    </w:tbl>
    <w:p>
      <w:pPr>
        <w:pStyle w:val="Heading2"/>
        <w:keepNext/>
      </w:pPr>
      <w:r>
        <w:rPr>
          <w:rFonts w:ascii="Trebuchet MS" w:cs="Trebuchet MS" w:eastAsia="Trebuchet MS" w:hAnsi="Trebuchet MS"/>
        </w:rPr>
        <w:t xml:space="preserve">3.2 Market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Ramp Agent Cards (vendor; launched 11 March 2026; early access)</w:t>
            </w:r>
          </w:p>
          <w:p>
            <w:pPr>
              <w:spacing w:after="60" w:line="268"/>
            </w:pPr>
            <w:r>
              <w:rPr>
                <w:rFonts w:ascii="Calibri" w:cs="Calibri" w:eastAsia="Calibri" w:hAnsi="Calibri"/>
                <w:sz w:val="20"/>
                <w:szCs w:val="20"/>
              </w:rPr>
              <w:t xml:space="preserve">Each credential is a tokenised Visa virtual card issued per transaction to a named agent for a named task, with its own spending limit, merchant controls and approval workflow, built on Visa Intelligent Commerce and reachable through Ramp's API, CLI and MCP server. It is aimed at Ramp's corporate customers. Pricing and adoption are not published. The bank-relevant point is the control model: policy is enforced before authorisation, the agent never holds a reusable card number, and every purchase is attributable to one agent and one task. [V]</w:t>
            </w:r>
          </w:p>
        </w:tc>
      </w:tr>
    </w:tbl>
    <w:p>
      <w:pPr>
        <w:spacing w:after="80"/>
      </w:pPr>
    </w:p>
    <w:p>
      <w:pPr>
        <w:pStyle w:val="Heading2"/>
        <w:keepNext/>
      </w:pPr>
      <w:r>
        <w:rPr>
          <w:rFonts w:ascii="Trebuchet MS" w:cs="Trebuchet MS" w:eastAsia="Trebuchet MS" w:hAnsi="Trebuchet MS"/>
        </w:rPr>
        <w:t xml:space="preserve">3.3 Worked example [ILL]</w:t>
      </w:r>
    </w:p>
    <w:p>
      <w:pPr>
        <w:spacing w:after="120" w:line="276"/>
      </w:pPr>
      <w:r>
        <w:rPr>
          <w:rFonts w:ascii="Calibri" w:cs="Calibri" w:eastAsia="Calibri" w:hAnsi="Calibri"/>
          <w:b/>
          <w:bCs/>
          <w:sz w:val="21"/>
          <w:szCs w:val="21"/>
        </w:rPr>
        <w:t xml:space="preserve">Client:</w:t>
      </w:r>
      <w:r>
        <w:rPr>
          <w:rFonts w:ascii="Calibri" w:cs="Calibri" w:eastAsia="Calibri" w:hAnsi="Calibri"/>
          <w:sz w:val="21"/>
          <w:szCs w:val="21"/>
        </w:rPr>
        <w:t xml:space="preserve"> a fictional $140M building-products distributor with six branches on NetSuite, a controller, three AP and AR staff, 120 WellsOne cardholders and about $6M a year of card spend. Assumptions throughout; nothing here is a finding.</w:t>
      </w:r>
    </w:p>
    <w:p>
      <w:pPr>
        <w:pStyle w:val="ListParagraph"/>
        <w:numPr>
          <w:ilvl w:val="0"/>
          <w:numId w:val="3"/>
        </w:numPr>
        <w:spacing w:after="80" w:line="268"/>
      </w:pPr>
      <w:r>
        <w:rPr>
          <w:rFonts w:ascii="Calibri" w:cs="Calibri" w:eastAsia="Calibri" w:hAnsi="Calibri"/>
          <w:b/>
          <w:bCs/>
          <w:sz w:val="21"/>
          <w:szCs w:val="21"/>
        </w:rPr>
        <w:t xml:space="preserve">Policy to rules.</w:t>
      </w:r>
      <w:r>
        <w:rPr>
          <w:rFonts w:ascii="Calibri" w:cs="Calibri" w:eastAsia="Calibri" w:hAnsi="Calibri"/>
          <w:sz w:val="21"/>
          <w:szCs w:val="21"/>
        </w:rPr>
        <w:t xml:space="preserve"> The controller pastes the 14-page travel and purchasing policy into Vantage. The assistant proposes a rule set: branch managers $5,000 a month, field staff $1,500, fuel and hardware merchant categories allowed, airfare and hotels only on the travel card, no cash advances. The controller edits two lines and approves. The rules are applied as structured controls on the card platform; the policy text stays attached for the review step. (Modified: policy-to-rules plus review, not free-text authorisation.)</w:t>
      </w:r>
    </w:p>
    <w:p>
      <w:pPr>
        <w:pStyle w:val="ListParagraph"/>
        <w:numPr>
          <w:ilvl w:val="0"/>
          <w:numId w:val="3"/>
        </w:numPr>
        <w:spacing w:after="80" w:line="268"/>
      </w:pPr>
      <w:r>
        <w:rPr>
          <w:rFonts w:ascii="Calibri" w:cs="Calibri" w:eastAsia="Calibri" w:hAnsi="Calibri"/>
          <w:b/>
          <w:bCs/>
          <w:sz w:val="21"/>
          <w:szCs w:val="21"/>
        </w:rPr>
        <w:t xml:space="preserve">Coding.</w:t>
      </w:r>
      <w:r>
        <w:rPr>
          <w:rFonts w:ascii="Calibri" w:cs="Calibri" w:eastAsia="Calibri" w:hAnsi="Calibri"/>
          <w:sz w:val="21"/>
          <w:szCs w:val="21"/>
        </w:rPr>
        <w:t xml:space="preserve"> A branch manager buys $840 of fasteners at a hardware merchant. Expense Manager captures the receipt; the assistant suggests the GL account and the job cost code from the branch's open projects in NetSuite, matching how the manager coded the last eleven similar purchases. He confirms with one tap. (Confirmed: coding exists today; AI suggestion is the increment.)</w:t>
      </w:r>
    </w:p>
    <w:p>
      <w:pPr>
        <w:pStyle w:val="ListParagraph"/>
        <w:numPr>
          <w:ilvl w:val="0"/>
          <w:numId w:val="3"/>
        </w:numPr>
        <w:spacing w:after="80" w:line="268"/>
      </w:pPr>
      <w:r>
        <w:rPr>
          <w:rFonts w:ascii="Calibri" w:cs="Calibri" w:eastAsia="Calibri" w:hAnsi="Calibri"/>
          <w:b/>
          <w:bCs/>
          <w:sz w:val="21"/>
          <w:szCs w:val="21"/>
        </w:rPr>
        <w:t xml:space="preserve">Review.</w:t>
      </w:r>
      <w:r>
        <w:rPr>
          <w:rFonts w:ascii="Calibri" w:cs="Calibri" w:eastAsia="Calibri" w:hAnsi="Calibri"/>
          <w:sz w:val="21"/>
          <w:szCs w:val="21"/>
        </w:rPr>
        <w:t xml:space="preserve"> Overnight the policy agent flags three of 310 transactions against the policy text: a $1,900 hotel on a purchasing card (wrong card), a Sunday fuel purchase 200 miles from any branch, and a duplicate-looking $320 charge. The controller sees the three, not the 310. (Anomaly detection is Unproven; the policy review is Modified.)</w:t>
      </w:r>
    </w:p>
    <w:p>
      <w:pPr>
        <w:pStyle w:val="ListParagraph"/>
        <w:numPr>
          <w:ilvl w:val="0"/>
          <w:numId w:val="3"/>
        </w:numPr>
        <w:spacing w:after="80" w:line="268"/>
      </w:pPr>
      <w:r>
        <w:rPr>
          <w:rFonts w:ascii="Calibri" w:cs="Calibri" w:eastAsia="Calibri" w:hAnsi="Calibri"/>
          <w:b/>
          <w:bCs/>
          <w:sz w:val="21"/>
          <w:szCs w:val="21"/>
        </w:rPr>
        <w:t xml:space="preserve">Agent card.</w:t>
      </w:r>
      <w:r>
        <w:rPr>
          <w:rFonts w:ascii="Calibri" w:cs="Calibri" w:eastAsia="Calibri" w:hAnsi="Calibri"/>
          <w:sz w:val="21"/>
          <w:szCs w:val="21"/>
        </w:rPr>
        <w:t xml:space="preserve"> The distributor runs a procurement agent in NetSuite that reorders MRO supplies under $2,000 from six approved vendors. The controller registers it in Vantage with a mandate: those six vendors, $2,000 per order, $15,000 a month, 90 days. For each order the agent receives a single-use virtual card bound to that order; a seventh vendor or a $2,400 order fails authorisation and lands in the controller's queue. (Confirmed early stage; the mandate registry is the one from the idea brief.)</w:t>
      </w:r>
    </w:p>
    <w:p>
      <w:pPr>
        <w:spacing w:after="120" w:line="276"/>
      </w:pPr>
      <w:r>
        <w:rPr>
          <w:rFonts w:ascii="Calibri" w:cs="Calibri" w:eastAsia="Calibri" w:hAnsi="Calibri"/>
          <w:b/>
          <w:bCs/>
          <w:sz w:val="21"/>
          <w:szCs w:val="21"/>
        </w:rPr>
        <w:t xml:space="preserve">Where the value lands:</w:t>
      </w:r>
      <w:r>
        <w:rPr>
          <w:rFonts w:ascii="Calibri" w:cs="Calibri" w:eastAsia="Calibri" w:hAnsi="Calibri"/>
          <w:sz w:val="21"/>
          <w:szCs w:val="21"/>
        </w:rPr>
        <w:t xml:space="preserve"> controller time on review and coding; policy compliance; the agent-card spend stays on the Wells card instead of moving to Ramp or Brex. </w:t>
      </w:r>
      <w:r>
        <w:rPr>
          <w:rFonts w:ascii="Calibri" w:cs="Calibri" w:eastAsia="Calibri" w:hAnsi="Calibri"/>
          <w:b/>
          <w:bCs/>
          <w:sz w:val="21"/>
          <w:szCs w:val="21"/>
        </w:rPr>
        <w:t xml:space="preserve">Dependencies:</w:t>
      </w:r>
      <w:r>
        <w:rPr>
          <w:rFonts w:ascii="Calibri" w:cs="Calibri" w:eastAsia="Calibri" w:hAnsi="Calibri"/>
          <w:sz w:val="21"/>
          <w:szCs w:val="21"/>
        </w:rPr>
        <w:t xml:space="preserve"> the NetSuite connector for job codes and open projects; a card platform that accepts rule configuration from Vantage; the mandate registry. </w:t>
      </w:r>
      <w:r>
        <w:rPr>
          <w:rFonts w:ascii="Calibri" w:cs="Calibri" w:eastAsia="Calibri" w:hAnsi="Calibri"/>
          <w:b/>
          <w:bCs/>
          <w:sz w:val="21"/>
          <w:szCs w:val="21"/>
        </w:rPr>
        <w:t xml:space="preserve">Honest limit:</w:t>
      </w:r>
      <w:r>
        <w:rPr>
          <w:rFonts w:ascii="Calibri" w:cs="Calibri" w:eastAsia="Calibri" w:hAnsi="Calibri"/>
          <w:sz w:val="21"/>
          <w:szCs w:val="21"/>
        </w:rPr>
        <w:t xml:space="preserve"> Ramp already does the first three steps, so parity is the bar, and the WellsOne Expense Manager app's 2.3 rating says the foundation needs work before AI is added to it. [SYN]</w:t>
      </w:r>
    </w:p>
    <w:p>
      <w:pPr>
        <w:pStyle w:val="Heading1"/>
        <w:keepNext/>
      </w:pPr>
      <w:r>
        <w:rPr>
          <w:rFonts w:ascii="Trebuchet MS" w:cs="Trebuchet MS" w:eastAsia="Trebuchet MS" w:hAnsi="Trebuchet MS"/>
        </w:rPr>
        <w:t xml:space="preserve">4  Payables: Bill Manager</w:t>
      </w:r>
    </w:p>
    <w:p>
      <w:pPr>
        <w:pStyle w:val="Heading2"/>
        <w:keepNext/>
      </w:pPr>
      <w:r>
        <w:rPr>
          <w:rFonts w:ascii="Trebuchet MS" w:cs="Trebuchet MS" w:eastAsia="Trebuchet MS" w:hAnsi="Trebuchet MS"/>
        </w:rPr>
        <w:t xml:space="preserve">4.1 The ideas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960"/>
        <w:gridCol w:w="8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idea</w:t>
            </w:r>
          </w:p>
        </w:tc>
        <w:tc>
          <w:tcPr>
            <w:tcW w:type="dxa" w:w="1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Verdict</w:t>
            </w:r>
          </w:p>
        </w:tc>
        <w:tc>
          <w:tcPr>
            <w:tcW w:type="dxa" w:w="49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Evidence</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AI invoice extraction and coding</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Business Central Payables Agent (GA April 2026 after a July 2025 preview) reads emailed PDF invoices, matches vendors and GL accounts and drafts purchase invoices; Ramp claims its AP Agent processes invoices "2.4x faster with 7x fewer clicks" (vendor claim); Bill Manager's 2020 launch cited an "Intelligent Virtual Assistant" for data capture. No independent extraction error rate found for any vendor</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 (secondary)</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Duplicate detection and three-way match</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(rolling out at ERP vendors)</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"Improved purchase order matching" in the Payables Agent GA in Business Central 29.0 (October 2026); duplicate prevention appears in Microsoft's Expense Agent roadmap</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Approval routing by policy</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(table stakes)</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 Bill Manager's workflow since 2020</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Payment-timing optimisation (discount versus cost of cash)</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logic is sound; C2FO, Taulia and Kyriba were not examined and no outcome data was found</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Payment-method optimisation (card, then ACH, check last)</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Wells already pitches card for rebate and DPO; its Virtual Card Automation pages say suppliers "expect their buyers to ask to pay by card more often over the next five years". Supplier acceptance is the binding constraint, so the optimiser must include an acceptance check. No conversion-rate data verified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SYN</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Beneficiary validation at invoice creation, not at release</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(strongly)</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J.P. Morgan positions Validation Services to "validate new payee details and identify errors at enrollment" and embeds Account Validation with the Account Confidence Score at recipient creation in its Embedded Payments API; AFP 2026's 74% BEC figure argues for moving controls earlier</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Bill Manager as the gate that scores and releases ERP-agent payment runs</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 (white space)</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ERP agents stop at drafts "for human approval" (Microsoft). An independent tester of Business Central 29.0 found the "Check Doc. Total Amounts" safeguard off by default in a new environment and the agent stopping mid-batch when its AI quota ran out. Both argue for a bank-side gate. NetSuite Next and Sage Intacct agent payment proposals were not verified. Structural constraint: Bill Manager is BILL's platform, so Wells controls the gate only as far as Bill.com Connect allows; Business Central is not among Bill Manager's listed syncs</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 (secondary), SYN</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Mandate-bounded auto-release for recurring low-value payments</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bank example; Ramp's agent-card mandate is the closest analogue but covers card purchases, not ACH releases</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bl>
    <w:p>
      <w:pPr>
        <w:pStyle w:val="Heading2"/>
        <w:keepNext/>
      </w:pPr>
      <w:r>
        <w:rPr>
          <w:rFonts w:ascii="Trebuchet MS" w:cs="Trebuchet MS" w:eastAsia="Trebuchet MS" w:hAnsi="Trebuchet MS"/>
        </w:rPr>
        <w:t xml:space="preserve">4.2 Market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Microsoft Dynamics 365 Business Central Payables Agent (vendor)</w:t>
            </w:r>
          </w:p>
          <w:p>
            <w:pPr>
              <w:spacing w:after="60" w:line="268"/>
            </w:pPr>
            <w:r>
              <w:rPr>
                <w:rFonts w:ascii="Calibri" w:cs="Calibri" w:eastAsia="Calibri" w:hAnsi="Calibri"/>
                <w:sz w:val="20"/>
                <w:szCs w:val="20"/>
              </w:rPr>
              <w:t xml:space="preserve">GA in April 2026 (2026 release wave 1) after a US, UK, Australia and New Zealand preview from July 2025. Reads vendor invoices arriving by email, matches vendor and GL accounts, drafts the purchase invoice and hands it to a person for approval. A free trial of 50 invoice uploads went GA in July 2026; a "Known Senders" email review policy on 7 August 2026; purchase-order matching in version 29.0 in October 2026. Online only; after the trial, use consumes Copilot credits whose price was not examined. An independent tester found the document-total safeguard off by default and no page showing credits consumed per invoice. [V, (secondary)]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J.P. Morgan Validation Services and Account Confidence Score (bank)</w:t>
            </w:r>
          </w:p>
          <w:p>
            <w:pPr>
              <w:spacing w:after="60" w:line="268"/>
            </w:pPr>
            <w:r>
              <w:rPr>
                <w:rFonts w:ascii="Calibri" w:cs="Calibri" w:eastAsia="Calibri" w:hAnsi="Calibri"/>
                <w:sz w:val="20"/>
                <w:szCs w:val="20"/>
              </w:rPr>
              <w:t xml:space="preserve">Validation routes a request across "multiple data sources until a positive/negative match is found" and covers US accounts, global accounts and micro-deposits over ACH and RTP. The Account Confidence Score, announced 14 May 2025, is "an AI and ML-powered proprietary fraud indicator risk score", built on "over 15 billion J.P. Morgan Payments transaction records", scored 0–1,000 with red (1–199), amber (200–599) and green (600–1,000) bands, and sold as "an optional, chargeable add-on" to Account Validation. It is applied at payee enrolment and at recipient creation in the Embedded Payments API. Price not published. [BR]</w:t>
            </w:r>
          </w:p>
        </w:tc>
      </w:tr>
    </w:tbl>
    <w:p>
      <w:pPr>
        <w:spacing w:after="80"/>
      </w:pPr>
    </w:p>
    <w:p>
      <w:pPr>
        <w:pStyle w:val="Heading2"/>
        <w:keepNext/>
      </w:pPr>
      <w:r>
        <w:rPr>
          <w:rFonts w:ascii="Trebuchet MS" w:cs="Trebuchet MS" w:eastAsia="Trebuchet MS" w:hAnsi="Trebuchet MS"/>
        </w:rPr>
        <w:t xml:space="preserve">4.3 Worked example [ILL]</w:t>
      </w:r>
    </w:p>
    <w:p>
      <w:pPr>
        <w:spacing w:after="120" w:line="276"/>
      </w:pPr>
      <w:r>
        <w:rPr>
          <w:rFonts w:ascii="Calibri" w:cs="Calibri" w:eastAsia="Calibri" w:hAnsi="Calibri"/>
          <w:b/>
          <w:bCs/>
          <w:sz w:val="21"/>
          <w:szCs w:val="21"/>
        </w:rPr>
        <w:t xml:space="preserve">Client:</w:t>
      </w:r>
      <w:r>
        <w:rPr>
          <w:rFonts w:ascii="Calibri" w:cs="Calibri" w:eastAsia="Calibri" w:hAnsi="Calibri"/>
          <w:sz w:val="21"/>
          <w:szCs w:val="21"/>
        </w:rPr>
        <w:t xml:space="preserve"> the same $140M distributor: 1,800 vendor invoices a month, about 60% arriving as emailed PDFs, roughly a third against purchase orders, $3M a year of purchases on 2/10 net 30 terms, a line of credit at 8%. Assumptions, not findings.</w:t>
      </w:r>
    </w:p>
    <w:p>
      <w:pPr>
        <w:pStyle w:val="ListParagraph"/>
        <w:numPr>
          <w:ilvl w:val="0"/>
          <w:numId w:val="4"/>
        </w:numPr>
        <w:spacing w:after="80" w:line="268"/>
      </w:pPr>
      <w:r>
        <w:rPr>
          <w:rFonts w:ascii="Calibri" w:cs="Calibri" w:eastAsia="Calibri" w:hAnsi="Calibri"/>
          <w:b/>
          <w:bCs/>
          <w:sz w:val="21"/>
          <w:szCs w:val="21"/>
        </w:rPr>
        <w:t xml:space="preserve">Capture and match.</w:t>
      </w:r>
      <w:r>
        <w:rPr>
          <w:rFonts w:ascii="Calibri" w:cs="Calibri" w:eastAsia="Calibri" w:hAnsi="Calibri"/>
          <w:sz w:val="21"/>
          <w:szCs w:val="21"/>
        </w:rPr>
        <w:t xml:space="preserve"> Invoices arrive in NetSuite (or, if the client were on Business Central, through the Payables Agent). Extraction drafts the invoice, matches the vendor, codes the lines and matches to the PO where one exists. Two of 85 invoices on a Tuesday fail the match: a quantity variance and a vendor with two near-identical invoice numbers. Those two go to AP staff; the other 83 move to approval routing. (Confirmed.)</w:t>
      </w:r>
    </w:p>
    <w:p>
      <w:pPr>
        <w:pStyle w:val="ListParagraph"/>
        <w:numPr>
          <w:ilvl w:val="0"/>
          <w:numId w:val="4"/>
        </w:numPr>
        <w:spacing w:after="80" w:line="268"/>
      </w:pPr>
      <w:r>
        <w:rPr>
          <w:rFonts w:ascii="Calibri" w:cs="Calibri" w:eastAsia="Calibri" w:hAnsi="Calibri"/>
          <w:b/>
          <w:bCs/>
          <w:sz w:val="21"/>
          <w:szCs w:val="21"/>
        </w:rPr>
        <w:t xml:space="preserve">Vendor set-up and change.</w:t>
      </w:r>
      <w:r>
        <w:rPr>
          <w:rFonts w:ascii="Calibri" w:cs="Calibri" w:eastAsia="Calibri" w:hAnsi="Calibri"/>
          <w:sz w:val="21"/>
          <w:szCs w:val="21"/>
        </w:rPr>
        <w:t xml:space="preserve"> A new vendor is created with bank details. Before the first payment is ever proposed, the account is validated and scored. A month later an email arrives changing an existing vendor's bank account; the change is scored, held, and a call-back goes to the phone number on file, not the one in the email. (Confirmed at creation; the call-back is Modified, see Section 7.)</w:t>
      </w:r>
    </w:p>
    <w:p>
      <w:pPr>
        <w:pStyle w:val="ListParagraph"/>
        <w:numPr>
          <w:ilvl w:val="0"/>
          <w:numId w:val="4"/>
        </w:numPr>
        <w:spacing w:after="80" w:line="268"/>
      </w:pPr>
      <w:r>
        <w:rPr>
          <w:rFonts w:ascii="Calibri" w:cs="Calibri" w:eastAsia="Calibri" w:hAnsi="Calibri"/>
          <w:b/>
          <w:bCs/>
          <w:sz w:val="21"/>
          <w:szCs w:val="21"/>
        </w:rPr>
        <w:t xml:space="preserve">Timing.</w:t>
      </w:r>
      <w:r>
        <w:rPr>
          <w:rFonts w:ascii="Calibri" w:cs="Calibri" w:eastAsia="Calibri" w:hAnsi="Calibri"/>
          <w:sz w:val="21"/>
          <w:szCs w:val="21"/>
        </w:rPr>
        <w:t xml:space="preserve"> The agent proposes Thursday's payment run: 140 payments, $1.9M. For the $3M of 2/10 net 30 purchases, it recommends taking the discount when the forecast shows the cash buffer intact: paying 20 days early at 8% costs about 0.44% of the invoice, against a 2% discount, so about 1.56% is kept, or about $47k a year if every discount were taken. It recommends paying the rest on the due date, not before. (Unproven: the arithmetic is sound; no bank or vendor outcome data exists.)</w:t>
      </w:r>
    </w:p>
    <w:p>
      <w:pPr>
        <w:pStyle w:val="ListParagraph"/>
        <w:numPr>
          <w:ilvl w:val="0"/>
          <w:numId w:val="4"/>
        </w:numPr>
        <w:spacing w:after="80" w:line="268"/>
      </w:pPr>
      <w:r>
        <w:rPr>
          <w:rFonts w:ascii="Calibri" w:cs="Calibri" w:eastAsia="Calibri" w:hAnsi="Calibri"/>
          <w:b/>
          <w:bCs/>
          <w:sz w:val="21"/>
          <w:szCs w:val="21"/>
        </w:rPr>
        <w:t xml:space="preserve">Method.</w:t>
      </w:r>
      <w:r>
        <w:rPr>
          <w:rFonts w:ascii="Calibri" w:cs="Calibri" w:eastAsia="Calibri" w:hAnsi="Calibri"/>
          <w:sz w:val="21"/>
          <w:szCs w:val="21"/>
        </w:rPr>
        <w:t xml:space="preserve"> For the 140 payments the agent proposes 38 by virtual card to vendors that accept card (rebate to the client, float to the vendor), 94 by ACH, 8 by check to vendors with no electronic details on file, and flags those 8 for conversion. (Modified: the acceptance check is the hard part.)</w:t>
      </w:r>
    </w:p>
    <w:p>
      <w:pPr>
        <w:pStyle w:val="ListParagraph"/>
        <w:numPr>
          <w:ilvl w:val="0"/>
          <w:numId w:val="4"/>
        </w:numPr>
        <w:spacing w:after="80" w:line="268"/>
      </w:pPr>
      <w:r>
        <w:rPr>
          <w:rFonts w:ascii="Calibri" w:cs="Calibri" w:eastAsia="Calibri" w:hAnsi="Calibri"/>
          <w:b/>
          <w:bCs/>
          <w:sz w:val="21"/>
          <w:szCs w:val="21"/>
        </w:rPr>
        <w:t xml:space="preserve">Release.</w:t>
      </w:r>
      <w:r>
        <w:rPr>
          <w:rFonts w:ascii="Calibri" w:cs="Calibri" w:eastAsia="Calibri" w:hAnsi="Calibri"/>
          <w:sz w:val="21"/>
          <w:szCs w:val="21"/>
        </w:rPr>
        <w:t xml:space="preserve"> The controller sees one screen in Vantage: the run, the three items the scoring flagged (one amber beneficiary, one amount 4x the vendor's average, one first payment to a new vendor), and the discount recommendation. She releases 137 payments with one approval under Dual Custody for the amounts above her threshold, and holds three. Rent, utilities and the payroll provider, under a mandate of named payees and fixed amounts, would release without her; that step has no precedent and stays off until the mandate engine exists. (The gate is Modified white space; auto-release is Unproven.)</w:t>
      </w:r>
    </w:p>
    <w:p>
      <w:pPr>
        <w:spacing w:after="120" w:line="276"/>
      </w:pPr>
      <w:r>
        <w:rPr>
          <w:rFonts w:ascii="Calibri" w:cs="Calibri" w:eastAsia="Calibri" w:hAnsi="Calibri"/>
          <w:b/>
          <w:bCs/>
          <w:sz w:val="21"/>
          <w:szCs w:val="21"/>
        </w:rPr>
        <w:t xml:space="preserve">Where the value lands:</w:t>
      </w:r>
      <w:r>
        <w:rPr>
          <w:rFonts w:ascii="Calibri" w:cs="Calibri" w:eastAsia="Calibri" w:hAnsi="Calibri"/>
          <w:sz w:val="21"/>
          <w:szCs w:val="21"/>
        </w:rPr>
        <w:t xml:space="preserve"> AP labour; discounts captured; errors and fraud caught before release; payment flow staying on Wells rails rather than moving to BILL's or AvidXchange's networks. </w:t>
      </w:r>
      <w:r>
        <w:rPr>
          <w:rFonts w:ascii="Calibri" w:cs="Calibri" w:eastAsia="Calibri" w:hAnsi="Calibri"/>
          <w:b/>
          <w:bCs/>
          <w:sz w:val="21"/>
          <w:szCs w:val="21"/>
        </w:rPr>
        <w:t xml:space="preserve">Dependencies:</w:t>
      </w:r>
      <w:r>
        <w:rPr>
          <w:rFonts w:ascii="Calibri" w:cs="Calibri" w:eastAsia="Calibri" w:hAnsi="Calibri"/>
          <w:sz w:val="21"/>
          <w:szCs w:val="21"/>
        </w:rPr>
        <w:t xml:space="preserve"> the NetSuite connector; validation embedded at vendor creation; whether Bill.com Connect lets Wells insert scoring and policy at release, or whether the gate has to live in Vantage's Consolidated payables instead; Business Central connectivity, which is not listed today. </w:t>
      </w:r>
      <w:r>
        <w:rPr>
          <w:rFonts w:ascii="Calibri" w:cs="Calibri" w:eastAsia="Calibri" w:hAnsi="Calibri"/>
          <w:b/>
          <w:bCs/>
          <w:sz w:val="21"/>
          <w:szCs w:val="21"/>
        </w:rPr>
        <w:t xml:space="preserve">Honest limit:</w:t>
      </w:r>
      <w:r>
        <w:rPr>
          <w:rFonts w:ascii="Calibri" w:cs="Calibri" w:eastAsia="Calibri" w:hAnsi="Calibri"/>
          <w:sz w:val="21"/>
          <w:szCs w:val="21"/>
        </w:rPr>
        <w:t xml:space="preserve"> extraction and coding are already done by BILL and the ERP agents; the bank's increment is the release step with fraud and liquidity in it. [SYN]</w:t>
      </w:r>
    </w:p>
    <w:p>
      <w:pPr>
        <w:pStyle w:val="Heading1"/>
        <w:keepNext/>
      </w:pPr>
      <w:r>
        <w:rPr>
          <w:rFonts w:ascii="Trebuchet MS" w:cs="Trebuchet MS" w:eastAsia="Trebuchet MS" w:hAnsi="Trebuchet MS"/>
        </w:rPr>
        <w:t xml:space="preserve">5  Receivables: Merchant services</w:t>
      </w:r>
    </w:p>
    <w:p>
      <w:pPr>
        <w:pStyle w:val="Heading2"/>
        <w:keepNext/>
      </w:pPr>
      <w:r>
        <w:rPr>
          <w:rFonts w:ascii="Trebuchet MS" w:cs="Trebuchet MS" w:eastAsia="Trebuchet MS" w:hAnsi="Trebuchet MS"/>
        </w:rPr>
        <w:t xml:space="preserve">5.1 The ideas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960"/>
        <w:gridCol w:w="8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idea</w:t>
            </w:r>
          </w:p>
        </w:tc>
        <w:tc>
          <w:tcPr>
            <w:tcW w:type="dxa" w:w="1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Verdict</w:t>
            </w:r>
          </w:p>
        </w:tc>
        <w:tc>
          <w:tcPr>
            <w:tcW w:type="dxa" w:w="49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Evidence</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Pay-by-link and invoice-to-pay from AR data with agent-run dunning</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Pay links, QR codes, e-invoicing and reminders are live at Wells (Payment Gateway, E-Bill Express, Clover, Bill Manager receivables). The new part is the agent running the dunning; no bank example and no adoption data found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AI cash application matching card settlements to invoices</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(Wells partly has it)</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Integrated receivables re-associates remittances against an open-invoice file; Virtual Card Automation delivers invoice-level remittance files. Wells says "fully automated", not "AI"; a secondary tracker calls it "automation and AI". HighRadius, Billtrust, Versapay and BlackLine were not examined</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Automatic Level 2 and 3 enrichment to cut B2B interchange</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(strong economics)</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Per the Merchant Advisory Group, Visa phased out the Level 2 interchange programme on 17 April 2026 except for commercial fuel (one source gives 18 April), and has charged a 0.05% CEDP participation fee since 11 April 2025. On Visa commercial cards only Level 3 data now earns the lower rate. A secondary summary of the April 2026 schedule: Commercial Product 3 at 1.75% + $0.10 against 2.70% + $0.10 card-not-present; large ticket 1.45% + $35. Verify against Visa's published schedule. Clover already "supports" Level 2 and 3; CEDP validates data more strictly, so accuracy is the point</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 (secondary), BR</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Chargeback handling</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Clover mentions dispute management and 3DS; no AI chargeback product verified at a bank acquirer</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Acceptance-mix advice (card versus ACH by customer)</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product found; Wells markets "payment intelligence" only in general terms</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Agent-ready acceptance so a payer's AP agent can pay a Wells merchant</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 (premature for B2B)</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Visa Intelligent Commerce is live on the issuing side (Ramp). AP2, Stripe ACP and Mastercard Agent Pay were not verified for B2B acceptance. A 2027 watch item</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 SYN</w:t>
            </w:r>
          </w:p>
        </w:tc>
      </w:tr>
    </w:tbl>
    <w:p>
      <w:pPr>
        <w:pStyle w:val="Heading2"/>
        <w:keepNext/>
      </w:pPr>
      <w:r>
        <w:rPr>
          <w:rFonts w:ascii="Trebuchet MS" w:cs="Trebuchet MS" w:eastAsia="Trebuchet MS" w:hAnsi="Trebuchet MS"/>
        </w:rPr>
        <w:t xml:space="preserve">5.2 Market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Wells Fargo Virtual Card Automation and Payment Gateway (bank; pages live October 2026)</w:t>
            </w:r>
          </w:p>
          <w:p>
            <w:pPr>
              <w:spacing w:after="60" w:line="268"/>
            </w:pPr>
            <w:r>
              <w:rPr>
                <w:rFonts w:ascii="Calibri" w:cs="Calibri" w:eastAsia="Calibri" w:hAnsi="Calibri"/>
                <w:sz w:val="20"/>
                <w:szCs w:val="20"/>
              </w:rPr>
              <w:t xml:space="preserve">Virtual Card Automation routes virtual-card payment emails from any issuer into a "digital lockbox" for straight-through processing and returns remittance files for ERP matching, for commercial merchants with $25M or more in revenue. The Payment Gateway offers cards, wallets and ACH; "secure payment links, QR codes, and embedded website checkout"; "AI-driven fraud and risk tools with configurable rules"; 3DS, tokenisation and Account Updater; recurring and instalment payments. Adoption figures are not disclosed. Together they are the receivables intake the ideas above would sit on. [BR]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Visa's Level 2 phase-out (network; 17 April 2026 per the Merchant Advisory Group)</w:t>
            </w:r>
          </w:p>
          <w:p>
            <w:pPr>
              <w:spacing w:after="60" w:line="268"/>
            </w:pPr>
            <w:r>
              <w:rPr>
                <w:rFonts w:ascii="Calibri" w:cs="Calibri" w:eastAsia="Calibri" w:hAnsi="Calibri"/>
                <w:sz w:val="20"/>
                <w:szCs w:val="20"/>
              </w:rPr>
              <w:t xml:space="preserve">With Level 2 interchange retired for everything except commercial fuel, a B2B merchant on Visa commercial cards now reaches the lower rate only with Level 3 line-item data, and CEDP validates that data more strictly than before. Secondary rate summaries put the gap at roughly 0.95 percentage points on card-not-present commercial volume. The savings depend on card mix and on whether the processor passes them through. [S (secondary)]</w:t>
            </w:r>
          </w:p>
        </w:tc>
      </w:tr>
    </w:tbl>
    <w:p>
      <w:pPr>
        <w:spacing w:after="80"/>
      </w:pPr>
    </w:p>
    <w:p>
      <w:pPr>
        <w:pStyle w:val="Heading2"/>
        <w:keepNext/>
      </w:pPr>
      <w:r>
        <w:rPr>
          <w:rFonts w:ascii="Trebuchet MS" w:cs="Trebuchet MS" w:eastAsia="Trebuchet MS" w:hAnsi="Trebuchet MS"/>
        </w:rPr>
        <w:t xml:space="preserve">5.3 Worked example [ILL]</w:t>
      </w:r>
    </w:p>
    <w:p>
      <w:pPr>
        <w:spacing w:after="120" w:line="276"/>
      </w:pPr>
      <w:r>
        <w:rPr>
          <w:rFonts w:ascii="Calibri" w:cs="Calibri" w:eastAsia="Calibri" w:hAnsi="Calibri"/>
          <w:b/>
          <w:bCs/>
          <w:sz w:val="21"/>
          <w:szCs w:val="21"/>
        </w:rPr>
        <w:t xml:space="preserve">Client:</w:t>
      </w:r>
      <w:r>
        <w:rPr>
          <w:rFonts w:ascii="Calibri" w:cs="Calibri" w:eastAsia="Calibri" w:hAnsi="Calibri"/>
          <w:sz w:val="21"/>
          <w:szCs w:val="21"/>
        </w:rPr>
        <w:t xml:space="preserve"> a fictional $60M commercial HVAC service and maintenance company on Sage Intacct with 2,400 business customers, 900 invoices a month, about $8M a year of B2B card volume at an average ticket of $3,500, and two large customers that pay by virtual card. Assumptions, not findings.</w:t>
      </w:r>
    </w:p>
    <w:p>
      <w:pPr>
        <w:pStyle w:val="ListParagraph"/>
        <w:numPr>
          <w:ilvl w:val="0"/>
          <w:numId w:val="5"/>
        </w:numPr>
        <w:spacing w:after="80" w:line="268"/>
      </w:pPr>
      <w:r>
        <w:rPr>
          <w:rFonts w:ascii="Calibri" w:cs="Calibri" w:eastAsia="Calibri" w:hAnsi="Calibri"/>
          <w:b/>
          <w:bCs/>
          <w:sz w:val="21"/>
          <w:szCs w:val="21"/>
        </w:rPr>
        <w:t xml:space="preserve">Level 3 enrichment.</w:t>
      </w:r>
      <w:r>
        <w:rPr>
          <w:rFonts w:ascii="Calibri" w:cs="Calibri" w:eastAsia="Calibri" w:hAnsi="Calibri"/>
          <w:sz w:val="21"/>
          <w:szCs w:val="21"/>
        </w:rPr>
        <w:t xml:space="preserve"> When a customer pays a $3,500 invoice by Visa commercial card through a payment link, the gateway pulls the line items, quantities, unit costs, tax, PO number and ship-to from the Intacct invoice and submits them as Level 3 data. If the whole $8M qualified and the secondary rates hold, the saving against card-not-present would be roughly 0.95% of $8M, about $76k a year; in practice it is a fraction of that, since only Visa commercial cards are affected, Mastercard's rules differ, and the processor's pass-through decides what the merchant sees. The KPI is the qualification rate, not the rate card. (Confirmed economics; the arithmetic is an illustration.)</w:t>
      </w:r>
    </w:p>
    <w:p>
      <w:pPr>
        <w:pStyle w:val="ListParagraph"/>
        <w:numPr>
          <w:ilvl w:val="0"/>
          <w:numId w:val="5"/>
        </w:numPr>
        <w:spacing w:after="80" w:line="268"/>
      </w:pPr>
      <w:r>
        <w:rPr>
          <w:rFonts w:ascii="Calibri" w:cs="Calibri" w:eastAsia="Calibri" w:hAnsi="Calibri"/>
          <w:b/>
          <w:bCs/>
          <w:sz w:val="21"/>
          <w:szCs w:val="21"/>
        </w:rPr>
        <w:t xml:space="preserve">Pay-by-link and dunning.</w:t>
      </w:r>
      <w:r>
        <w:rPr>
          <w:rFonts w:ascii="Calibri" w:cs="Calibri" w:eastAsia="Calibri" w:hAnsi="Calibri"/>
          <w:sz w:val="21"/>
          <w:szCs w:val="21"/>
        </w:rPr>
        <w:t xml:space="preserve"> Each Intacct invoice goes out with a Payment Gateway link offering card or ACH. An agent runs the follow-up sequence by customer behaviour: a reminder two days before due for habitual on-time payers, a call-list entry for the eleven customers that are 30 days late on average, and a proposed terms change for two chronic ones, which the controller approves or not. (Links and reminders Confirmed; the agent is Modified.)</w:t>
      </w:r>
    </w:p>
    <w:p>
      <w:pPr>
        <w:pStyle w:val="ListParagraph"/>
        <w:numPr>
          <w:ilvl w:val="0"/>
          <w:numId w:val="5"/>
        </w:numPr>
        <w:spacing w:after="80" w:line="268"/>
      </w:pPr>
      <w:r>
        <w:rPr>
          <w:rFonts w:ascii="Calibri" w:cs="Calibri" w:eastAsia="Calibri" w:hAnsi="Calibri"/>
          <w:b/>
          <w:bCs/>
          <w:sz w:val="21"/>
          <w:szCs w:val="21"/>
        </w:rPr>
        <w:t xml:space="preserve">Cash application.</w:t>
      </w:r>
      <w:r>
        <w:rPr>
          <w:rFonts w:ascii="Calibri" w:cs="Calibri" w:eastAsia="Calibri" w:hAnsi="Calibri"/>
          <w:sz w:val="21"/>
          <w:szCs w:val="21"/>
        </w:rPr>
        <w:t xml:space="preserve"> Card settlements, ACH and the two customers' virtual-card remittance emails (through Virtual Card Automation) are re-associated against Intacct's open-invoice file by Integrated receivables, and a cash-application file posts back. Short-pays and unmatched remittances, about 4% of items, go to AR staff with the agent's best guess attached. (Confirmed; Wells has the non-AI version.)</w:t>
      </w:r>
    </w:p>
    <w:p>
      <w:pPr>
        <w:pStyle w:val="ListParagraph"/>
        <w:numPr>
          <w:ilvl w:val="0"/>
          <w:numId w:val="5"/>
        </w:numPr>
        <w:spacing w:after="80" w:line="268"/>
      </w:pPr>
      <w:r>
        <w:rPr>
          <w:rFonts w:ascii="Calibri" w:cs="Calibri" w:eastAsia="Calibri" w:hAnsi="Calibri"/>
          <w:b/>
          <w:bCs/>
          <w:sz w:val="21"/>
          <w:szCs w:val="21"/>
        </w:rPr>
        <w:t xml:space="preserve">Acceptance mix.</w:t>
      </w:r>
      <w:r>
        <w:rPr>
          <w:rFonts w:ascii="Calibri" w:cs="Calibri" w:eastAsia="Calibri" w:hAnsi="Calibri"/>
          <w:sz w:val="21"/>
          <w:szCs w:val="21"/>
        </w:rPr>
        <w:t xml:space="preserve"> The assistant answers "which customers should I push to card": the 40 customers under $5,000 a month that pay late by check, where DSO gain outweighs the card cost, and not the two large virtual-card payers, whose fees are already high. (Unproven: no product does this today.)</w:t>
      </w:r>
    </w:p>
    <w:p>
      <w:pPr>
        <w:spacing w:after="120" w:line="276"/>
      </w:pPr>
      <w:r>
        <w:rPr>
          <w:rFonts w:ascii="Calibri" w:cs="Calibri" w:eastAsia="Calibri" w:hAnsi="Calibri"/>
          <w:b/>
          <w:bCs/>
          <w:sz w:val="21"/>
          <w:szCs w:val="21"/>
        </w:rPr>
        <w:t xml:space="preserve">Where the value lands:</w:t>
      </w:r>
      <w:r>
        <w:rPr>
          <w:rFonts w:ascii="Calibri" w:cs="Calibri" w:eastAsia="Calibri" w:hAnsi="Calibri"/>
          <w:sz w:val="21"/>
          <w:szCs w:val="21"/>
        </w:rPr>
        <w:t xml:space="preserve"> interchange cost, DSO, cash-application labour; for the bank, acquiring volume and interchange. </w:t>
      </w:r>
      <w:r>
        <w:rPr>
          <w:rFonts w:ascii="Calibri" w:cs="Calibri" w:eastAsia="Calibri" w:hAnsi="Calibri"/>
          <w:b/>
          <w:bCs/>
          <w:sz w:val="21"/>
          <w:szCs w:val="21"/>
        </w:rPr>
        <w:t xml:space="preserve">Dependencies:</w:t>
      </w:r>
      <w:r>
        <w:rPr>
          <w:rFonts w:ascii="Calibri" w:cs="Calibri" w:eastAsia="Calibri" w:hAnsi="Calibri"/>
          <w:sz w:val="21"/>
          <w:szCs w:val="21"/>
        </w:rPr>
        <w:t xml:space="preserve"> the Intacct connector for invoice lines; processor pass-through of Level 3 savings; surcharging rules by state, which were not researched here. </w:t>
      </w:r>
      <w:r>
        <w:rPr>
          <w:rFonts w:ascii="Calibri" w:cs="Calibri" w:eastAsia="Calibri" w:hAnsi="Calibri"/>
          <w:b/>
          <w:bCs/>
          <w:sz w:val="21"/>
          <w:szCs w:val="21"/>
        </w:rPr>
        <w:t xml:space="preserve">Honest limit:</w:t>
      </w:r>
      <w:r>
        <w:rPr>
          <w:rFonts w:ascii="Calibri" w:cs="Calibri" w:eastAsia="Calibri" w:hAnsi="Calibri"/>
          <w:sz w:val="21"/>
          <w:szCs w:val="21"/>
        </w:rPr>
        <w:t xml:space="preserve"> large payers resist card fees and the two biggest customers decide how they pay, so the mix shift is bounded. [SYN]</w:t>
      </w:r>
    </w:p>
    <w:p>
      <w:pPr>
        <w:pStyle w:val="Heading1"/>
        <w:keepNext/>
      </w:pPr>
      <w:r>
        <w:rPr>
          <w:rFonts w:ascii="Trebuchet MS" w:cs="Trebuchet MS" w:eastAsia="Trebuchet MS" w:hAnsi="Trebuchet MS"/>
        </w:rPr>
        <w:t xml:space="preserve">6  Receivables: Lockbox ("minibox")</w:t>
      </w:r>
    </w:p>
    <w:p>
      <w:pPr>
        <w:pStyle w:val="Heading2"/>
        <w:keepNext/>
      </w:pPr>
      <w:r>
        <w:rPr>
          <w:rFonts w:ascii="Trebuchet MS" w:cs="Trebuchet MS" w:eastAsia="Trebuchet MS" w:hAnsi="Trebuchet MS"/>
        </w:rPr>
        <w:t xml:space="preserve">6.1 The ideas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4860"/>
        <w:gridCol w:w="8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idea</w:t>
            </w:r>
          </w:p>
        </w:tc>
        <w:tc>
          <w:tcPr>
            <w:tcW w:type="dxa" w:w="14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Verdict</w:t>
            </w:r>
          </w:p>
        </w:tc>
        <w:tc>
          <w:tcPr>
            <w:tcW w:type="dxa" w:w="48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Evidence</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Vision-model remittance extraction</w:t>
            </w:r>
          </w:p>
        </w:tc>
        <w:tc>
          <w:tcPr>
            <w:tcW w:type="dxa" w:w="14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2025–2026 bank or vendor accuracy figure verified; Wells's re-association service is the natural home for it</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Auto cash application to ERP open invoices</w:t>
            </w:r>
          </w:p>
        </w:tc>
        <w:tc>
          <w:tcPr>
            <w:tcW w:type="dxa" w:w="14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 (Wells already offers)</w:t>
            </w:r>
          </w:p>
        </w:tc>
        <w:tc>
          <w:tcPr>
            <w:tcW w:type="dxa" w:w="4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Integrated receivables: open-invoice file in, cash-application file back to the ERP</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Exception agent drafting payer queries</w:t>
            </w:r>
          </w:p>
        </w:tc>
        <w:tc>
          <w:tcPr>
            <w:tcW w:type="dxa" w:w="14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product found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Check-fraud detection on images tied to positive pay</w:t>
            </w:r>
          </w:p>
        </w:tc>
        <w:tc>
          <w:tcPr>
            <w:tcW w:type="dxa" w:w="14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4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Wells offers "Positive pay with payee validation"; image-AI vendors (Mitek, Advanced Fraud Solutions, OrboGraph) were not examined. Positive pay protects the payer's account, so for a receivables client this idea belongs to deposit and remote-deposit risk, not to the client's own controls</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 SYN</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Check-conversion agent targeting the payers behind most check volume</w:t>
            </w:r>
          </w:p>
        </w:tc>
        <w:tc>
          <w:tcPr>
            <w:tcW w:type="dxa" w:w="14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 (demand proven, outcomes not)</w:t>
            </w:r>
          </w:p>
        </w:tc>
        <w:tc>
          <w:tcPr>
            <w:tcW w:type="dxa" w:w="4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AFP 2026: 87% of organisations still use checks, 68% for vendor payments, 72% of check users plan to continue indefinitely; a Federal Reserve 2023 study counted 3.3 billion business-to-business checks (as cited by Deluxe); Nacha says B2B ACH grew "nearly 10%" in 2025. Payers cite government requirements, small vendors and rural payees for holding on. No published conversion-campaign success rate</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 P (secondary)</w:t>
            </w:r>
          </w:p>
        </w:tc>
      </w:tr>
    </w:tbl>
    <w:p>
      <w:pPr>
        <w:pStyle w:val="Heading2"/>
        <w:keepNext/>
      </w:pPr>
      <w:r>
        <w:rPr>
          <w:rFonts w:ascii="Trebuchet MS" w:cs="Trebuchet MS" w:eastAsia="Trebuchet MS" w:hAnsi="Trebuchet MS"/>
        </w:rPr>
        <w:t xml:space="preserve">6.2 Market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Wells Fargo Integrated receivables and the 2023 Banning price points (bank)</w:t>
            </w:r>
          </w:p>
          <w:p>
            <w:pPr>
              <w:spacing w:after="60" w:line="268"/>
            </w:pPr>
            <w:r>
              <w:rPr>
                <w:rFonts w:ascii="Calibri" w:cs="Calibri" w:eastAsia="Calibri" w:hAnsi="Calibri"/>
                <w:sz w:val="20"/>
                <w:szCs w:val="20"/>
              </w:rPr>
              <w:t xml:space="preserve">Integrated receivables takes a file of the client's open invoices, re-associates lockbox, ACH, card and bill-pay remittances against it and returns a cash-application file to the ERP. It is the closest existing Wells product to the auto-application idea and the place a vision model would slot in. The only public Wells lockbox prices found are one public-sector client's negotiated schedule from January 2023: wholesale lockbox deposited check $0.10, wholetail payments $0.275 per coupon, base fees of $90 to $100 a month, E-Box maintenance $100 a month. No small-volume or "lite" lockbox was found at Wells Fargo or any peer bank. [BR, P (older)]</w:t>
            </w:r>
          </w:p>
        </w:tc>
      </w:tr>
    </w:tbl>
    <w:p>
      <w:pPr>
        <w:spacing w:after="80"/>
      </w:pPr>
    </w:p>
    <w:p>
      <w:pPr>
        <w:pStyle w:val="Heading2"/>
        <w:keepNext/>
      </w:pPr>
      <w:r>
        <w:rPr>
          <w:rFonts w:ascii="Trebuchet MS" w:cs="Trebuchet MS" w:eastAsia="Trebuchet MS" w:hAnsi="Trebuchet MS"/>
        </w:rPr>
        <w:t xml:space="preserve">6.3 Worked example [ILL]</w:t>
      </w:r>
    </w:p>
    <w:p>
      <w:pPr>
        <w:spacing w:after="120" w:line="276"/>
      </w:pPr>
      <w:r>
        <w:rPr>
          <w:rFonts w:ascii="Calibri" w:cs="Calibri" w:eastAsia="Calibri" w:hAnsi="Calibri"/>
          <w:b/>
          <w:bCs/>
          <w:sz w:val="21"/>
          <w:szCs w:val="21"/>
        </w:rPr>
        <w:t xml:space="preserve">Client:</w:t>
      </w:r>
      <w:r>
        <w:rPr>
          <w:rFonts w:ascii="Calibri" w:cs="Calibri" w:eastAsia="Calibri" w:hAnsi="Calibri"/>
          <w:sz w:val="21"/>
          <w:szCs w:val="21"/>
        </w:rPr>
        <w:t xml:space="preserve"> the same $60M HVAC company: 40% of its 2,400 customers still pay by check, about 360 checks a month, most of them from property managers and municipalities. Assumptions, not findings.</w:t>
      </w:r>
    </w:p>
    <w:p>
      <w:pPr>
        <w:pStyle w:val="ListParagraph"/>
        <w:numPr>
          <w:ilvl w:val="0"/>
          <w:numId w:val="6"/>
        </w:numPr>
        <w:spacing w:after="80" w:line="268"/>
      </w:pPr>
      <w:r>
        <w:rPr>
          <w:rFonts w:ascii="Calibri" w:cs="Calibri" w:eastAsia="Calibri" w:hAnsi="Calibri"/>
          <w:b/>
          <w:bCs/>
          <w:sz w:val="21"/>
          <w:szCs w:val="21"/>
        </w:rPr>
        <w:t xml:space="preserve">Intake.</w:t>
      </w:r>
      <w:r>
        <w:rPr>
          <w:rFonts w:ascii="Calibri" w:cs="Calibri" w:eastAsia="Calibri" w:hAnsi="Calibri"/>
          <w:sz w:val="21"/>
          <w:szCs w:val="21"/>
        </w:rPr>
        <w:t xml:space="preserve"> The 360 checks go to a low-volume lockbox or remote deposit; remittance stubs and the free-text "paying invoices 4471, 4480 less $120 for the missed visit" are read and matched to Intacct open invoices. The 15 or so that cannot be matched go to AR staff with the agent's draft query to the payer attached. (Extraction and the exception agent are Unproven; matching is Confirmed.)</w:t>
      </w:r>
    </w:p>
    <w:p>
      <w:pPr>
        <w:pStyle w:val="ListParagraph"/>
        <w:numPr>
          <w:ilvl w:val="0"/>
          <w:numId w:val="6"/>
        </w:numPr>
        <w:spacing w:after="80" w:line="268"/>
      </w:pPr>
      <w:r>
        <w:rPr>
          <w:rFonts w:ascii="Calibri" w:cs="Calibri" w:eastAsia="Calibri" w:hAnsi="Calibri"/>
          <w:b/>
          <w:bCs/>
          <w:sz w:val="21"/>
          <w:szCs w:val="21"/>
        </w:rPr>
        <w:t xml:space="preserve">Conversion.</w:t>
      </w:r>
      <w:r>
        <w:rPr>
          <w:rFonts w:ascii="Calibri" w:cs="Calibri" w:eastAsia="Calibri" w:hAnsi="Calibri"/>
          <w:sz w:val="21"/>
          <w:szCs w:val="21"/>
        </w:rPr>
        <w:t xml:space="preserve"> The assistant shows the controller that 25 payers account for about 60% of check volume: eight property-management firms, four municipalities, and thirteen general contractors. It proposes an enrolment campaign: E-Bill Express invitations with ACH details pre-filled, a payment link on every invoice, and a note to the account manager for the eight property managers. The four municipalities are flagged as unlikely to move (government requirements are a stated reason for staying on checks). (Modified: the demand is proven, the result is not.)</w:t>
      </w:r>
    </w:p>
    <w:p>
      <w:pPr>
        <w:pStyle w:val="ListParagraph"/>
        <w:numPr>
          <w:ilvl w:val="0"/>
          <w:numId w:val="6"/>
        </w:numPr>
        <w:spacing w:after="80" w:line="268"/>
      </w:pPr>
      <w:r>
        <w:rPr>
          <w:rFonts w:ascii="Calibri" w:cs="Calibri" w:eastAsia="Calibri" w:hAnsi="Calibri"/>
          <w:b/>
          <w:bCs/>
          <w:sz w:val="21"/>
          <w:szCs w:val="21"/>
        </w:rPr>
        <w:t xml:space="preserve">Twelve months on.</w:t>
      </w:r>
      <w:r>
        <w:rPr>
          <w:rFonts w:ascii="Calibri" w:cs="Calibri" w:eastAsia="Calibri" w:hAnsi="Calibri"/>
          <w:sz w:val="21"/>
          <w:szCs w:val="21"/>
        </w:rPr>
        <w:t xml:space="preserve"> If a third of the targeted payers move, check volume falls by about a fifth, and the minibox fee base shrinks with it, which is the point: the product's success is measured by its own decline. (Illustrative outcome; AFP says 72% of check users plan to keep using them.)</w:t>
      </w:r>
    </w:p>
    <w:p>
      <w:pPr>
        <w:spacing w:after="120" w:line="276"/>
      </w:pPr>
      <w:r>
        <w:rPr>
          <w:rFonts w:ascii="Calibri" w:cs="Calibri" w:eastAsia="Calibri" w:hAnsi="Calibri"/>
          <w:b/>
          <w:bCs/>
          <w:sz w:val="21"/>
          <w:szCs w:val="21"/>
        </w:rPr>
        <w:t xml:space="preserve">Where the value lands:</w:t>
      </w:r>
      <w:r>
        <w:rPr>
          <w:rFonts w:ascii="Calibri" w:cs="Calibri" w:eastAsia="Calibri" w:hAnsi="Calibri"/>
          <w:sz w:val="21"/>
          <w:szCs w:val="21"/>
        </w:rPr>
        <w:t xml:space="preserve"> cost per item, DSO, fewer exceptions; for the bank, lower lockbox cost and payments moving to electronic rails Wells runs. </w:t>
      </w:r>
      <w:r>
        <w:rPr>
          <w:rFonts w:ascii="Calibri" w:cs="Calibri" w:eastAsia="Calibri" w:hAnsi="Calibri"/>
          <w:b/>
          <w:bCs/>
          <w:sz w:val="21"/>
          <w:szCs w:val="21"/>
        </w:rPr>
        <w:t xml:space="preserve">Dependencies:</w:t>
      </w:r>
      <w:r>
        <w:rPr>
          <w:rFonts w:ascii="Calibri" w:cs="Calibri" w:eastAsia="Calibri" w:hAnsi="Calibri"/>
          <w:sz w:val="21"/>
          <w:szCs w:val="21"/>
        </w:rPr>
        <w:t xml:space="preserve"> Intacct open-invoice data; a payer-side destination (E-Bill Express, payment links). </w:t>
      </w:r>
      <w:r>
        <w:rPr>
          <w:rFonts w:ascii="Calibri" w:cs="Calibri" w:eastAsia="Calibri" w:hAnsi="Calibri"/>
          <w:b/>
          <w:bCs/>
          <w:sz w:val="21"/>
          <w:szCs w:val="21"/>
        </w:rPr>
        <w:t xml:space="preserve">Honest limit:</w:t>
      </w:r>
      <w:r>
        <w:rPr>
          <w:rFonts w:ascii="Calibri" w:cs="Calibri" w:eastAsia="Calibri" w:hAnsi="Calibri"/>
          <w:sz w:val="21"/>
          <w:szCs w:val="21"/>
        </w:rPr>
        <w:t xml:space="preserve"> AI cannot change payer behaviour on its own, and an accounting-firm note found in the research advises low-volume check receivers to push electronic payment rather than buy lockbox at all. [SYN]</w:t>
      </w:r>
    </w:p>
    <w:p>
      <w:pPr>
        <w:pStyle w:val="Heading1"/>
        <w:keepNext/>
      </w:pPr>
      <w:r>
        <w:rPr>
          <w:rFonts w:ascii="Trebuchet MS" w:cs="Trebuchet MS" w:eastAsia="Trebuchet MS" w:hAnsi="Trebuchet MS"/>
        </w:rPr>
        <w:t xml:space="preserve">7  Fraud: Account validation services</w:t>
      </w:r>
    </w:p>
    <w:p>
      <w:pPr>
        <w:pStyle w:val="Heading2"/>
        <w:keepNext/>
      </w:pPr>
      <w:r>
        <w:rPr>
          <w:rFonts w:ascii="Trebuchet MS" w:cs="Trebuchet MS" w:eastAsia="Trebuchet MS" w:hAnsi="Trebuchet MS"/>
        </w:rPr>
        <w:t xml:space="preserve">7.1 The ideas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060"/>
        <w:gridCol w:w="8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idea</w:t>
            </w:r>
          </w:p>
        </w:tc>
        <w:tc>
          <w:tcPr>
            <w:tcW w:type="dxa" w:w="1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Verdict</w:t>
            </w:r>
          </w:p>
        </w:tc>
        <w:tc>
          <w:tcPr>
            <w:tcW w:type="dxa" w:w="50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Evidence</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Beneficiary confidence scoring using network data under consent</w:t>
            </w:r>
          </w:p>
        </w:tc>
        <w:tc>
          <w:tcPr>
            <w:tcW w:type="dxa" w:w="1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w:t>
            </w:r>
          </w:p>
        </w:tc>
        <w:tc>
          <w:tcPr>
            <w:tcW w:type="dxa" w:w="50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J.P. Morgan Account Confidence Score: built on "over 15 billion J.P. Morgan Payments transaction records", 0–1,000 with red, amber and green bands, "an optional, chargeable add-on" to Account Validation</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Payee-change (BEC) detection with automated out-of-band call-back</w:t>
            </w:r>
          </w:p>
        </w:tc>
        <w:tc>
          <w:tcPr>
            <w:tcW w:type="dxa" w:w="1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50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need is overwhelming: FBI IC3 2025 counted $3,046,598,558 of BEC losses across 24,768 complaints (up from $2.77B in 2024), about $123,000 per complaint on average (derived), and $30.3M of AI-linked BEC losses across 135 complaints. Trustpair, nsKnox, Fides, Creednz and Eftsure were not examined; automated call-back products not verified. Pair scoring with human out-of-band confirmation for high-risk changes</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 SYN</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Payment anomaly detection against the client's own pattern</w:t>
            </w:r>
          </w:p>
        </w:tc>
        <w:tc>
          <w:tcPr>
            <w:tcW w:type="dxa" w:w="1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50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Citi's Payment Outlier Detection (2019) exists but was not examined here; no false-positive data found</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Validating the authority behind an incoming agent-initiated payment or order</w:t>
            </w:r>
          </w:p>
        </w:tc>
        <w:tc>
          <w:tcPr>
            <w:tcW w:type="dxa" w:w="1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50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bank product; Ramp enforces the mandate on the issuing side. This is Idea A of the brief, and it has no market precedent yet</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Embedding validation in the AP workflow at invoice creation</w:t>
            </w:r>
          </w:p>
        </w:tc>
        <w:tc>
          <w:tcPr>
            <w:tcW w:type="dxa" w:w="1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Confirmed</w:t>
            </w:r>
          </w:p>
        </w:tc>
        <w:tc>
          <w:tcPr>
            <w:tcW w:type="dxa" w:w="50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J.P. Morgan validates at enrolment and embeds Account Validation with the score at recipient creation in its Embedded Payments API</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Charging per validation</w:t>
            </w:r>
          </w:p>
        </w:tc>
        <w:tc>
          <w:tcPr>
            <w:tcW w:type="dxa" w:w="1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50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J.P. Morgan calls the score "chargeable" but publishes no price; no per-inquiry price was found in bank fee schedules in this research</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bl>
    <w:p>
      <w:pPr>
        <w:pStyle w:val="Heading2"/>
        <w:keepNext/>
      </w:pPr>
      <w:r>
        <w:rPr>
          <w:rFonts w:ascii="Trebuchet MS" w:cs="Trebuchet MS" w:eastAsia="Trebuchet MS" w:hAnsi="Trebuchet MS"/>
        </w:rPr>
        <w:t xml:space="preserve">7.2 Market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J.P. Morgan Account Confidence Score (bank; announced 14 May 2025)</w:t>
            </w:r>
          </w:p>
          <w:p>
            <w:pPr>
              <w:spacing w:after="60" w:line="268"/>
            </w:pPr>
            <w:r>
              <w:rPr>
                <w:rFonts w:ascii="Calibri" w:cs="Calibri" w:eastAsia="Calibri" w:hAnsi="Calibri"/>
                <w:sz w:val="20"/>
                <w:szCs w:val="20"/>
              </w:rPr>
              <w:t xml:space="preserve">An AI and machine-learning risk score for a beneficiary account, built on more than 15 billion J.P. Morgan Payments transaction records, returned as 0–1,000 with red (1–199), amber (200–599) and green (600–1,000) status, inside J.P. Morgan Access and in the Embedded Payments API at recipient creation. J.P. Morgan lists business email compromise, payroll fraud, invoice fraud and account takeover as the targets. It is an optional, chargeable add-on to Account Validation; the price is not published. This is the benchmark for turning Wells Fargo's "real-time account ownership and account status screening" into a scored, priced product. [BR]</w:t>
            </w:r>
          </w:p>
        </w:tc>
      </w:tr>
    </w:tbl>
    <w:p>
      <w:pPr>
        <w:spacing w:after="80"/>
      </w:pPr>
    </w:p>
    <w:p>
      <w:pPr>
        <w:pStyle w:val="Heading2"/>
        <w:keepNext/>
      </w:pPr>
      <w:r>
        <w:rPr>
          <w:rFonts w:ascii="Trebuchet MS" w:cs="Trebuchet MS" w:eastAsia="Trebuchet MS" w:hAnsi="Trebuchet MS"/>
        </w:rPr>
        <w:t xml:space="preserve">7.3 Worked example [ILL]</w:t>
      </w:r>
    </w:p>
    <w:p>
      <w:pPr>
        <w:spacing w:after="120" w:line="276"/>
      </w:pPr>
      <w:r>
        <w:rPr>
          <w:rFonts w:ascii="Calibri" w:cs="Calibri" w:eastAsia="Calibri" w:hAnsi="Calibri"/>
          <w:b/>
          <w:bCs/>
          <w:sz w:val="21"/>
          <w:szCs w:val="21"/>
        </w:rPr>
        <w:t xml:space="preserve">Client:</w:t>
      </w:r>
      <w:r>
        <w:rPr>
          <w:rFonts w:ascii="Calibri" w:cs="Calibri" w:eastAsia="Calibri" w:hAnsi="Calibri"/>
          <w:sz w:val="21"/>
          <w:szCs w:val="21"/>
        </w:rPr>
        <w:t xml:space="preserve"> the $140M distributor again, 1,100 active vendors, about 20 vendor bank-detail changes a month. Assumptions, not findings.</w:t>
      </w:r>
    </w:p>
    <w:p>
      <w:pPr>
        <w:pStyle w:val="ListParagraph"/>
        <w:numPr>
          <w:ilvl w:val="0"/>
          <w:numId w:val="7"/>
        </w:numPr>
        <w:spacing w:after="80" w:line="268"/>
      </w:pPr>
      <w:r>
        <w:rPr>
          <w:rFonts w:ascii="Calibri" w:cs="Calibri" w:eastAsia="Calibri" w:hAnsi="Calibri"/>
          <w:b/>
          <w:bCs/>
          <w:sz w:val="21"/>
          <w:szCs w:val="21"/>
        </w:rPr>
        <w:t xml:space="preserve">Set-up.</w:t>
      </w:r>
      <w:r>
        <w:rPr>
          <w:rFonts w:ascii="Calibri" w:cs="Calibri" w:eastAsia="Calibri" w:hAnsi="Calibri"/>
          <w:sz w:val="21"/>
          <w:szCs w:val="21"/>
        </w:rPr>
        <w:t xml:space="preserve"> A new vendor is created in NetSuite with routing and account numbers. Wells validates ownership and status in real time (the existing service) and returns a score: 640, green, with the note that the account has received payments from eleven other Wells clients over three years. The vendor is approved for payment. (Confirmed.)</w:t>
      </w:r>
    </w:p>
    <w:p>
      <w:pPr>
        <w:pStyle w:val="ListParagraph"/>
        <w:numPr>
          <w:ilvl w:val="0"/>
          <w:numId w:val="7"/>
        </w:numPr>
        <w:spacing w:after="80" w:line="268"/>
      </w:pPr>
      <w:r>
        <w:rPr>
          <w:rFonts w:ascii="Calibri" w:cs="Calibri" w:eastAsia="Calibri" w:hAnsi="Calibri"/>
          <w:b/>
          <w:bCs/>
          <w:sz w:val="21"/>
          <w:szCs w:val="21"/>
        </w:rPr>
        <w:t xml:space="preserve">The change.</w:t>
      </w:r>
      <w:r>
        <w:rPr>
          <w:rFonts w:ascii="Calibri" w:cs="Calibri" w:eastAsia="Calibri" w:hAnsi="Calibri"/>
          <w:sz w:val="21"/>
          <w:szCs w:val="21"/>
        </w:rPr>
        <w:t xml:space="preserve"> On a Friday afternoon AP receives an email from a long-standing vendor's "accounts team" with a new bank account "effective immediately" and an attached invoice for $184,000. The change is entered; the new account scores 110, red: opened six weeks ago, no payment history on the network, name match weak. The agent holds the change, blocks the payment proposal, and schedules a call-back to the vendor's phone number on file. The vendor has sent no such email. The $184,000 stays in the account. For scale, the average IC3 BEC complaint in 2025 was about $123,000. (Scoring Confirmed; the automated call-back is Modified, since no product was verified.)</w:t>
      </w:r>
    </w:p>
    <w:p>
      <w:pPr>
        <w:pStyle w:val="ListParagraph"/>
        <w:numPr>
          <w:ilvl w:val="0"/>
          <w:numId w:val="7"/>
        </w:numPr>
        <w:spacing w:after="80" w:line="268"/>
      </w:pPr>
      <w:r>
        <w:rPr>
          <w:rFonts w:ascii="Calibri" w:cs="Calibri" w:eastAsia="Calibri" w:hAnsi="Calibri"/>
          <w:b/>
          <w:bCs/>
          <w:sz w:val="21"/>
          <w:szCs w:val="21"/>
        </w:rPr>
        <w:t xml:space="preserve">The bill.</w:t>
      </w:r>
      <w:r>
        <w:rPr>
          <w:rFonts w:ascii="Calibri" w:cs="Calibri" w:eastAsia="Calibri" w:hAnsi="Calibri"/>
          <w:sz w:val="21"/>
          <w:szCs w:val="21"/>
        </w:rPr>
        <w:t xml:space="preserve"> The month's 20 changes and 35 new vendors generate 55 validations at a per-check price, or sit inside a monthly Fraud Manager tier; either is billed through account analysis and offset by earnings credit. J.P. Morgan charges for its score; the price is unpublished. (Modified.)</w:t>
      </w:r>
    </w:p>
    <w:p>
      <w:pPr>
        <w:spacing w:after="120" w:line="276"/>
      </w:pPr>
      <w:r>
        <w:rPr>
          <w:rFonts w:ascii="Calibri" w:cs="Calibri" w:eastAsia="Calibri" w:hAnsi="Calibri"/>
          <w:b/>
          <w:bCs/>
          <w:sz w:val="21"/>
          <w:szCs w:val="21"/>
        </w:rPr>
        <w:t xml:space="preserve">Where the value lands:</w:t>
      </w:r>
      <w:r>
        <w:rPr>
          <w:rFonts w:ascii="Calibri" w:cs="Calibri" w:eastAsia="Calibri" w:hAnsi="Calibri"/>
          <w:sz w:val="21"/>
          <w:szCs w:val="21"/>
        </w:rPr>
        <w:t xml:space="preserve"> loss avoided for the client; a visible fee the research says clients accept for fraud tools; lower bank-side losses. </w:t>
      </w:r>
      <w:r>
        <w:rPr>
          <w:rFonts w:ascii="Calibri" w:cs="Calibri" w:eastAsia="Calibri" w:hAnsi="Calibri"/>
          <w:b/>
          <w:bCs/>
          <w:sz w:val="21"/>
          <w:szCs w:val="21"/>
        </w:rPr>
        <w:t xml:space="preserve">Dependencies:</w:t>
      </w:r>
      <w:r>
        <w:rPr>
          <w:rFonts w:ascii="Calibri" w:cs="Calibri" w:eastAsia="Calibri" w:hAnsi="Calibri"/>
          <w:sz w:val="21"/>
          <w:szCs w:val="21"/>
        </w:rPr>
        <w:t xml:space="preserve"> consent language for network scoring; the ERP connector so the check runs at creation, not at release. </w:t>
      </w:r>
      <w:r>
        <w:rPr>
          <w:rFonts w:ascii="Calibri" w:cs="Calibri" w:eastAsia="Calibri" w:hAnsi="Calibri"/>
          <w:b/>
          <w:bCs/>
          <w:sz w:val="21"/>
          <w:szCs w:val="21"/>
        </w:rPr>
        <w:t xml:space="preserve">Honest limits:</w:t>
      </w:r>
      <w:r>
        <w:rPr>
          <w:rFonts w:ascii="Calibri" w:cs="Calibri" w:eastAsia="Calibri" w:hAnsi="Calibri"/>
          <w:sz w:val="21"/>
          <w:szCs w:val="21"/>
        </w:rPr>
        <w:t xml:space="preserve"> no published false-positive rates; AFP notes that corporate adoption of AI for fraud mitigation lags, so demand may trail the threat. [SYN]</w:t>
      </w:r>
    </w:p>
    <w:p>
      <w:pPr>
        <w:pStyle w:val="Heading1"/>
        <w:keepNext/>
      </w:pPr>
      <w:r>
        <w:rPr>
          <w:rFonts w:ascii="Trebuchet MS" w:cs="Trebuchet MS" w:eastAsia="Trebuchet MS" w:hAnsi="Trebuchet MS"/>
        </w:rPr>
        <w:t xml:space="preserve">8  Liquidity: Sweeps ("Preferred sweeps")</w:t>
      </w:r>
    </w:p>
    <w:p>
      <w:pPr>
        <w:pStyle w:val="Heading2"/>
        <w:keepNext/>
      </w:pPr>
      <w:r>
        <w:rPr>
          <w:rFonts w:ascii="Trebuchet MS" w:cs="Trebuchet MS" w:eastAsia="Trebuchet MS" w:hAnsi="Trebuchet MS"/>
        </w:rPr>
        <w:t xml:space="preserve">8.1 The ideas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960"/>
        <w:gridCol w:w="8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AI idea</w:t>
            </w:r>
          </w:p>
        </w:tc>
        <w:tc>
          <w:tcPr>
            <w:tcW w:type="dxa" w:w="1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Verdict</w:t>
            </w:r>
          </w:p>
        </w:tc>
        <w:tc>
          <w:tcPr>
            <w:tcW w:type="dxa" w:w="49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Evidence</w:t>
            </w:r>
          </w:p>
        </w:tc>
        <w:tc>
          <w:tcPr>
            <w:tcW w:type="dxa" w:w="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Forecast-driven dynamic sweep thresholds</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closest example, U.S. Bank Liquidity Manager (powered by Kyriba, 2025), pairs "Cash AI" forecasting from historical cash flows with automated ZBA sweeps but does not claim the AI sets the thresholds. No bank offers AI-adjusted sweep targets. Build it as "forecast suggests the target, client approves"</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24/7 adjustment using tokenised deposits</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 (future)</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J.P. Morgan's JPMD deposit token offers "near-instant 24/7 settlement and real-time liquidity" (on Base since November 2025) and Kinexys Blockchain Deposit Accounts promise "automated treasury workflows", but J.P. Morgan notes a three-hour Saturday window for moves between ordinary and blockchain accounts and none of its pages calls the feature a sweep. Wells Fargo's tokenised deposits are live for USD–GBP payments only. A Brookings fellow noted in April 2026 that interbank settlement of tokenised deposits on private blockchains "currently does not exist" (secondary)</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Plain-language explanations of balance movements</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Modified</w:t>
            </w:r>
          </w:p>
        </w:tc>
        <w:tc>
          <w:tcPr>
            <w:tcW w:type="dxa" w:w="4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FinanceKey launched a read-only MCP server (27 May 2026) so AI tools can answer cash-position questions from live treasury data. A vendor example; no bank equivalent and nothing public at Wells</w:t>
            </w:r>
          </w:p>
        </w:tc>
        <w:tc>
          <w:tcPr>
            <w:tcW w:type="dxa" w:w="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Outcome-priced mandate sharing measured uplift</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Unproven</w:t>
            </w:r>
          </w:p>
        </w:tc>
        <w:tc>
          <w:tcPr>
            <w:tcW w:type="dxa" w:w="4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bank precedent. The SEC investigation and class actions over the retail Bank Deposit Sweep at Wells Fargo Advisors mean any shared-uplift pricing on sweeps needs conduct and disclosure review first</w:t>
            </w:r>
          </w:p>
        </w:tc>
        <w:tc>
          <w:tcPr>
            <w:tcW w:type="dxa" w:w="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bl>
    <w:p>
      <w:pPr>
        <w:pStyle w:val="Heading2"/>
        <w:keepNext/>
      </w:pPr>
      <w:r>
        <w:rPr>
          <w:rFonts w:ascii="Trebuchet MS" w:cs="Trebuchet MS" w:eastAsia="Trebuchet MS" w:hAnsi="Trebuchet MS"/>
        </w:rPr>
        <w:t xml:space="preserve">8.2 Market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U.S. Bank Liquidity Manager with Cash AI (bank; 2025)</w:t>
            </w:r>
          </w:p>
          <w:p>
            <w:pPr>
              <w:spacing w:after="60" w:line="268"/>
            </w:pPr>
            <w:r>
              <w:rPr>
                <w:rFonts w:ascii="Calibri" w:cs="Calibri" w:eastAsia="Calibri" w:hAnsi="Calibri"/>
                <w:sz w:val="20"/>
                <w:szCs w:val="20"/>
              </w:rPr>
              <w:t xml:space="preserve">Powered by Kyriba and launched in 2025 for mid-sized and large companies: AI cash forecasting from historical cash flows, multi-bank visibility, and automated ZBA sweeps across accounts and banks. The forecasting and the sweeping sit side by side; U.S. Bank does not say the forecast moves the sweep targets. It is the nearest thing in market to the dynamic-threshold idea and it stops one step short of it. [BR]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The yield the on-balance-sheet sweep competes with (vendor-published)</w:t>
            </w:r>
          </w:p>
          <w:p>
            <w:pPr>
              <w:spacing w:after="60" w:line="268"/>
            </w:pPr>
            <w:r>
              <w:rPr>
                <w:rFonts w:ascii="Calibri" w:cs="Calibri" w:eastAsia="Calibri" w:hAnsi="Calibri"/>
                <w:sz w:val="20"/>
                <w:szCs w:val="20"/>
              </w:rPr>
              <w:t xml:space="preserve">Mercury Treasury: "up to 4.05%" net as of 9 October 2026, $250,000 minimum, fees of 0.15% to 0.6%. Brex: "up to 3.70%" with no minimum, effective 20 August 2026. Ramp: a 2.5% business account and a 4.38% money-market investment account at its January 2025 launch (older; 2026 rate not verified). These yields come from money-market funds that sit off the bank's balance sheet, which is exactly the leakage an on-balance-sheet sweep is meant to stop. PNC publicly offers both money-market fund sweeps and an on-balance-sheet "PNC Daily Interest Sweep Deposit Account". [V, BR]</w:t>
            </w:r>
          </w:p>
        </w:tc>
      </w:tr>
    </w:tbl>
    <w:p>
      <w:pPr>
        <w:spacing w:after="80"/>
      </w:pPr>
    </w:p>
    <w:p>
      <w:pPr>
        <w:pStyle w:val="Heading2"/>
        <w:keepNext/>
      </w:pPr>
      <w:r>
        <w:rPr>
          <w:rFonts w:ascii="Trebuchet MS" w:cs="Trebuchet MS" w:eastAsia="Trebuchet MS" w:hAnsi="Trebuchet MS"/>
        </w:rPr>
        <w:t xml:space="preserve">8.3 Worked example [ILL]</w:t>
      </w:r>
    </w:p>
    <w:p>
      <w:pPr>
        <w:spacing w:after="120" w:line="276"/>
      </w:pPr>
      <w:r>
        <w:rPr>
          <w:rFonts w:ascii="Calibri" w:cs="Calibri" w:eastAsia="Calibri" w:hAnsi="Calibri"/>
          <w:b/>
          <w:bCs/>
          <w:sz w:val="21"/>
          <w:szCs w:val="21"/>
        </w:rPr>
        <w:t xml:space="preserve">Client:</w:t>
      </w:r>
      <w:r>
        <w:rPr>
          <w:rFonts w:ascii="Calibri" w:cs="Calibri" w:eastAsia="Calibri" w:hAnsi="Calibri"/>
          <w:sz w:val="21"/>
          <w:szCs w:val="21"/>
        </w:rPr>
        <w:t xml:space="preserve"> the $140M distributor, average operating cash $9M, a static Stagecoach Sweep target of $4M, payroll of $1.1M every other Friday and the Thursday payment run of about $1.9M. Assumptions, not findings.</w:t>
      </w:r>
    </w:p>
    <w:p>
      <w:pPr>
        <w:pStyle w:val="ListParagraph"/>
        <w:numPr>
          <w:ilvl w:val="0"/>
          <w:numId w:val="8"/>
        </w:numPr>
        <w:spacing w:after="80" w:line="268"/>
      </w:pPr>
      <w:r>
        <w:rPr>
          <w:rFonts w:ascii="Calibri" w:cs="Calibri" w:eastAsia="Calibri" w:hAnsi="Calibri"/>
          <w:b/>
          <w:bCs/>
          <w:sz w:val="21"/>
          <w:szCs w:val="21"/>
        </w:rPr>
        <w:t xml:space="preserve">Today.</w:t>
      </w:r>
      <w:r>
        <w:rPr>
          <w:rFonts w:ascii="Calibri" w:cs="Calibri" w:eastAsia="Calibri" w:hAnsi="Calibri"/>
          <w:sz w:val="21"/>
          <w:szCs w:val="21"/>
        </w:rPr>
        <w:t xml:space="preserve"> The controller set the $4M target two years ago and has not touched it. On most days $2M to $3M sits above what the next week needs; on payroll-plus-payment-run weeks the buffer is thin and she has once had to reverse a sweep by phone.</w:t>
      </w:r>
    </w:p>
    <w:p>
      <w:pPr>
        <w:pStyle w:val="ListParagraph"/>
        <w:numPr>
          <w:ilvl w:val="0"/>
          <w:numId w:val="8"/>
        </w:numPr>
        <w:spacing w:after="80" w:line="268"/>
      </w:pPr>
      <w:r>
        <w:rPr>
          <w:rFonts w:ascii="Calibri" w:cs="Calibri" w:eastAsia="Calibri" w:hAnsi="Calibri"/>
          <w:b/>
          <w:bCs/>
          <w:sz w:val="21"/>
          <w:szCs w:val="21"/>
        </w:rPr>
        <w:t xml:space="preserve">Forecast-suggested target.</w:t>
      </w:r>
      <w:r>
        <w:rPr>
          <w:rFonts w:ascii="Calibri" w:cs="Calibri" w:eastAsia="Calibri" w:hAnsi="Calibri"/>
          <w:sz w:val="21"/>
          <w:szCs w:val="21"/>
        </w:rPr>
        <w:t xml:space="preserve"> Each Monday the assistant proposes the week's target from the NetSuite AR and AP data and the payment calendar: $2.6M for a quiet week, $5.8M for a payroll-and-run week, with the reasoning in one paragraph. She approves or edits in Vantage; the sweep runs on the approved number. Over a year the average swept balance is about $1.5M higher than under the static target. (Modified: suggestion plus approval, not AI-set thresholds.)</w:t>
      </w:r>
    </w:p>
    <w:p>
      <w:pPr>
        <w:pStyle w:val="ListParagraph"/>
        <w:numPr>
          <w:ilvl w:val="0"/>
          <w:numId w:val="8"/>
        </w:numPr>
        <w:spacing w:after="80" w:line="268"/>
      </w:pPr>
      <w:r>
        <w:rPr>
          <w:rFonts w:ascii="Calibri" w:cs="Calibri" w:eastAsia="Calibri" w:hAnsi="Calibri"/>
          <w:b/>
          <w:bCs/>
          <w:sz w:val="21"/>
          <w:szCs w:val="21"/>
        </w:rPr>
        <w:t xml:space="preserve">What it is worth.</w:t>
      </w:r>
      <w:r>
        <w:rPr>
          <w:rFonts w:ascii="Calibri" w:cs="Calibri" w:eastAsia="Calibri" w:hAnsi="Calibri"/>
          <w:sz w:val="21"/>
          <w:szCs w:val="21"/>
        </w:rPr>
        <w:t xml:space="preserve"> $1.5M at the on-balance-sheet sweep rate is the client's gain; whether that keeps the $9M at Wells depends on how the rate compares with Mercury's 4.05% and Brex's 3.70%, not on the forecast. The bank's side: the free-float margin on $1.5M is given up to keep $9M of deposits and the operating account. (Illustrative; the relationship economics point from the idea brief applies.)</w:t>
      </w:r>
    </w:p>
    <w:p>
      <w:pPr>
        <w:pStyle w:val="ListParagraph"/>
        <w:numPr>
          <w:ilvl w:val="0"/>
          <w:numId w:val="8"/>
        </w:numPr>
        <w:spacing w:after="80" w:line="268"/>
      </w:pPr>
      <w:r>
        <w:rPr>
          <w:rFonts w:ascii="Calibri" w:cs="Calibri" w:eastAsia="Calibri" w:hAnsi="Calibri"/>
          <w:b/>
          <w:bCs/>
          <w:sz w:val="21"/>
          <w:szCs w:val="21"/>
        </w:rPr>
        <w:t xml:space="preserve">Later.</w:t>
      </w:r>
      <w:r>
        <w:rPr>
          <w:rFonts w:ascii="Calibri" w:cs="Calibri" w:eastAsia="Calibri" w:hAnsi="Calibri"/>
          <w:sz w:val="21"/>
          <w:szCs w:val="21"/>
        </w:rPr>
        <w:t xml:space="preserve"> 24/7 adjustment on tokenised deposits waits for the broader 2027 rollout and for the token to be used for anything beyond USD–GBP payments. A shared-uplift fee on the sweep is not proposed: no precedent, and the retail sweep litigation is the wrong shadow to stand in. (Both Unproven or future.)</w:t>
      </w:r>
    </w:p>
    <w:p>
      <w:pPr>
        <w:spacing w:after="120" w:line="276"/>
      </w:pPr>
      <w:r>
        <w:rPr>
          <w:rFonts w:ascii="Calibri" w:cs="Calibri" w:eastAsia="Calibri" w:hAnsi="Calibri"/>
          <w:b/>
          <w:bCs/>
          <w:sz w:val="21"/>
          <w:szCs w:val="21"/>
        </w:rPr>
        <w:t xml:space="preserve">Where the value lands:</w:t>
      </w:r>
      <w:r>
        <w:rPr>
          <w:rFonts w:ascii="Calibri" w:cs="Calibri" w:eastAsia="Calibri" w:hAnsi="Calibri"/>
          <w:sz w:val="21"/>
          <w:szCs w:val="21"/>
        </w:rPr>
        <w:t xml:space="preserve"> interest for the client and fewer manual reversals; deposits that stay on the balance sheet for the bank. </w:t>
      </w:r>
      <w:r>
        <w:rPr>
          <w:rFonts w:ascii="Calibri" w:cs="Calibri" w:eastAsia="Calibri" w:hAnsi="Calibri"/>
          <w:b/>
          <w:bCs/>
          <w:sz w:val="21"/>
          <w:szCs w:val="21"/>
        </w:rPr>
        <w:t xml:space="preserve">Dependencies:</w:t>
      </w:r>
      <w:r>
        <w:rPr>
          <w:rFonts w:ascii="Calibri" w:cs="Calibri" w:eastAsia="Calibri" w:hAnsi="Calibri"/>
          <w:sz w:val="21"/>
          <w:szCs w:val="21"/>
        </w:rPr>
        <w:t xml:space="preserve"> the ERP connector for AR and AP, without which the forecast sees bank data only; a sweep product that accepts a weekly target change by API. </w:t>
      </w:r>
      <w:r>
        <w:rPr>
          <w:rFonts w:ascii="Calibri" w:cs="Calibri" w:eastAsia="Calibri" w:hAnsi="Calibri"/>
          <w:b/>
          <w:bCs/>
          <w:sz w:val="21"/>
          <w:szCs w:val="21"/>
        </w:rPr>
        <w:t xml:space="preserve">Honest limit:</w:t>
      </w:r>
      <w:r>
        <w:rPr>
          <w:rFonts w:ascii="Calibri" w:cs="Calibri" w:eastAsia="Calibri" w:hAnsi="Calibri"/>
          <w:sz w:val="21"/>
          <w:szCs w:val="21"/>
        </w:rPr>
        <w:t xml:space="preserve"> the rate decides, the AI assists. [SYN]</w:t>
      </w:r>
    </w:p>
    <w:p>
      <w:pPr>
        <w:pStyle w:val="Heading1"/>
        <w:keepNext/>
      </w:pPr>
      <w:r>
        <w:rPr>
          <w:rFonts w:ascii="Trebuchet MS" w:cs="Trebuchet MS" w:eastAsia="Trebuchet MS" w:hAnsi="Trebuchet MS"/>
        </w:rPr>
        <w:t xml:space="preserve">9  The platform across the six</w:t>
      </w:r>
    </w:p>
    <w:p>
      <w:pPr>
        <w:spacing w:after="120" w:line="276"/>
      </w:pPr>
      <w:r>
        <w:rPr>
          <w:rFonts w:ascii="Calibri" w:cs="Calibri" w:eastAsia="Calibri" w:hAnsi="Calibri"/>
          <w:sz w:val="21"/>
          <w:szCs w:val="21"/>
        </w:rPr>
        <w:t xml:space="preserve">Each priority has an AI increment on its own. The research changes what the platform underneath them has to be. [SYN]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Platform element</w:t>
            </w:r>
          </w:p>
        </w:tc>
        <w:tc>
          <w:tcPr>
            <w:tcW w:type="dxa" w:w="3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it does for the six</w:t>
            </w:r>
          </w:p>
        </w:tc>
        <w:tc>
          <w:tcPr>
            <w:tcW w:type="dxa" w:w="38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the research says about it</w:t>
            </w:r>
          </w:p>
        </w:tc>
      </w:tr>
      <w:tr>
        <w:trPr>
          <w:cantSplit w:val="false"/>
        </w:trPr>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One release surface in Vantage</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Payment runs, card issuance, sweep targets and validation holds arrive as proposals in one queue with Dual Custody and limits applied once; a one-controller finance team approves rather than operates</w:t>
            </w:r>
          </w:p>
        </w:tc>
        <w:tc>
          <w:tcPr>
            <w:tcW w:type="dxa" w:w="3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ERP agents stop at drafts "for human approval"; the bank-side release step is open. Bill Manager's Bill.com Connect stack may mean the gate lives in Vantage Consolidated payables rather than inside Bill Manager</w:t>
            </w:r>
          </w:p>
        </w:tc>
      </w:tr>
      <w:tr>
        <w:trPr>
          <w:cantSplit w:val="false"/>
        </w:trPr>
        <w:tc>
          <w:tcPr>
            <w:tcW w:type="dxa" w:w="2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The ERP connector first</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Job codes, open invoices, AR and AP, invoice lines for Level 3, forecast inputs for sweeps: every row above depends on data the bank does not hold</w:t>
            </w:r>
          </w:p>
        </w:tc>
        <w:tc>
          <w:tcPr>
            <w:tcW w:type="dxa" w:w="3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Bill Manager syncs QuickBooks, Xero, NetSuite and Intacct; Business Central, one of the four target ERPs, is not listed. Vantage Connect and the Gateway APIs exist; J.P. Morgan Embedded Solutions, FISPAN and Koxa were not re-examined</w:t>
            </w:r>
          </w:p>
        </w:tc>
      </w:tr>
      <w:tr>
        <w:trPr>
          <w:cantSplit w:val="false"/>
        </w:trPr>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Agent-readiness in both directions</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client's agents (NetSuite, Business Central, Copilot) propose into payables, request cards, trigger validations and query sweep positions through tools the bank exposes; the payer's agent can pay a Wells merchant</w:t>
            </w:r>
          </w:p>
        </w:tc>
        <w:tc>
          <w:tcPr>
            <w:tcW w:type="dxa" w:w="3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large US bank exposes such tools; Grasshopper (read-only MCP, August 2025), Mercury, Nymbus and Meow do. Wells Fargo's September 2026 Vantage terms prohibit third-party and service-bureau access, so this is a contract design before it is an API. B2B agent acceptance is a 2027 watch item</w:t>
            </w:r>
          </w:p>
        </w:tc>
      </w:tr>
      <w:tr>
        <w:trPr>
          <w:cantSplit w:val="false"/>
        </w:trPr>
        <w:tc>
          <w:tcPr>
            <w:tcW w:type="dxa" w:w="2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One data model</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AP, AR, card, lockbox and balances feed a single forecast, which is what makes the sweep target and the payment-timing lever work</w:t>
            </w:r>
          </w:p>
        </w:tc>
        <w:tc>
          <w:tcPr>
            <w:tcW w:type="dxa" w:w="3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U.S. Bank pairs forecasting with sweeps without joining them; nothing in market joins payables timing to the sweep. White space, unproven</w:t>
            </w:r>
          </w:p>
        </w:tc>
      </w:tr>
      <w:tr>
        <w:trPr>
          <w:cantSplit w:val="false"/>
        </w:trPr>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 mandate registry</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Named payees and amounts for auto-release, approved vendors and limits for agent cards, bands for sweep adjustment; the thing that lets an EMM client move from propose to execute</w:t>
            </w:r>
          </w:p>
        </w:tc>
        <w:tc>
          <w:tcPr>
            <w:tcW w:type="dxa" w:w="3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Ramp's agent-card mandate is the only live analogue; no bank example. Idea A of the brief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Sequence, after the research</w:t>
            </w:r>
          </w:p>
          <w:p>
            <w:pPr>
              <w:spacing w:after="60" w:line="268"/>
            </w:pPr>
            <w:r>
              <w:rPr>
                <w:rFonts w:ascii="Calibri" w:cs="Calibri" w:eastAsia="Calibri" w:hAnsi="Calibri"/>
                <w:b/>
                <w:bCs/>
                <w:sz w:val="20"/>
                <w:szCs w:val="20"/>
              </w:rPr>
              <w:t xml:space="preserve">Now:</w:t>
            </w:r>
            <w:r>
              <w:rPr>
                <w:rFonts w:ascii="Calibri" w:cs="Calibri" w:eastAsia="Calibri" w:hAnsi="Calibri"/>
                <w:sz w:val="20"/>
                <w:szCs w:val="20"/>
              </w:rPr>
              <w:t xml:space="preserve"> validation scored and embedded at vendor creation, priced; Vantage as the release gate for ERP-proposed runs; Level 3 auto-enrichment in Clover and Payment Gateway; policy-to-rules and AI coding on the card.</w:t>
            </w:r>
          </w:p>
          <w:p>
            <w:pPr>
              <w:spacing w:after="60" w:line="268"/>
            </w:pPr>
            <w:r>
              <w:rPr>
                <w:rFonts w:ascii="Calibri" w:cs="Calibri" w:eastAsia="Calibri" w:hAnsi="Calibri"/>
                <w:b/>
                <w:bCs/>
                <w:sz w:val="20"/>
                <w:szCs w:val="20"/>
              </w:rPr>
              <w:t xml:space="preserve">Next:</w:t>
            </w:r>
            <w:r>
              <w:rPr>
                <w:rFonts w:ascii="Calibri" w:cs="Calibri" w:eastAsia="Calibri" w:hAnsi="Calibri"/>
                <w:sz w:val="20"/>
                <w:szCs w:val="20"/>
              </w:rPr>
              <w:t xml:space="preserve"> forecast-suggested sweep targets with approval; the check-conversion agent paired with a low-volume lockbox; a narrow agent-card pilot; a Business Central connector.</w:t>
            </w:r>
          </w:p>
          <w:p>
            <w:pPr>
              <w:spacing w:after="60" w:line="268"/>
            </w:pPr>
            <w:r>
              <w:rPr>
                <w:rFonts w:ascii="Calibri" w:cs="Calibri" w:eastAsia="Calibri" w:hAnsi="Calibri"/>
                <w:b/>
                <w:bCs/>
                <w:sz w:val="20"/>
                <w:szCs w:val="20"/>
              </w:rPr>
              <w:t xml:space="preserve">2027 and later:</w:t>
            </w:r>
            <w:r>
              <w:rPr>
                <w:rFonts w:ascii="Calibri" w:cs="Calibri" w:eastAsia="Calibri" w:hAnsi="Calibri"/>
                <w:sz w:val="20"/>
                <w:szCs w:val="20"/>
              </w:rPr>
              <w:t xml:space="preserve"> agent-ready acceptance for payer agents; 24/7 sweeps on tokenised deposits; mandate-bounded auto-release; any outcome-priced variant, after Legal and conduct review.</w:t>
            </w:r>
          </w:p>
        </w:tc>
      </w:tr>
    </w:tbl>
    <w:p>
      <w:pPr>
        <w:spacing w:after="80"/>
      </w:pPr>
    </w:p>
    <w:p>
      <w:pPr>
        <w:spacing w:after="120" w:line="276"/>
      </w:pPr>
      <w:r>
        <w:rPr>
          <w:rFonts w:ascii="Calibri" w:cs="Calibri" w:eastAsia="Calibri" w:hAnsi="Calibri"/>
          <w:b/>
          <w:bCs/>
          <w:sz w:val="21"/>
          <w:szCs w:val="21"/>
        </w:rPr>
        <w:t xml:space="preserve">One observation stands [SYN]:</w:t>
      </w:r>
      <w:r>
        <w:rPr>
          <w:rFonts w:ascii="Calibri" w:cs="Calibri" w:eastAsia="Calibri" w:hAnsi="Calibri"/>
          <w:sz w:val="21"/>
          <w:szCs w:val="21"/>
        </w:rPr>
        <w:t xml:space="preserve"> taken together, the six are the finance back office of a company without a treasurer. Priced as six products they compete with BILL, Ramp and the ERP agents one at a time. Priced as one operated service with a controller's approval queue, they compete with hiring. That is the bench idea "finance operations as a service" from the brief, and the research did not disprove it; it also found no one doing it.</w:t>
      </w:r>
    </w:p>
    <w:p>
      <w:pPr>
        <w:pStyle w:val="Heading1"/>
        <w:keepNext/>
      </w:pPr>
      <w:r>
        <w:rPr>
          <w:rFonts w:ascii="Trebuchet MS" w:cs="Trebuchet MS" w:eastAsia="Trebuchet MS" w:hAnsi="Trebuchet MS"/>
        </w:rPr>
        <w:t xml:space="preserve">10  Caveats and evidence quality</w:t>
      </w:r>
    </w:p>
    <w:p>
      <w:pPr>
        <w:pStyle w:val="ListParagraph"/>
        <w:numPr>
          <w:ilvl w:val="0"/>
          <w:numId w:val="9"/>
        </w:numPr>
        <w:spacing w:after="70" w:line="268"/>
      </w:pPr>
      <w:r>
        <w:rPr>
          <w:rFonts w:ascii="Calibri" w:cs="Calibri" w:eastAsia="Calibri" w:hAnsi="Calibri"/>
          <w:b/>
          <w:bCs/>
          <w:sz w:val="21"/>
          <w:szCs w:val="21"/>
        </w:rPr>
        <w:t xml:space="preserve">Not examined in this research, and therefore absent from the verdicts:</w:t>
      </w:r>
      <w:r>
        <w:rPr>
          <w:rFonts w:ascii="Calibri" w:cs="Calibri" w:eastAsia="Calibri" w:hAnsi="Calibri"/>
          <w:sz w:val="21"/>
          <w:szCs w:val="21"/>
        </w:rPr>
        <w:t xml:space="preserve"> Mesh, Extend, Brex AI features, Navan, Airbase; BILL, AvidXchange, Tipalti, Stampli, Vic.ai and Coupa feature detail; C2FO, Taulia and Kyriba working capital; Chase, Bank of America, PNC, U.S. Bank, KeyBank and Fifth Third AP products; HighRadius, Billtrust, Versapay and BlackLine; Mitek, Advanced Fraud Solutions and OrboGraph; Trustpair, nsKnox, Fides, Creednz and Eftsure; Citi Payment Outlier Detection; Early Warning and the text of Nacha's WEB debit rule; US surcharging law; NetSuite Next and Sage Intacct agents; FISPAN, Koxa and Bottomline. An "Unproven" verdict means no example was found within this scope, not that none exists.</w:t>
      </w:r>
    </w:p>
    <w:p>
      <w:pPr>
        <w:pStyle w:val="ListParagraph"/>
        <w:numPr>
          <w:ilvl w:val="0"/>
          <w:numId w:val="9"/>
        </w:numPr>
        <w:spacing w:after="70" w:line="268"/>
      </w:pPr>
      <w:r>
        <w:rPr>
          <w:rFonts w:ascii="Calibri" w:cs="Calibri" w:eastAsia="Calibri" w:hAnsi="Calibri"/>
          <w:b/>
          <w:bCs/>
          <w:sz w:val="21"/>
          <w:szCs w:val="21"/>
        </w:rPr>
        <w:t xml:space="preserve">Two Wells Fargo pages were read as search snippets</w:t>
      </w:r>
      <w:r>
        <w:rPr>
          <w:rFonts w:ascii="Calibri" w:cs="Calibri" w:eastAsia="Calibri" w:hAnsi="Calibri"/>
          <w:sz w:val="21"/>
          <w:szCs w:val="21"/>
        </w:rPr>
        <w:t xml:space="preserve"> because full fetches were blocked: the Stagecoach Sweep description and the electronic receivables page. The sweep vehicles and any on-balance-sheet option may be listed on the full page.</w:t>
      </w:r>
    </w:p>
    <w:p>
      <w:pPr>
        <w:pStyle w:val="ListParagraph"/>
        <w:numPr>
          <w:ilvl w:val="0"/>
          <w:numId w:val="9"/>
        </w:numPr>
        <w:spacing w:after="70" w:line="268"/>
      </w:pPr>
      <w:r>
        <w:rPr>
          <w:rFonts w:ascii="Calibri" w:cs="Calibri" w:eastAsia="Calibri" w:hAnsi="Calibri"/>
          <w:b/>
          <w:bCs/>
          <w:sz w:val="21"/>
          <w:szCs w:val="21"/>
        </w:rPr>
        <w:t xml:space="preserve">Older sources carry some Wells facts:</w:t>
      </w:r>
      <w:r>
        <w:rPr>
          <w:rFonts w:ascii="Calibri" w:cs="Calibri" w:eastAsia="Calibri" w:hAnsi="Calibri"/>
          <w:sz w:val="21"/>
          <w:szCs w:val="21"/>
        </w:rPr>
        <w:t xml:space="preserve"> the WellsOne brochure's $182,000-per-$1M figure rests on 2014 RPMG data; the 18-site lockbox footprint is from a 2014 RFP; the lockbox service names are from a 2015 service agreement; the Bill Manager launch material is from December 2020; the lockbox prices are one client's negotiated 2023 schedule.</w:t>
      </w:r>
    </w:p>
    <w:p>
      <w:pPr>
        <w:pStyle w:val="ListParagraph"/>
        <w:numPr>
          <w:ilvl w:val="0"/>
          <w:numId w:val="9"/>
        </w:numPr>
        <w:spacing w:after="70" w:line="268"/>
      </w:pPr>
      <w:r>
        <w:rPr>
          <w:rFonts w:ascii="Calibri" w:cs="Calibri" w:eastAsia="Calibri" w:hAnsi="Calibri"/>
          <w:b/>
          <w:bCs/>
          <w:sz w:val="21"/>
          <w:szCs w:val="21"/>
        </w:rPr>
        <w:t xml:space="preserve">Secondary sources:</w:t>
      </w:r>
      <w:r>
        <w:rPr>
          <w:rFonts w:ascii="Calibri" w:cs="Calibri" w:eastAsia="Calibri" w:hAnsi="Calibri"/>
          <w:sz w:val="21"/>
          <w:szCs w:val="21"/>
        </w:rPr>
        <w:t xml:space="preserve"> the Visa interchange rates and the Level 2 phase-out date come from summaries (Merchant Advisory Group, weAudit, Finix, Priority Commerce) and should be checked against Visa's published schedule; the Mastercard and Santander agent payment, Stripe Issuing single-use cards and the Brookings quotation are secondary; the FBI IC3 figures were read through summaries that quote the report.</w:t>
      </w:r>
    </w:p>
    <w:p>
      <w:pPr>
        <w:pStyle w:val="ListParagraph"/>
        <w:numPr>
          <w:ilvl w:val="0"/>
          <w:numId w:val="9"/>
        </w:numPr>
        <w:spacing w:after="70" w:line="268"/>
      </w:pPr>
      <w:r>
        <w:rPr>
          <w:rFonts w:ascii="Calibri" w:cs="Calibri" w:eastAsia="Calibri" w:hAnsi="Calibri"/>
          <w:b/>
          <w:bCs/>
          <w:sz w:val="21"/>
          <w:szCs w:val="21"/>
        </w:rPr>
        <w:t xml:space="preserve">Vendor and bank claims are marked as such:</w:t>
      </w:r>
      <w:r>
        <w:rPr>
          <w:rFonts w:ascii="Calibri" w:cs="Calibri" w:eastAsia="Calibri" w:hAnsi="Calibri"/>
          <w:sz w:val="21"/>
          <w:szCs w:val="21"/>
        </w:rPr>
        <w:t xml:space="preserve"> Ramp's "2.4x faster", Wells Fargo's "30% less time" testimonial, Mercury's and Brex's yields, Microsoft's agent descriptions.</w:t>
      </w:r>
    </w:p>
    <w:p>
      <w:pPr>
        <w:pStyle w:val="ListParagraph"/>
        <w:numPr>
          <w:ilvl w:val="0"/>
          <w:numId w:val="9"/>
        </w:numPr>
        <w:spacing w:after="70" w:line="268"/>
      </w:pPr>
      <w:r>
        <w:rPr>
          <w:rFonts w:ascii="Calibri" w:cs="Calibri" w:eastAsia="Calibri" w:hAnsi="Calibri"/>
          <w:b/>
          <w:bCs/>
          <w:sz w:val="21"/>
          <w:szCs w:val="21"/>
        </w:rPr>
        <w:t xml:space="preserve">The worked examples are fiction with stated assumptions.</w:t>
      </w:r>
      <w:r>
        <w:rPr>
          <w:rFonts w:ascii="Calibri" w:cs="Calibri" w:eastAsia="Calibri" w:hAnsi="Calibri"/>
          <w:sz w:val="21"/>
          <w:szCs w:val="21"/>
        </w:rPr>
        <w:t xml:space="preserve"> The distributor and the HVAC company do not exist; their numbers were chosen to show how each feature would behave, not to size anything.</w:t>
      </w:r>
    </w:p>
    <w:p>
      <w:pPr>
        <w:pStyle w:val="ListParagraph"/>
        <w:numPr>
          <w:ilvl w:val="0"/>
          <w:numId w:val="9"/>
        </w:numPr>
        <w:spacing w:after="70" w:line="268"/>
      </w:pPr>
      <w:r>
        <w:rPr>
          <w:rFonts w:ascii="Calibri" w:cs="Calibri" w:eastAsia="Calibri" w:hAnsi="Calibri"/>
          <w:b/>
          <w:bCs/>
          <w:sz w:val="21"/>
          <w:szCs w:val="21"/>
        </w:rPr>
        <w:t xml:space="preserve">What may change soon:</w:t>
      </w:r>
      <w:r>
        <w:rPr>
          <w:rFonts w:ascii="Calibri" w:cs="Calibri" w:eastAsia="Calibri" w:hAnsi="Calibri"/>
          <w:sz w:val="21"/>
          <w:szCs w:val="21"/>
        </w:rPr>
        <w:t xml:space="preserve"> Wells Fargo's tokenised-deposit rollout "throughout 2027"; Business Central 29.0 adoption and any NetSuite Next payment-proposal evidence after SuiteWorld (25–28 October 2026); Visa's and Mastercard's B2B agent-acceptance rules; the pending SR 26-2 request for information on generative and agentic AI; any published price for J.P. Morgan's Account Confidence Score.</w:t>
      </w:r>
    </w:p>
    <w:p>
      <w:pPr>
        <w:pStyle w:val="Heading1"/>
        <w:keepNext/>
      </w:pPr>
      <w:r>
        <w:rPr>
          <w:rFonts w:ascii="Trebuchet MS" w:cs="Trebuchet MS" w:eastAsia="Trebuchet MS" w:hAnsi="Trebuchet MS"/>
        </w:rPr>
        <w:t xml:space="preserve">Appendix A  Source register</w:t>
      </w:r>
    </w:p>
    <w:p>
      <w:pPr>
        <w:spacing w:after="120" w:line="276"/>
      </w:pPr>
      <w:r>
        <w:rPr>
          <w:rFonts w:ascii="Calibri" w:cs="Calibri" w:eastAsia="Calibri" w:hAnsi="Calibri"/>
          <w:sz w:val="21"/>
          <w:szCs w:val="21"/>
        </w:rPr>
        <w:t xml:space="preserve">Sources used in this addendum. Items marked (secondary) were read through trade press or a third-party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100"/>
        <w:gridCol w:w="3060"/>
      </w:tblGrid>
      <w:tr>
        <w:trPr>
          <w:cantSplit/>
          <w:tblHeader/>
        </w:trPr>
        <w:tc>
          <w:tcPr>
            <w:tcW w:type="dxa" w:w="290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Source</w:t>
            </w:r>
          </w:p>
        </w:tc>
        <w:tc>
          <w:tcPr>
            <w:tcW w:type="dxa" w:w="230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Used for</w:t>
            </w:r>
          </w:p>
        </w:tc>
        <w:tc>
          <w:tcPr>
            <w:tcW w:type="dxa" w:w="110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Date</w:t>
            </w:r>
          </w:p>
        </w:tc>
        <w:tc>
          <w:tcPr>
            <w:tcW w:type="dxa" w:w="306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URL</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Global Payments and Liquidity (Commercial)</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Bill Manager syncs, Consolidated payables, instant payments, account validation, Fraud Manager</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Live Oct 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https://www.wellsfargo.com/com/solutions/global-payments-liquidity/</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Merchant Services Solutions (Commercial)</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Virtual Card Automation, Payment Gateway, E-Bill Express, Clover, surcharging</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Live Oct 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https://www.wellsfargo.com/com/solutions/merchant-services/</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Vantage page; Vantage Terms of Use</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"AI, ML"; testimonial; third-party access prohibition; bot language</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Live Oct 2026; terms effective Sep 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https://www.wellsfargo.com/com/vantage/</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Newsroom: Vantage launch; 4Q23 results (Vantage Connect, 25+ APIs)</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Platform baseline</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Dec 2022; Jan 2024</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https://newsroom.wf.com/news-releases/news-details/2022/Wells-Fargos-Vantage-Platform-Enhances-Commercial-and-Corporate-Clients-Digital-Experience-Grows-with-Businesses-at-Scale/default.aspx</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WellsOne Expense Manager Cardholder QRG; WellsOne Commercial Card brochure; iOS app listing</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Card baseline; $182,000 claim (2014 data); app rating</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Apr 2026; undated; Mar 2025</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https://wellsoffice.ceo.wellsfargo.com/ceopub/assets/pdf/wellsone-xpns-mngr/WOEM_Cardholder_QRG.pdf</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Bill.com and Wells Fargo: Bill Manager launch; Commercial Payments International coverage (secondary)</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Bill Manager origin and 2020 features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9 Dec 2020</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https://investor.bill.com/news/news-details/2020/Bill.com-and-Wells-Fargo-Introduce-Bill-Manager-to-Help-Businesses-Pay-and-Get-Paid-with-Increased-Simplicity-Visibility-and-Control/</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Stagecoach Sweep (liquidity management, snippet); electronic receivables (snippet)</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Sweep description; electronic lockbox</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Undated</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https://www-static.wellsfargo.com/com/treasury-management/liquidity-management/</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service agreement (SEC filing, 2015); Collier County RFP response (2014); City of Banning pricing report (Jan 2023)</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Lockbox service names, footprint and one client's prices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2015; 2014; Jan 2023</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https://banningca.gov/DocumentCenter/View/12289/Attachment-1---Wells-Fargo-Customer-Pricing-Report_City-of-Banning_01-2023</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Newsroom: tokenized deposits; crypto.news on the September launch (secondary); Yahoo Finance analysis with Brookings quote (secondary)</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Tokenised deposits scope and timing</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4 Aug 2026; Oct 2026; Aug 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https://newsroom.wf.com/news-releases/news-details/2026/Wells-Fargo-to-Launch-Tokenized-Deposits-for-Corporate-and-Commercial-Clients/default.aspx</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2025 Annual Report (agents commentary)</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Posture on software agents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https://www.sec.gov/Archives/edgar/data/72971/000007297126000202/wfc2025annualreport-arsfil.pdf</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Banking Dive and Legal Dive on the Wells Fargo Advisors cash sweep (retail)</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Conduct-risk context for sweep pricing</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2024</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https://www.legaldive.com/news/wells-fargo-faces-new-class-action-lawsuit-cash-sweep/728340/</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AFP 2026 Payments Fraud and Control Survey release; Nacha summary with Herd quote; U.S. Bank summary</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76% fraud, 74% BEC, 58% check fraud, 87% use checks, 68% vendor checks, 72% continue indefinitely; B2B ACH growth</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14 Apr 2026; Apr 2026; 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https://www.prnewswire.com/news-releases/over-75-of-us-firms-experienced-payments-fraud-in-2025-while-ai-adoption-for-fraud-mitigation-lags-302738857.html</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FBI IC3 2025 Internet Crime Report figures (via summaries, secondary)</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$3,046,598,558 BEC losses, 24,768 complaints; AI-linked BEC</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https://www.hipaajournal.com/fbi-internet-crime-complaint-report-2025/</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Ramp: Agent Cards launch coverage (secondary); virtual cards for AI agents; AI agents in finance</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Agent cards; Policy Agent; AP Agent claim</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11 Mar 2026; 28 Apr 2026; 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https://ramp.com/blog/virtual-cards-for-ai-agents</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Mastercard and Santander agent payment (secondary coverage)</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First live end-to-end agent payment in Europe, controlled environment</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 Mar 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Secondary coverage; verify on mastercard.com</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Microsoft Learn: Business Central 2026 wave 1 planned features; Payables Agent in more countries; ERP Software Blog and WindowsForum on 29.0 and Known Senders (secondary); DEV Community independent test (secondary)</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Payables Agent GA, PO matching, safeguards, credits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 Jan 2026; Oct 2026; Aug 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https://learn.microsoft.com/en-us/dynamics365/release-plan/2026wave1/smb/dynamics365-business-central/planned-features</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J.P. Morgan: Introducing Account Confidence Score; Validation Services developer docs; Embedded Payments add-linked-account</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Score design, 15B records, bands, chargeable add-on, validation at enrolment</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14 May 2025; live 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https://www.jpmorgan.com/payments/newsroom/introducing-account-confidence-score</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Merchant Advisory Group, weAudit, Finix, Checkout.com, Priority Commerce on Visa Level 2 retirement and Level 3 rates (secondary)</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Level 2 phase-out date, CEDP fee, rate comparison</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2025–2026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https://www.weaudit.com/level-3-credit-card-processing/</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U.S. Bank: AI-driven cash forecasting tool (Liquidity Manager with Kyriba)</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Forecasting paired with ZBA sweeps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2025</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https://ir.usbank.com/news-events/news/news-details/2025/U-S--Bank-launches-AI-driven-cash-forecasting-tool/default.aspx</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J.P. Morgan: JPMD deposit token; Kinexys Blockchain Deposit Accounts; tokenized money market funds (weekend window)</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24/7 settlement claims and limits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Nov 2025 onward</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https://www.jpmorgan.com/payments/newsroom/jpm-coin-usd-deposit-token-institutional-clients</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Mercury Treasury; Brex business account; Ramp Treasury launch release</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Competing yields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9 Oct 2026; 20 Aug 2026; 22 Jan 2025</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https://mercury.com/treasury</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PNC: Money Market Fund Sweep and Daily Interest Sweep product sheets</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Peer sweep structures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Undated</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https://www.pnc.com/content/dam/pnc-com/pdf/corporateandinstitutional/treasurymanagement/money-market-fund-sweep-product-sheet.pdf</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FinanceKey: native MCP server release</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Read-only treasury MCP example</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27 May 2026</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https://financekey.com/press/financekey-launches-native-mcp-server/</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Narmi and Grasshopper Bank MCP announcement (ACCESS Newswire); Open Banking Tracker agentic-banking directory</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Bank MCP endpoints in the US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 Aug 2025; 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https://www.openbankingtracker.com/agentic-banking-and-mcp</w:t>
            </w:r>
          </w:p>
        </w:tc>
      </w:tr>
      <w:tr>
        <w:trPr>
          <w:cantSplit/>
        </w:trPr>
        <w:tc>
          <w:tcPr>
            <w:tcW w:type="dxa" w:w="29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Deluxe (Fed 2023 B2B check count, secondary); KPM CPA on lockbox versus electronic for low volume</w:t>
            </w:r>
          </w:p>
        </w:tc>
        <w:tc>
          <w:tcPr>
            <w:tcW w:type="dxa" w:w="23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Check persistence; low-volume advice</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Undated</w:t>
            </w:r>
          </w:p>
        </w:tc>
        <w:tc>
          <w:tcPr>
            <w:tcW w:type="dxa" w:w="30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https://www.deluxe.com/blog/why-outsource-lockbox/</w:t>
            </w:r>
          </w:p>
        </w:tc>
      </w:tr>
      <w:tr>
        <w:trPr>
          <w:cantSplit/>
        </w:trPr>
        <w:tc>
          <w:tcPr>
            <w:tcW w:type="dxa" w:w="29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Companion documents: "Two New Seats for the Bank" (19 Oct 2026); segment synthesis (8 Oct 2026); willingness-to-pay research (19 Oct 2026)</w:t>
            </w:r>
          </w:p>
        </w:tc>
        <w:tc>
          <w:tcPr>
            <w:tcW w:type="dxa" w:w="23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Mandate engine, Idea A, relationship economics, segment bands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Oct 2026</w:t>
            </w:r>
          </w:p>
        </w:tc>
        <w:tc>
          <w:tcPr>
            <w:tcW w:type="dxa" w:w="30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Companion documents</w:t>
            </w:r>
          </w:p>
        </w:tc>
      </w:tr>
    </w:tbl>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Prepared 19 October 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jc w:val="right"/>
    </w:pPr>
    <w:r>
      <w:rPr>
        <w:rFonts w:ascii="Trebuchet MS" w:cs="Trebuchet MS" w:eastAsia="Trebuchet MS" w:hAnsi="Trebuchet MS"/>
        <w:color w:val="1E3A5F"/>
        <w:sz w:val="16"/>
        <w:szCs w:val="16"/>
      </w:rPr>
      <w:t xml:space="preserve">The Six EMM Priorities, Tested  |  Addendum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961" w:sz="12" w:space="4"/>
      </w:pBdr>
      <w:spacing w:after="200" w:before="240"/>
      <w:outlineLvl w:val="0"/>
    </w:pPr>
    <w:rPr>
      <w:rFonts w:ascii="Trebuchet MS" w:cs="Trebuchet MS" w:eastAsia="Trebuchet MS" w:hAnsi="Trebuchet MS"/>
      <w:b/>
      <w:bCs/>
      <w:color w:val="0F2D52"/>
      <w:sz w:val="34"/>
      <w:szCs w:val="34"/>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1E3A5F"/>
      <w:sz w:val="26"/>
      <w:szCs w:val="26"/>
    </w:rPr>
  </w:style>
  <w:style w:type="paragraph" w:styleId="Heading3">
    <w:name w:val="Heading 3"/>
    <w:basedOn w:val="Normal"/>
    <w:next w:val="Normal"/>
    <w:qFormat/>
    <w:pPr>
      <w:spacing w:after="100" w:before="160"/>
      <w:outlineLvl w:val="2"/>
    </w:pPr>
    <w:rPr>
      <w:rFonts w:ascii="Trebuchet MS" w:cs="Trebuchet MS" w:eastAsia="Trebuchet MS" w:hAnsi="Trebuchet MS"/>
      <w:b/>
      <w:bCs/>
      <w:color w:val="0F2D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Six EMM Priorities, Tested: addendum to the idea brief</dc:title>
  <dc:creator>Claude</dc:creator>
  <cp:lastModifiedBy>Un-named</cp:lastModifiedBy>
  <cp:revision>1</cp:revision>
  <dcterms:created xsi:type="dcterms:W3CDTF">2026-10-19T18:09:04.324Z</dcterms:created>
  <dcterms:modified xsi:type="dcterms:W3CDTF">2026-10-19T18:09:04.325Z</dcterms:modified>
</cp:coreProperties>
</file>

<file path=docProps/custom.xml><?xml version="1.0" encoding="utf-8"?>
<Properties xmlns="http://schemas.openxmlformats.org/officeDocument/2006/custom-properties" xmlns:vt="http://schemas.openxmlformats.org/officeDocument/2006/docPropsVTypes"/>
</file>