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rebuchet MS" w:cs="Trebuchet MS" w:eastAsia="Trebuchet MS" w:hAnsi="Trebuchet MS"/>
          <w:b/>
          <w:bCs/>
          <w:color w:val="C9A24B"/>
          <w:sz w:val="20"/>
          <w:szCs w:val="20"/>
        </w:rPr>
        <w:t xml:space="preserve">VANTAGE AI ASSISTANT</w:t>
      </w:r>
    </w:p>
    <w:p>
      <w:pPr>
        <w:spacing w:after="300"/>
      </w:pPr>
      <w:r>
        <w:rPr>
          <w:rFonts w:ascii="Trebuchet MS" w:cs="Trebuchet MS" w:eastAsia="Trebuchet MS" w:hAnsi="Trebuchet MS"/>
          <w:b/>
          <w:bCs/>
          <w:color w:val="0F2D52"/>
          <w:sz w:val="40"/>
          <w:szCs w:val="40"/>
        </w:rPr>
        <w:t xml:space="preserve">Query Auto-Complete ('Intellisense') — Technical Design</w:t>
      </w:r>
    </w:p>
    <w:p>
      <w:pPr>
        <w:spacing w:after="120"/>
      </w:pPr>
      <w:r>
        <w:rPr>
          <w:rFonts w:ascii="Calibri" w:cs="Calibri" w:eastAsia="Calibri" w:hAnsi="Calibri"/>
          <w:b w:val="false"/>
          <w:bCs w:val="false"/>
          <w:i/>
          <w:iCs/>
          <w:color w:val="222222"/>
          <w:sz w:val="22"/>
          <w:szCs w:val="22"/>
        </w:rPr>
        <w:t xml:space="preserve">Status: Draft for review  ·  Scope: Web only  ·  Owner: TBD</w:t>
      </w:r>
    </w:p>
    <w:p>
      <w:pPr>
        <w:pStyle w:val="Heading1"/>
        <w:pBdr>
          <w:bottom w:val="single" w:color="C9A24B" w:sz="8" w:space="4"/>
        </w:pBdr>
        <w:spacing w:after="180" w:before="360"/>
      </w:pPr>
      <w:r>
        <w:rPr>
          <w:rFonts w:ascii="Trebuchet MS" w:cs="Trebuchet MS" w:eastAsia="Trebuchet MS" w:hAnsi="Trebuchet MS"/>
          <w:b/>
          <w:bCs/>
          <w:color w:val="0F2D52"/>
          <w:sz w:val="30"/>
          <w:szCs w:val="30"/>
        </w:rPr>
        <w:t xml:space="preserve">1. Problem &amp; Scope</w:t>
      </w:r>
    </w:p>
    <w:p>
      <w:pPr>
        <w:spacing w:after="120"/>
      </w:pPr>
      <w:r>
        <w:rPr>
          <w:rFonts w:ascii="Calibri" w:cs="Calibri" w:eastAsia="Calibri" w:hAnsi="Calibri"/>
          <w:b w:val="false"/>
          <w:bCs w:val="false"/>
          <w:i w:val="false"/>
          <w:iCs w:val="false"/>
          <w:color w:val="222222"/>
          <w:sz w:val="22"/>
          <w:szCs w:val="22"/>
        </w:rPr>
        <w:t xml:space="preserve">Goal: as a user types a query (e.g. "show me account balance"), detect the intent early and prompt the user that a required field — an account number — still needs to be supplied, before they finish typing or submit.</w:t>
      </w:r>
    </w:p>
    <w:p>
      <w:pPr>
        <w:spacing w:after="120"/>
      </w:pPr>
      <w:r>
        <w:rPr>
          <w:rFonts w:ascii="Calibri" w:cs="Calibri" w:eastAsia="Calibri" w:hAnsi="Calibri"/>
          <w:b w:val="false"/>
          <w:bCs w:val="false"/>
          <w:i w:val="false"/>
          <w:iCs w:val="false"/>
          <w:color w:val="222222"/>
          <w:sz w:val="22"/>
          <w:szCs w:val="22"/>
        </w:rPr>
        <w:t xml:space="preserve">Decisions made in scoping this feature:</w:t>
      </w:r>
    </w:p>
    <w:p>
      <w:pPr>
        <w:pStyle w:val="ListParagraph"/>
        <w:numPr>
          <w:ilvl w:val="0"/>
          <w:numId w:val="2"/>
        </w:numPr>
        <w:spacing w:after="80"/>
      </w:pPr>
      <w:r>
        <w:rPr>
          <w:rFonts w:ascii="Calibri" w:cs="Calibri" w:eastAsia="Calibri" w:hAnsi="Calibri"/>
          <w:b w:val="false"/>
          <w:bCs w:val="false"/>
          <w:color w:val="222222"/>
          <w:sz w:val="22"/>
          <w:szCs w:val="22"/>
        </w:rPr>
        <w:t xml:space="preserve">The feature suggests that a slot is missing (e.g. "...for [account number]") — it does NOT pre-fill or suggest actual account values.</w:t>
      </w:r>
    </w:p>
    <w:p>
      <w:pPr>
        <w:pStyle w:val="ListParagraph"/>
        <w:numPr>
          <w:ilvl w:val="0"/>
          <w:numId w:val="2"/>
        </w:numPr>
        <w:spacing w:after="80"/>
      </w:pPr>
      <w:r>
        <w:rPr>
          <w:rFonts w:ascii="Calibri" w:cs="Calibri" w:eastAsia="Calibri" w:hAnsi="Calibri"/>
          <w:b w:val="false"/>
          <w:bCs w:val="false"/>
          <w:color w:val="222222"/>
          <w:sz w:val="22"/>
          <w:szCs w:val="22"/>
        </w:rPr>
        <w:t xml:space="preserve">This removes the need to fetch entitlement-scoped account lists at typing time, which simplifies the design to a client-side, static-schema problem.</w:t>
      </w:r>
    </w:p>
    <w:p>
      <w:pPr>
        <w:pStyle w:val="ListParagraph"/>
        <w:numPr>
          <w:ilvl w:val="0"/>
          <w:numId w:val="2"/>
        </w:numPr>
        <w:spacing w:after="80"/>
      </w:pPr>
      <w:r>
        <w:rPr>
          <w:rFonts w:ascii="Calibri" w:cs="Calibri" w:eastAsia="Calibri" w:hAnsi="Calibri"/>
          <w:b w:val="false"/>
          <w:bCs w:val="false"/>
          <w:color w:val="222222"/>
          <w:sz w:val="22"/>
          <w:szCs w:val="22"/>
        </w:rPr>
        <w:t xml:space="preserve">Target surface for this phase: web only.</w:t>
      </w:r>
    </w:p>
    <w:p>
      <w:pPr>
        <w:pStyle w:val="ListParagraph"/>
        <w:numPr>
          <w:ilvl w:val="0"/>
          <w:numId w:val="2"/>
        </w:numPr>
        <w:spacing w:after="80"/>
      </w:pPr>
      <w:r>
        <w:rPr>
          <w:rFonts w:ascii="Calibri" w:cs="Calibri" w:eastAsia="Calibri" w:hAnsi="Calibri"/>
          <w:b w:val="false"/>
          <w:bCs w:val="false"/>
          <w:color w:val="222222"/>
          <w:sz w:val="22"/>
          <w:szCs w:val="22"/>
        </w:rPr>
        <w:t xml:space="preserve">Current test scope for the assistant (per North Star testing plan) is Wires, Instant Payments, and Cash Balances — this feature should launch against that same scope.</w:t>
      </w:r>
    </w:p>
    <w:p>
      <w:pPr>
        <w:pStyle w:val="Heading1"/>
        <w:pBdr>
          <w:bottom w:val="single" w:color="C9A24B" w:sz="8" w:space="4"/>
        </w:pBdr>
        <w:spacing w:after="180" w:before="360"/>
      </w:pPr>
      <w:r>
        <w:rPr>
          <w:rFonts w:ascii="Trebuchet MS" w:cs="Trebuchet MS" w:eastAsia="Trebuchet MS" w:hAnsi="Trebuchet MS"/>
          <w:b/>
          <w:bCs/>
          <w:color w:val="0F2D52"/>
          <w:sz w:val="30"/>
          <w:szCs w:val="30"/>
        </w:rPr>
        <w:t xml:space="preserve">2. Architecture Overview</w:t>
      </w:r>
    </w:p>
    <w:p>
      <w:pPr>
        <w:spacing w:after="120"/>
      </w:pPr>
      <w:r>
        <w:rPr>
          <w:rFonts w:ascii="Calibri" w:cs="Calibri" w:eastAsia="Calibri" w:hAnsi="Calibri"/>
          <w:b w:val="false"/>
          <w:bCs w:val="false"/>
          <w:i w:val="false"/>
          <w:iCs w:val="false"/>
          <w:color w:val="222222"/>
          <w:sz w:val="22"/>
          <w:szCs w:val="22"/>
        </w:rPr>
        <w:t xml:space="preserve">Because the feature only needs to (a) guess intent from a partial string and (b) look up which slots that intent requires, it does not need a round-trip to the production LangGraph / Gemini Flash pipeline. That pipeline is built for full conversational turns with grounding and disambiguation, and re-running it per keystroke would add latency and inference cost with no benefit here, since no real data is being fetched.</w:t>
      </w:r>
    </w:p>
    <w:p>
      <w:pPr>
        <w:spacing w:after="120"/>
      </w:pPr>
      <w:r>
        <w:rPr>
          <w:rFonts w:ascii="Calibri" w:cs="Calibri" w:eastAsia="Calibri" w:hAnsi="Calibri"/>
          <w:b w:val="false"/>
          <w:bCs w:val="false"/>
          <w:i w:val="false"/>
          <w:iCs w:val="false"/>
          <w:color w:val="222222"/>
          <w:sz w:val="22"/>
          <w:szCs w:val="22"/>
        </w:rPr>
        <w:t xml:space="preserve">Recommended shape: a client-side matcher against a small, derived slot-schema index, with no backend call in the typing path.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50"/>
      </w:tblGrid>
      <w:tr>
        <w:tc>
          <w:tcPr>
            <w:tcW w:type="dxa" w:w="2400"/>
            <w:shd w:fill="0F2D52" w:val="clear"/>
            <w:tcMar>
              <w:top w:type="dxa" w:w="80"/>
              <w:left w:type="dxa" w:w="100"/>
              <w:bottom w:type="dxa" w:w="80"/>
              <w:right w:type="dxa" w:w="100"/>
            </w:tcMar>
          </w:tcPr>
          <w:p>
            <w:r>
              <w:rPr>
                <w:rFonts w:ascii="Trebuchet MS" w:cs="Trebuchet MS" w:eastAsia="Trebuchet MS" w:hAnsi="Trebuchet MS"/>
                <w:b/>
                <w:bCs/>
                <w:color w:val="FFFFFF"/>
                <w:sz w:val="20"/>
                <w:szCs w:val="20"/>
              </w:rPr>
              <w:t xml:space="preserve">Layer</w:t>
            </w:r>
          </w:p>
        </w:tc>
        <w:tc>
          <w:tcPr>
            <w:tcW w:type="dxa" w:w="3600"/>
            <w:shd w:fill="0F2D52" w:val="clear"/>
            <w:tcMar>
              <w:top w:type="dxa" w:w="80"/>
              <w:left w:type="dxa" w:w="100"/>
              <w:bottom w:type="dxa" w:w="80"/>
              <w:right w:type="dxa" w:w="100"/>
            </w:tcMar>
          </w:tcPr>
          <w:p>
            <w:r>
              <w:rPr>
                <w:rFonts w:ascii="Trebuchet MS" w:cs="Trebuchet MS" w:eastAsia="Trebuchet MS" w:hAnsi="Trebuchet MS"/>
                <w:b/>
                <w:bCs/>
                <w:color w:val="FFFFFF"/>
                <w:sz w:val="20"/>
                <w:szCs w:val="20"/>
              </w:rPr>
              <w:t xml:space="preserve">Responsibility</w:t>
            </w:r>
          </w:p>
        </w:tc>
        <w:tc>
          <w:tcPr>
            <w:tcW w:type="dxa" w:w="3350"/>
            <w:shd w:fill="0F2D52" w:val="clear"/>
            <w:tcMar>
              <w:top w:type="dxa" w:w="80"/>
              <w:left w:type="dxa" w:w="100"/>
              <w:bottom w:type="dxa" w:w="80"/>
              <w:right w:type="dxa" w:w="100"/>
            </w:tcMar>
          </w:tcPr>
          <w:p>
            <w:r>
              <w:rPr>
                <w:rFonts w:ascii="Trebuchet MS" w:cs="Trebuchet MS" w:eastAsia="Trebuchet MS" w:hAnsi="Trebuchet MS"/>
                <w:b/>
                <w:bCs/>
                <w:color w:val="FFFFFF"/>
                <w:sz w:val="20"/>
                <w:szCs w:val="20"/>
              </w:rPr>
              <w:t xml:space="preserve">Notes</w:t>
            </w:r>
          </w:p>
        </w:tc>
      </w:tr>
      <w:tr>
        <w:tc>
          <w:tcPr>
            <w:tcW w:type="dxa" w:w="2400"/>
            <w:tcMar>
              <w:top w:type="dxa" w:w="80"/>
              <w:left w:type="dxa" w:w="100"/>
              <w:bottom w:type="dxa" w:w="80"/>
              <w:right w:type="dxa" w:w="100"/>
            </w:tcMar>
          </w:tcPr>
          <w:p>
            <w:r>
              <w:rPr>
                <w:rFonts w:ascii="Calibri" w:cs="Calibri" w:eastAsia="Calibri" w:hAnsi="Calibri"/>
                <w:b w:val="false"/>
                <w:bCs w:val="false"/>
                <w:color w:val="222222"/>
                <w:sz w:val="20"/>
                <w:szCs w:val="20"/>
              </w:rPr>
              <w:t xml:space="preserve">Slot Schema Index</w:t>
            </w:r>
          </w:p>
        </w:tc>
        <w:tc>
          <w:tcPr>
            <w:tcW w:type="dxa" w:w="3600"/>
            <w:tcMar>
              <w:top w:type="dxa" w:w="80"/>
              <w:left w:type="dxa" w:w="100"/>
              <w:bottom w:type="dxa" w:w="80"/>
              <w:right w:type="dxa" w:w="100"/>
            </w:tcMar>
          </w:tcPr>
          <w:p>
            <w:r>
              <w:rPr>
                <w:rFonts w:ascii="Calibri" w:cs="Calibri" w:eastAsia="Calibri" w:hAnsi="Calibri"/>
                <w:b w:val="false"/>
                <w:bCs w:val="false"/>
                <w:color w:val="222222"/>
                <w:sz w:val="20"/>
                <w:szCs w:val="20"/>
              </w:rPr>
              <w:t xml:space="preserve">Maps intent → required/optional slot names + display labels</w:t>
            </w:r>
          </w:p>
        </w:tc>
        <w:tc>
          <w:tcPr>
            <w:tcW w:type="dxa" w:w="3350"/>
            <w:tcMar>
              <w:top w:type="dxa" w:w="80"/>
              <w:left w:type="dxa" w:w="100"/>
              <w:bottom w:type="dxa" w:w="80"/>
              <w:right w:type="dxa" w:w="100"/>
            </w:tcMar>
          </w:tcPr>
          <w:p>
            <w:r>
              <w:rPr>
                <w:rFonts w:ascii="Calibri" w:cs="Calibri" w:eastAsia="Calibri" w:hAnsi="Calibri"/>
                <w:b w:val="false"/>
                <w:bCs w:val="false"/>
                <w:color w:val="222222"/>
                <w:sz w:val="20"/>
                <w:szCs w:val="20"/>
              </w:rPr>
              <w:t xml:space="preserve">Derived offline from the ~200K-row intent taxonomy; not the taxonomy itself</w:t>
            </w:r>
          </w:p>
        </w:tc>
      </w:tr>
      <w:tr>
        <w:tc>
          <w:tcPr>
            <w:tcW w:type="dxa" w:w="2400"/>
            <w:tcMar>
              <w:top w:type="dxa" w:w="80"/>
              <w:left w:type="dxa" w:w="100"/>
              <w:bottom w:type="dxa" w:w="80"/>
              <w:right w:type="dxa" w:w="100"/>
            </w:tcMar>
          </w:tcPr>
          <w:p>
            <w:r>
              <w:rPr>
                <w:rFonts w:ascii="Calibri" w:cs="Calibri" w:eastAsia="Calibri" w:hAnsi="Calibri"/>
                <w:b w:val="false"/>
                <w:bCs w:val="false"/>
                <w:color w:val="222222"/>
                <w:sz w:val="20"/>
                <w:szCs w:val="20"/>
              </w:rPr>
              <w:t xml:space="preserve">Client Intent Matcher</w:t>
            </w:r>
          </w:p>
        </w:tc>
        <w:tc>
          <w:tcPr>
            <w:tcW w:type="dxa" w:w="3600"/>
            <w:tcMar>
              <w:top w:type="dxa" w:w="80"/>
              <w:left w:type="dxa" w:w="100"/>
              <w:bottom w:type="dxa" w:w="80"/>
              <w:right w:type="dxa" w:w="100"/>
            </w:tcMar>
          </w:tcPr>
          <w:p>
            <w:r>
              <w:rPr>
                <w:rFonts w:ascii="Calibri" w:cs="Calibri" w:eastAsia="Calibri" w:hAnsi="Calibri"/>
                <w:b w:val="false"/>
                <w:bCs w:val="false"/>
                <w:color w:val="222222"/>
                <w:sz w:val="20"/>
                <w:szCs w:val="20"/>
              </w:rPr>
              <w:t xml:space="preserve">Fuzzy/prefix match of partial input against intent patterns</w:t>
            </w:r>
          </w:p>
        </w:tc>
        <w:tc>
          <w:tcPr>
            <w:tcW w:type="dxa" w:w="3350"/>
            <w:tcMar>
              <w:top w:type="dxa" w:w="80"/>
              <w:left w:type="dxa" w:w="100"/>
              <w:bottom w:type="dxa" w:w="80"/>
              <w:right w:type="dxa" w:w="100"/>
            </w:tcMar>
          </w:tcPr>
          <w:p>
            <w:r>
              <w:rPr>
                <w:rFonts w:ascii="Calibri" w:cs="Calibri" w:eastAsia="Calibri" w:hAnsi="Calibri"/>
                <w:b w:val="false"/>
                <w:bCs w:val="false"/>
                <w:color w:val="222222"/>
                <w:sz w:val="20"/>
                <w:szCs w:val="20"/>
              </w:rPr>
              <w:t xml:space="preserve">Runs on every keystroke (debounced); in-browser, no network call</w:t>
            </w:r>
          </w:p>
        </w:tc>
      </w:tr>
      <w:tr>
        <w:tc>
          <w:tcPr>
            <w:tcW w:type="dxa" w:w="2400"/>
            <w:tcMar>
              <w:top w:type="dxa" w:w="80"/>
              <w:left w:type="dxa" w:w="100"/>
              <w:bottom w:type="dxa" w:w="80"/>
              <w:right w:type="dxa" w:w="100"/>
            </w:tcMar>
          </w:tcPr>
          <w:p>
            <w:r>
              <w:rPr>
                <w:rFonts w:ascii="Calibri" w:cs="Calibri" w:eastAsia="Calibri" w:hAnsi="Calibri"/>
                <w:b w:val="false"/>
                <w:bCs w:val="false"/>
                <w:color w:val="222222"/>
                <w:sz w:val="20"/>
                <w:szCs w:val="20"/>
              </w:rPr>
              <w:t xml:space="preserve">Ghost-Text Renderer</w:t>
            </w:r>
          </w:p>
        </w:tc>
        <w:tc>
          <w:tcPr>
            <w:tcW w:type="dxa" w:w="3600"/>
            <w:tcMar>
              <w:top w:type="dxa" w:w="80"/>
              <w:left w:type="dxa" w:w="100"/>
              <w:bottom w:type="dxa" w:w="80"/>
              <w:right w:type="dxa" w:w="100"/>
            </w:tcMar>
          </w:tcPr>
          <w:p>
            <w:r>
              <w:rPr>
                <w:rFonts w:ascii="Calibri" w:cs="Calibri" w:eastAsia="Calibri" w:hAnsi="Calibri"/>
                <w:b w:val="false"/>
                <w:bCs w:val="false"/>
                <w:color w:val="222222"/>
                <w:sz w:val="20"/>
                <w:szCs w:val="20"/>
              </w:rPr>
              <w:t xml:space="preserve">Renders the missing-slot prompt inline after the cursor</w:t>
            </w:r>
          </w:p>
        </w:tc>
        <w:tc>
          <w:tcPr>
            <w:tcW w:type="dxa" w:w="3350"/>
            <w:tcMar>
              <w:top w:type="dxa" w:w="80"/>
              <w:left w:type="dxa" w:w="100"/>
              <w:bottom w:type="dxa" w:w="80"/>
              <w:right w:type="dxa" w:w="100"/>
            </w:tcMar>
          </w:tcPr>
          <w:p>
            <w:r>
              <w:rPr>
                <w:rFonts w:ascii="Calibri" w:cs="Calibri" w:eastAsia="Calibri" w:hAnsi="Calibri"/>
                <w:b w:val="false"/>
                <w:bCs w:val="false"/>
                <w:color w:val="222222"/>
                <w:sz w:val="20"/>
                <w:szCs w:val="20"/>
              </w:rPr>
              <w:t xml:space="preserve">Standard editor/IDE-style suggestion pattern</w:t>
            </w:r>
          </w:p>
        </w:tc>
      </w:tr>
      <w:tr>
        <w:tc>
          <w:tcPr>
            <w:tcW w:type="dxa" w:w="2400"/>
            <w:tcMar>
              <w:top w:type="dxa" w:w="80"/>
              <w:left w:type="dxa" w:w="100"/>
              <w:bottom w:type="dxa" w:w="80"/>
              <w:right w:type="dxa" w:w="100"/>
            </w:tcMar>
          </w:tcPr>
          <w:p>
            <w:r>
              <w:rPr>
                <w:rFonts w:ascii="Calibri" w:cs="Calibri" w:eastAsia="Calibri" w:hAnsi="Calibri"/>
                <w:b w:val="false"/>
                <w:bCs w:val="false"/>
                <w:color w:val="222222"/>
                <w:sz w:val="20"/>
                <w:szCs w:val="20"/>
              </w:rPr>
              <w:t xml:space="preserve">Schema Build/Publish Job</w:t>
            </w:r>
          </w:p>
        </w:tc>
        <w:tc>
          <w:tcPr>
            <w:tcW w:type="dxa" w:w="3600"/>
            <w:tcMar>
              <w:top w:type="dxa" w:w="80"/>
              <w:left w:type="dxa" w:w="100"/>
              <w:bottom w:type="dxa" w:w="80"/>
              <w:right w:type="dxa" w:w="100"/>
            </w:tcMar>
          </w:tcPr>
          <w:p>
            <w:r>
              <w:rPr>
                <w:rFonts w:ascii="Calibri" w:cs="Calibri" w:eastAsia="Calibri" w:hAnsi="Calibri"/>
                <w:b w:val="false"/>
                <w:bCs w:val="false"/>
                <w:color w:val="222222"/>
                <w:sz w:val="20"/>
                <w:szCs w:val="20"/>
              </w:rPr>
              <w:t xml:space="preserve">Periodic export of taxonomy → lightweight slot index</w:t>
            </w:r>
          </w:p>
        </w:tc>
        <w:tc>
          <w:tcPr>
            <w:tcW w:type="dxa" w:w="3350"/>
            <w:tcMar>
              <w:top w:type="dxa" w:w="80"/>
              <w:left w:type="dxa" w:w="100"/>
              <w:bottom w:type="dxa" w:w="80"/>
              <w:right w:type="dxa" w:w="100"/>
            </w:tcMar>
          </w:tcPr>
          <w:p>
            <w:r>
              <w:rPr>
                <w:rFonts w:ascii="Calibri" w:cs="Calibri" w:eastAsia="Calibri" w:hAnsi="Calibri"/>
                <w:b w:val="false"/>
                <w:bCs w:val="false"/>
                <w:color w:val="222222"/>
                <w:sz w:val="20"/>
                <w:szCs w:val="20"/>
              </w:rPr>
              <w:t xml:space="preserve">Offline batch job, not in the request path</w:t>
            </w:r>
          </w:p>
        </w:tc>
      </w:tr>
    </w:tbl>
    <w:p>
      <w:pPr>
        <w:pStyle w:val="Heading1"/>
        <w:pBdr>
          <w:bottom w:val="single" w:color="C9A24B" w:sz="8" w:space="4"/>
        </w:pBdr>
        <w:spacing w:after="180" w:before="360"/>
      </w:pPr>
      <w:r>
        <w:rPr>
          <w:rFonts w:ascii="Trebuchet MS" w:cs="Trebuchet MS" w:eastAsia="Trebuchet MS" w:hAnsi="Trebuchet MS"/>
          <w:b/>
          <w:bCs/>
          <w:color w:val="0F2D52"/>
          <w:sz w:val="30"/>
          <w:szCs w:val="30"/>
        </w:rPr>
        <w:t xml:space="preserve">3. Data Flow</w:t>
      </w:r>
    </w:p>
    <w:p>
      <w:pPr>
        <w:pStyle w:val="ListParagraph"/>
        <w:numPr>
          <w:ilvl w:val="0"/>
          <w:numId w:val="3"/>
        </w:numPr>
        <w:spacing w:after="80"/>
      </w:pPr>
      <w:r>
        <w:rPr>
          <w:rFonts w:ascii="Calibri" w:cs="Calibri" w:eastAsia="Calibri" w:hAnsi="Calibri"/>
          <w:color w:val="222222"/>
          <w:sz w:val="22"/>
          <w:szCs w:val="22"/>
        </w:rPr>
        <w:t xml:space="preserve">User types into the query box; each keystroke triggers a debounced (~200ms) local check.</w:t>
      </w:r>
    </w:p>
    <w:p>
      <w:pPr>
        <w:pStyle w:val="ListParagraph"/>
        <w:numPr>
          <w:ilvl w:val="0"/>
          <w:numId w:val="3"/>
        </w:numPr>
        <w:spacing w:after="80"/>
      </w:pPr>
      <w:r>
        <w:rPr>
          <w:rFonts w:ascii="Calibri" w:cs="Calibri" w:eastAsia="Calibri" w:hAnsi="Calibri"/>
          <w:color w:val="222222"/>
          <w:sz w:val="22"/>
          <w:szCs w:val="22"/>
        </w:rPr>
        <w:t xml:space="preserve">The client matcher compares the partial string against intent patterns in the local slot-schema index using fuzzy prefix / n-gram similarity.</w:t>
      </w:r>
    </w:p>
    <w:p>
      <w:pPr>
        <w:pStyle w:val="ListParagraph"/>
        <w:numPr>
          <w:ilvl w:val="0"/>
          <w:numId w:val="3"/>
        </w:numPr>
        <w:spacing w:after="80"/>
      </w:pPr>
      <w:r>
        <w:rPr>
          <w:rFonts w:ascii="Calibri" w:cs="Calibri" w:eastAsia="Calibri" w:hAnsi="Calibri"/>
          <w:color w:val="222222"/>
          <w:sz w:val="22"/>
          <w:szCs w:val="22"/>
        </w:rPr>
        <w:t xml:space="preserve">If match confidence crosses a threshold, the matcher retrieves that intent's required slots from the same index (e.g. cash_balance_inquiry → [account_number]).</w:t>
      </w:r>
    </w:p>
    <w:p>
      <w:pPr>
        <w:pStyle w:val="ListParagraph"/>
        <w:numPr>
          <w:ilvl w:val="0"/>
          <w:numId w:val="3"/>
        </w:numPr>
        <w:spacing w:after="80"/>
      </w:pPr>
      <w:r>
        <w:rPr>
          <w:rFonts w:ascii="Calibri" w:cs="Calibri" w:eastAsia="Calibri" w:hAnsi="Calibri"/>
          <w:color w:val="222222"/>
          <w:sz w:val="22"/>
          <w:szCs w:val="22"/>
        </w:rPr>
        <w:t xml:space="preserve">If a required slot's name/synonyms are not yet present in the typed text, the UI renders a ghost-text suggestion completing the sentence, e.g. "show me account balance for [account number]".</w:t>
      </w:r>
    </w:p>
    <w:p>
      <w:pPr>
        <w:pStyle w:val="ListParagraph"/>
        <w:numPr>
          <w:ilvl w:val="0"/>
          <w:numId w:val="3"/>
        </w:numPr>
        <w:spacing w:after="80"/>
      </w:pPr>
      <w:r>
        <w:rPr>
          <w:rFonts w:ascii="Calibri" w:cs="Calibri" w:eastAsia="Calibri" w:hAnsi="Calibri"/>
          <w:color w:val="222222"/>
          <w:sz w:val="22"/>
          <w:szCs w:val="22"/>
        </w:rPr>
        <w:t xml:space="preserve">User can Tab/click to accept the placeholder (which then highlights the field for the user to fill in) or continue typing and ignore it.</w:t>
      </w:r>
    </w:p>
    <w:p>
      <w:pPr>
        <w:pStyle w:val="ListParagraph"/>
        <w:numPr>
          <w:ilvl w:val="0"/>
          <w:numId w:val="3"/>
        </w:numPr>
        <w:spacing w:after="80"/>
      </w:pPr>
      <w:r>
        <w:rPr>
          <w:rFonts w:ascii="Calibri" w:cs="Calibri" w:eastAsia="Calibri" w:hAnsi="Calibri"/>
          <w:color w:val="222222"/>
          <w:sz w:val="22"/>
          <w:szCs w:val="22"/>
        </w:rPr>
        <w:t xml:space="preserve">On submit, the full query still goes through the normal production pipeline (intent classification, disambiguation, entitlement checks) exactly as today — this feature only affects the typing experience, not the actual answer logic.</w:t>
      </w:r>
    </w:p>
    <w:p>
      <w:pPr>
        <w:pStyle w:val="Heading1"/>
        <w:pBdr>
          <w:bottom w:val="single" w:color="C9A24B" w:sz="8" w:space="4"/>
        </w:pBdr>
        <w:spacing w:after="180" w:before="360"/>
      </w:pPr>
      <w:r>
        <w:rPr>
          <w:rFonts w:ascii="Trebuchet MS" w:cs="Trebuchet MS" w:eastAsia="Trebuchet MS" w:hAnsi="Trebuchet MS"/>
          <w:b/>
          <w:bCs/>
          <w:color w:val="0F2D52"/>
          <w:sz w:val="30"/>
          <w:szCs w:val="30"/>
        </w:rPr>
        <w:t xml:space="preserve">4. Recommended Tech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50"/>
      </w:tblGrid>
      <w:tr>
        <w:tc>
          <w:tcPr>
            <w:tcW w:type="dxa" w:w="2200"/>
            <w:shd w:fill="0F2D52" w:val="clear"/>
            <w:tcMar>
              <w:top w:type="dxa" w:w="80"/>
              <w:left w:type="dxa" w:w="100"/>
              <w:bottom w:type="dxa" w:w="80"/>
              <w:right w:type="dxa" w:w="100"/>
            </w:tcMar>
          </w:tcPr>
          <w:p>
            <w:r>
              <w:rPr>
                <w:rFonts w:ascii="Trebuchet MS" w:cs="Trebuchet MS" w:eastAsia="Trebuchet MS" w:hAnsi="Trebuchet MS"/>
                <w:b/>
                <w:bCs/>
                <w:color w:val="FFFFFF"/>
                <w:sz w:val="20"/>
                <w:szCs w:val="20"/>
              </w:rPr>
              <w:t xml:space="preserve">Concern</w:t>
            </w:r>
          </w:p>
        </w:tc>
        <w:tc>
          <w:tcPr>
            <w:tcW w:type="dxa" w:w="3600"/>
            <w:shd w:fill="0F2D52" w:val="clear"/>
            <w:tcMar>
              <w:top w:type="dxa" w:w="80"/>
              <w:left w:type="dxa" w:w="100"/>
              <w:bottom w:type="dxa" w:w="80"/>
              <w:right w:type="dxa" w:w="100"/>
            </w:tcMar>
          </w:tcPr>
          <w:p>
            <w:r>
              <w:rPr>
                <w:rFonts w:ascii="Trebuchet MS" w:cs="Trebuchet MS" w:eastAsia="Trebuchet MS" w:hAnsi="Trebuchet MS"/>
                <w:b/>
                <w:bCs/>
                <w:color w:val="FFFFFF"/>
                <w:sz w:val="20"/>
                <w:szCs w:val="20"/>
              </w:rPr>
              <w:t xml:space="preserve">Recommendation</w:t>
            </w:r>
          </w:p>
        </w:tc>
        <w:tc>
          <w:tcPr>
            <w:tcW w:type="dxa" w:w="3550"/>
            <w:shd w:fill="0F2D52" w:val="clear"/>
            <w:tcMar>
              <w:top w:type="dxa" w:w="80"/>
              <w:left w:type="dxa" w:w="100"/>
              <w:bottom w:type="dxa" w:w="80"/>
              <w:right w:type="dxa" w:w="100"/>
            </w:tcMar>
          </w:tcPr>
          <w:p>
            <w:r>
              <w:rPr>
                <w:rFonts w:ascii="Trebuchet MS" w:cs="Trebuchet MS" w:eastAsia="Trebuchet MS" w:hAnsi="Trebuchet MS"/>
                <w:b/>
                <w:bCs/>
                <w:color w:val="FFFFFF"/>
                <w:sz w:val="20"/>
                <w:szCs w:val="20"/>
              </w:rPr>
              <w:t xml:space="preserve">Rationale</w:t>
            </w:r>
          </w:p>
        </w:tc>
      </w:tr>
      <w:tr>
        <w:tc>
          <w:tcPr>
            <w:tcW w:type="dxa" w:w="2200"/>
            <w:tcMar>
              <w:top w:type="dxa" w:w="80"/>
              <w:left w:type="dxa" w:w="100"/>
              <w:bottom w:type="dxa" w:w="80"/>
              <w:right w:type="dxa" w:w="100"/>
            </w:tcMar>
          </w:tcPr>
          <w:p>
            <w:r>
              <w:rPr>
                <w:rFonts w:ascii="Calibri" w:cs="Calibri" w:eastAsia="Calibri" w:hAnsi="Calibri"/>
                <w:b w:val="false"/>
                <w:bCs w:val="false"/>
                <w:color w:val="222222"/>
                <w:sz w:val="20"/>
                <w:szCs w:val="20"/>
              </w:rPr>
              <w:t xml:space="preserve">Fuzzy matching</w:t>
            </w:r>
          </w:p>
        </w:tc>
        <w:tc>
          <w:tcPr>
            <w:tcW w:type="dxa" w:w="3600"/>
            <w:tcMar>
              <w:top w:type="dxa" w:w="80"/>
              <w:left w:type="dxa" w:w="100"/>
              <w:bottom w:type="dxa" w:w="80"/>
              <w:right w:type="dxa" w:w="100"/>
            </w:tcMar>
          </w:tcPr>
          <w:p>
            <w:r>
              <w:rPr>
                <w:rFonts w:ascii="Calibri" w:cs="Calibri" w:eastAsia="Calibri" w:hAnsi="Calibri"/>
                <w:b w:val="false"/>
                <w:bCs w:val="false"/>
                <w:color w:val="222222"/>
                <w:sz w:val="20"/>
                <w:szCs w:val="20"/>
              </w:rPr>
              <w:t xml:space="preserve">Fuse.js or a small Trie + Levenshtein/Jaro-Winkler utility</w:t>
            </w:r>
          </w:p>
        </w:tc>
        <w:tc>
          <w:tcPr>
            <w:tcW w:type="dxa" w:w="3550"/>
            <w:tcMar>
              <w:top w:type="dxa" w:w="80"/>
              <w:left w:type="dxa" w:w="100"/>
              <w:bottom w:type="dxa" w:w="80"/>
              <w:right w:type="dxa" w:w="100"/>
            </w:tcMar>
          </w:tcPr>
          <w:p>
            <w:r>
              <w:rPr>
                <w:rFonts w:ascii="Calibri" w:cs="Calibri" w:eastAsia="Calibri" w:hAnsi="Calibri"/>
                <w:b w:val="false"/>
                <w:bCs w:val="false"/>
                <w:color w:val="222222"/>
                <w:sz w:val="20"/>
                <w:szCs w:val="20"/>
              </w:rPr>
              <w:t xml:space="preserve">Lightweight, runs client-side, no ML inference needed for pattern matching</w:t>
            </w:r>
          </w:p>
        </w:tc>
      </w:tr>
      <w:tr>
        <w:tc>
          <w:tcPr>
            <w:tcW w:type="dxa" w:w="2200"/>
            <w:tcMar>
              <w:top w:type="dxa" w:w="80"/>
              <w:left w:type="dxa" w:w="100"/>
              <w:bottom w:type="dxa" w:w="80"/>
              <w:right w:type="dxa" w:w="100"/>
            </w:tcMar>
          </w:tcPr>
          <w:p>
            <w:r>
              <w:rPr>
                <w:rFonts w:ascii="Calibri" w:cs="Calibri" w:eastAsia="Calibri" w:hAnsi="Calibri"/>
                <w:b w:val="false"/>
                <w:bCs w:val="false"/>
                <w:color w:val="222222"/>
                <w:sz w:val="20"/>
                <w:szCs w:val="20"/>
              </w:rPr>
              <w:t xml:space="preserve">Slot schema format</w:t>
            </w:r>
          </w:p>
        </w:tc>
        <w:tc>
          <w:tcPr>
            <w:tcW w:type="dxa" w:w="3600"/>
            <w:tcMar>
              <w:top w:type="dxa" w:w="80"/>
              <w:left w:type="dxa" w:w="100"/>
              <w:bottom w:type="dxa" w:w="80"/>
              <w:right w:type="dxa" w:w="100"/>
            </w:tcMar>
          </w:tcPr>
          <w:p>
            <w:r>
              <w:rPr>
                <w:rFonts w:ascii="Calibri" w:cs="Calibri" w:eastAsia="Calibri" w:hAnsi="Calibri"/>
                <w:b w:val="false"/>
                <w:bCs w:val="false"/>
                <w:color w:val="222222"/>
                <w:sz w:val="20"/>
                <w:szCs w:val="20"/>
              </w:rPr>
              <w:t xml:space="preserve">Static JSON/derived index, versioned and CDN-cached</w:t>
            </w:r>
          </w:p>
        </w:tc>
        <w:tc>
          <w:tcPr>
            <w:tcW w:type="dxa" w:w="3550"/>
            <w:tcMar>
              <w:top w:type="dxa" w:w="80"/>
              <w:left w:type="dxa" w:w="100"/>
              <w:bottom w:type="dxa" w:w="80"/>
              <w:right w:type="dxa" w:w="100"/>
            </w:tcMar>
          </w:tcPr>
          <w:p>
            <w:r>
              <w:rPr>
                <w:rFonts w:ascii="Calibri" w:cs="Calibri" w:eastAsia="Calibri" w:hAnsi="Calibri"/>
                <w:b w:val="false"/>
                <w:bCs w:val="false"/>
                <w:color w:val="222222"/>
                <w:sz w:val="20"/>
                <w:szCs w:val="20"/>
              </w:rPr>
              <w:t xml:space="preserve">Keeps it out of the hot request path; refresh on a schedule, not per session</w:t>
            </w:r>
          </w:p>
        </w:tc>
      </w:tr>
      <w:tr>
        <w:tc>
          <w:tcPr>
            <w:tcW w:type="dxa" w:w="2200"/>
            <w:tcMar>
              <w:top w:type="dxa" w:w="80"/>
              <w:left w:type="dxa" w:w="100"/>
              <w:bottom w:type="dxa" w:w="80"/>
              <w:right w:type="dxa" w:w="100"/>
            </w:tcMar>
          </w:tcPr>
          <w:p>
            <w:r>
              <w:rPr>
                <w:rFonts w:ascii="Calibri" w:cs="Calibri" w:eastAsia="Calibri" w:hAnsi="Calibri"/>
                <w:b w:val="false"/>
                <w:bCs w:val="false"/>
                <w:color w:val="222222"/>
                <w:sz w:val="20"/>
                <w:szCs w:val="20"/>
              </w:rPr>
              <w:t xml:space="preserve">UI pattern</w:t>
            </w:r>
          </w:p>
        </w:tc>
        <w:tc>
          <w:tcPr>
            <w:tcW w:type="dxa" w:w="3600"/>
            <w:tcMar>
              <w:top w:type="dxa" w:w="80"/>
              <w:left w:type="dxa" w:w="100"/>
              <w:bottom w:type="dxa" w:w="80"/>
              <w:right w:type="dxa" w:w="100"/>
            </w:tcMar>
          </w:tcPr>
          <w:p>
            <w:r>
              <w:rPr>
                <w:rFonts w:ascii="Calibri" w:cs="Calibri" w:eastAsia="Calibri" w:hAnsi="Calibri"/>
                <w:b w:val="false"/>
                <w:bCs w:val="false"/>
                <w:color w:val="222222"/>
                <w:sz w:val="20"/>
                <w:szCs w:val="20"/>
              </w:rPr>
              <w:t xml:space="preserve">Inline ghost-text (contenteditable overlay or shadow input), Tab-to-accept</w:t>
            </w:r>
          </w:p>
        </w:tc>
        <w:tc>
          <w:tcPr>
            <w:tcW w:type="dxa" w:w="3550"/>
            <w:tcMar>
              <w:top w:type="dxa" w:w="80"/>
              <w:left w:type="dxa" w:w="100"/>
              <w:bottom w:type="dxa" w:w="80"/>
              <w:right w:type="dxa" w:w="100"/>
            </w:tcMar>
          </w:tcPr>
          <w:p>
            <w:r>
              <w:rPr>
                <w:rFonts w:ascii="Calibri" w:cs="Calibri" w:eastAsia="Calibri" w:hAnsi="Calibri"/>
                <w:b w:val="false"/>
                <w:bCs w:val="false"/>
                <w:color w:val="222222"/>
                <w:sz w:val="20"/>
                <w:szCs w:val="20"/>
              </w:rPr>
              <w:t xml:space="preserve">Familiar pattern from code editors / search bars; low learning curve</w:t>
            </w:r>
          </w:p>
        </w:tc>
      </w:tr>
      <w:tr>
        <w:tc>
          <w:tcPr>
            <w:tcW w:type="dxa" w:w="2200"/>
            <w:tcMar>
              <w:top w:type="dxa" w:w="80"/>
              <w:left w:type="dxa" w:w="100"/>
              <w:bottom w:type="dxa" w:w="80"/>
              <w:right w:type="dxa" w:w="100"/>
            </w:tcMar>
          </w:tcPr>
          <w:p>
            <w:r>
              <w:rPr>
                <w:rFonts w:ascii="Calibri" w:cs="Calibri" w:eastAsia="Calibri" w:hAnsi="Calibri"/>
                <w:b w:val="false"/>
                <w:bCs w:val="false"/>
                <w:color w:val="222222"/>
                <w:sz w:val="20"/>
                <w:szCs w:val="20"/>
              </w:rPr>
              <w:t xml:space="preserve">Debounce</w:t>
            </w:r>
          </w:p>
        </w:tc>
        <w:tc>
          <w:tcPr>
            <w:tcW w:type="dxa" w:w="3600"/>
            <w:tcMar>
              <w:top w:type="dxa" w:w="80"/>
              <w:left w:type="dxa" w:w="100"/>
              <w:bottom w:type="dxa" w:w="80"/>
              <w:right w:type="dxa" w:w="100"/>
            </w:tcMar>
          </w:tcPr>
          <w:p>
            <w:r>
              <w:rPr>
                <w:rFonts w:ascii="Calibri" w:cs="Calibri" w:eastAsia="Calibri" w:hAnsi="Calibri"/>
                <w:b w:val="false"/>
                <w:bCs w:val="false"/>
                <w:color w:val="222222"/>
                <w:sz w:val="20"/>
                <w:szCs w:val="20"/>
              </w:rPr>
              <w:t xml:space="preserve">~150–250ms via standard debounce hook</w:t>
            </w:r>
          </w:p>
        </w:tc>
        <w:tc>
          <w:tcPr>
            <w:tcW w:type="dxa" w:w="3550"/>
            <w:tcMar>
              <w:top w:type="dxa" w:w="80"/>
              <w:left w:type="dxa" w:w="100"/>
              <w:bottom w:type="dxa" w:w="80"/>
              <w:right w:type="dxa" w:w="100"/>
            </w:tcMar>
          </w:tcPr>
          <w:p>
            <w:r>
              <w:rPr>
                <w:rFonts w:ascii="Calibri" w:cs="Calibri" w:eastAsia="Calibri" w:hAnsi="Calibri"/>
                <w:b w:val="false"/>
                <w:bCs w:val="false"/>
                <w:color w:val="222222"/>
                <w:sz w:val="20"/>
                <w:szCs w:val="20"/>
              </w:rPr>
              <w:t xml:space="preserve">Balances responsiveness against wasted matching cycles while typing</w:t>
            </w:r>
          </w:p>
        </w:tc>
      </w:tr>
      <w:tr>
        <w:tc>
          <w:tcPr>
            <w:tcW w:type="dxa" w:w="2200"/>
            <w:tcMar>
              <w:top w:type="dxa" w:w="80"/>
              <w:left w:type="dxa" w:w="100"/>
              <w:bottom w:type="dxa" w:w="80"/>
              <w:right w:type="dxa" w:w="100"/>
            </w:tcMar>
          </w:tcPr>
          <w:p>
            <w:r>
              <w:rPr>
                <w:rFonts w:ascii="Calibri" w:cs="Calibri" w:eastAsia="Calibri" w:hAnsi="Calibri"/>
                <w:b w:val="false"/>
                <w:bCs w:val="false"/>
                <w:color w:val="222222"/>
                <w:sz w:val="20"/>
                <w:szCs w:val="20"/>
              </w:rPr>
              <w:t xml:space="preserve">Schema build job</w:t>
            </w:r>
          </w:p>
        </w:tc>
        <w:tc>
          <w:tcPr>
            <w:tcW w:type="dxa" w:w="3600"/>
            <w:tcMar>
              <w:top w:type="dxa" w:w="80"/>
              <w:left w:type="dxa" w:w="100"/>
              <w:bottom w:type="dxa" w:w="80"/>
              <w:right w:type="dxa" w:w="100"/>
            </w:tcMar>
          </w:tcPr>
          <w:p>
            <w:r>
              <w:rPr>
                <w:rFonts w:ascii="Calibri" w:cs="Calibri" w:eastAsia="Calibri" w:hAnsi="Calibri"/>
                <w:b w:val="false"/>
                <w:bCs w:val="false"/>
                <w:color w:val="222222"/>
                <w:sz w:val="20"/>
                <w:szCs w:val="20"/>
              </w:rPr>
              <w:t xml:space="preserve">Offline batch export from the intent taxonomy store</w:t>
            </w:r>
          </w:p>
        </w:tc>
        <w:tc>
          <w:tcPr>
            <w:tcW w:type="dxa" w:w="3550"/>
            <w:tcMar>
              <w:top w:type="dxa" w:w="80"/>
              <w:left w:type="dxa" w:w="100"/>
              <w:bottom w:type="dxa" w:w="80"/>
              <w:right w:type="dxa" w:w="100"/>
            </w:tcMar>
          </w:tcPr>
          <w:p>
            <w:r>
              <w:rPr>
                <w:rFonts w:ascii="Calibri" w:cs="Calibri" w:eastAsia="Calibri" w:hAnsi="Calibri"/>
                <w:b w:val="false"/>
                <w:bCs w:val="false"/>
                <w:color w:val="222222"/>
                <w:sz w:val="20"/>
                <w:szCs w:val="20"/>
              </w:rPr>
              <w:t xml:space="preserve">Decouples this feature from taxonomy size/availability constraints</w:t>
            </w:r>
          </w:p>
        </w:tc>
      </w:tr>
    </w:tbl>
    <w:p>
      <w:pPr>
        <w:spacing w:after="120"/>
      </w:pPr>
      <w:r>
        <w:rPr>
          <w:rFonts w:ascii="Calibri" w:cs="Calibri" w:eastAsia="Calibri" w:hAnsi="Calibri"/>
          <w:b w:val="false"/>
          <w:bCs w:val="false"/>
          <w:i w:val="false"/>
          <w:iCs w:val="false"/>
          <w:color w:val="222222"/>
          <w:sz w:val="22"/>
          <w:szCs w:val="22"/>
        </w:rPr>
        <w:t xml:space="preserve">These are general-purpose, framework-agnostic recommendations (vanilla JS libraries, standard UI patterns). I don't have visibility into Vantage's actual frontend framework or existing component library, so the concrete implementation (e.g. a specific autocomplete component vs. a custom one) should be adapted to whatever you're already using.</w:t>
      </w:r>
    </w:p>
    <w:p>
      <w:pPr>
        <w:pStyle w:val="Heading1"/>
        <w:pBdr>
          <w:bottom w:val="single" w:color="C9A24B" w:sz="8" w:space="4"/>
        </w:pBdr>
        <w:spacing w:after="180" w:before="360"/>
      </w:pPr>
      <w:r>
        <w:rPr>
          <w:rFonts w:ascii="Trebuchet MS" w:cs="Trebuchet MS" w:eastAsia="Trebuchet MS" w:hAnsi="Trebuchet MS"/>
          <w:b/>
          <w:bCs/>
          <w:color w:val="0F2D52"/>
          <w:sz w:val="30"/>
          <w:szCs w:val="30"/>
        </w:rPr>
        <w:t xml:space="preserve">5. Open Questions / Risks</w:t>
      </w:r>
    </w:p>
    <w:p>
      <w:pPr>
        <w:pBdr>
          <w:left w:val="single" w:color="C9A24B" w:sz="18" w:space="8"/>
        </w:pBdr>
        <w:shd w:fill="F4EEDD" w:val="clear"/>
        <w:spacing w:after="120" w:before="60"/>
        <w:ind w:left="120"/>
      </w:pPr>
      <w:r>
        <w:rPr>
          <w:rFonts w:ascii="Calibri" w:cs="Calibri" w:eastAsia="Calibri" w:hAnsi="Calibri"/>
          <w:b/>
          <w:bCs/>
          <w:color w:val="0F2D52"/>
          <w:sz w:val="20"/>
          <w:szCs w:val="20"/>
        </w:rPr>
        <w:t xml:space="preserve">⚠ Unverified / needs confirmation: </w:t>
      </w:r>
      <w:r>
        <w:rPr>
          <w:rFonts w:ascii="Calibri" w:cs="Calibri" w:eastAsia="Calibri" w:hAnsi="Calibri"/>
          <w:i/>
          <w:iCs/>
          <w:color w:val="666666"/>
          <w:sz w:val="20"/>
          <w:szCs w:val="20"/>
        </w:rPr>
        <w:t xml:space="preserve">Whether the intent taxonomy can be exported into a small, client-shippable slot-schema index depends on how it's currently stored and whether slot requirements are already modeled per intent, or only used inside the LangGraph pipeline. Confirm with the taxonomy owner before scoping engineering effort.</w:t>
      </w:r>
    </w:p>
    <w:p>
      <w:pPr>
        <w:pBdr>
          <w:left w:val="single" w:color="C9A24B" w:sz="18" w:space="8"/>
        </w:pBdr>
        <w:shd w:fill="F4EEDD" w:val="clear"/>
        <w:spacing w:after="120" w:before="60"/>
        <w:ind w:left="120"/>
      </w:pPr>
      <w:r>
        <w:rPr>
          <w:rFonts w:ascii="Calibri" w:cs="Calibri" w:eastAsia="Calibri" w:hAnsi="Calibri"/>
          <w:b/>
          <w:bCs/>
          <w:color w:val="0F2D52"/>
          <w:sz w:val="20"/>
          <w:szCs w:val="20"/>
        </w:rPr>
        <w:t xml:space="preserve">⚠ Unverified / needs confirmation: </w:t>
      </w:r>
      <w:r>
        <w:rPr>
          <w:rFonts w:ascii="Calibri" w:cs="Calibri" w:eastAsia="Calibri" w:hAnsi="Calibri"/>
          <w:i/>
          <w:iCs/>
          <w:color w:val="666666"/>
          <w:sz w:val="20"/>
          <w:szCs w:val="20"/>
        </w:rPr>
        <w:t xml:space="preserve">Exact taxonomy size (~200K rows) is as previously stated in the assistant's design notes — the derived slot-schema subset will be much smaller, but I don't have a verified figure for what that subset size would be.</w:t>
      </w:r>
    </w:p>
    <w:p>
      <w:pPr>
        <w:pBdr>
          <w:left w:val="single" w:color="C9A24B" w:sz="18" w:space="8"/>
        </w:pBdr>
        <w:shd w:fill="F4EEDD" w:val="clear"/>
        <w:spacing w:after="120" w:before="60"/>
        <w:ind w:left="120"/>
      </w:pPr>
      <w:r>
        <w:rPr>
          <w:rFonts w:ascii="Calibri" w:cs="Calibri" w:eastAsia="Calibri" w:hAnsi="Calibri"/>
          <w:b/>
          <w:bCs/>
          <w:color w:val="0F2D52"/>
          <w:sz w:val="20"/>
          <w:szCs w:val="20"/>
        </w:rPr>
        <w:t xml:space="preserve">⚠ Unverified / needs confirmation: </w:t>
      </w:r>
      <w:r>
        <w:rPr>
          <w:rFonts w:ascii="Calibri" w:cs="Calibri" w:eastAsia="Calibri" w:hAnsi="Calibri"/>
          <w:i/>
          <w:iCs/>
          <w:color w:val="666666"/>
          <w:sz w:val="20"/>
          <w:szCs w:val="20"/>
        </w:rPr>
        <w:t xml:space="preserve">Client-side matching thresholds (confidence cutoff, debounce timing) are starting recommendations based on common autocomplete/IDE patterns, not values tuned against Vantage's actual query distribution — these need empirical tuning against real usage logs.</w:t>
      </w:r>
    </w:p>
    <w:p>
      <w:pPr>
        <w:spacing w:after="120"/>
      </w:pPr>
      <w:r>
        <w:rPr>
          <w:rFonts w:ascii="Calibri" w:cs="Calibri" w:eastAsia="Calibri" w:hAnsi="Calibri"/>
          <w:b w:val="false"/>
          <w:bCs w:val="false"/>
          <w:i w:val="false"/>
          <w:iCs w:val="false"/>
          <w:color w:val="222222"/>
          <w:sz w:val="22"/>
          <w:szCs w:val="22"/>
        </w:rPr>
        <w:t xml:space="preserve">Non-blocking considerations for later phases:</w:t>
      </w:r>
    </w:p>
    <w:p>
      <w:pPr>
        <w:pStyle w:val="ListParagraph"/>
        <w:numPr>
          <w:ilvl w:val="0"/>
          <w:numId w:val="2"/>
        </w:numPr>
        <w:spacing w:after="80"/>
      </w:pPr>
      <w:r>
        <w:rPr>
          <w:rFonts w:ascii="Calibri" w:cs="Calibri" w:eastAsia="Calibri" w:hAnsi="Calibri"/>
          <w:b w:val="false"/>
          <w:bCs w:val="false"/>
          <w:color w:val="222222"/>
          <w:sz w:val="22"/>
          <w:szCs w:val="22"/>
        </w:rPr>
        <w:t xml:space="preserve">Multi-intent queries (the assistant already supports up to 2 intents) — this design assumes single-intent detection for the typing-time suggestion; multi-intent slot prompting would need a follow-up design.</w:t>
      </w:r>
    </w:p>
    <w:p>
      <w:pPr>
        <w:pStyle w:val="ListParagraph"/>
        <w:numPr>
          <w:ilvl w:val="0"/>
          <w:numId w:val="2"/>
        </w:numPr>
        <w:spacing w:after="80"/>
      </w:pPr>
      <w:r>
        <w:rPr>
          <w:rFonts w:ascii="Calibri" w:cs="Calibri" w:eastAsia="Calibri" w:hAnsi="Calibri"/>
          <w:b w:val="false"/>
          <w:bCs w:val="false"/>
          <w:color w:val="222222"/>
          <w:sz w:val="22"/>
          <w:szCs w:val="22"/>
        </w:rPr>
        <w:t xml:space="preserve">Mobile support is out of scope for this phase per the current decision, but the schema-index approach should port to native/mobile input components without major rework.</w:t>
      </w:r>
    </w:p>
    <w:p>
      <w:pPr>
        <w:pStyle w:val="Heading1"/>
        <w:pBdr>
          <w:bottom w:val="single" w:color="C9A24B" w:sz="8" w:space="4"/>
        </w:pBdr>
        <w:spacing w:after="180" w:before="360"/>
      </w:pPr>
      <w:r>
        <w:rPr>
          <w:rFonts w:ascii="Trebuchet MS" w:cs="Trebuchet MS" w:eastAsia="Trebuchet MS" w:hAnsi="Trebuchet MS"/>
          <w:b/>
          <w:bCs/>
          <w:color w:val="0F2D52"/>
          <w:sz w:val="30"/>
          <w:szCs w:val="30"/>
        </w:rPr>
        <w:t xml:space="preserve">6. Summary</w:t>
      </w:r>
    </w:p>
    <w:p>
      <w:pPr>
        <w:spacing w:after="120"/>
      </w:pPr>
      <w:r>
        <w:rPr>
          <w:rFonts w:ascii="Calibri" w:cs="Calibri" w:eastAsia="Calibri" w:hAnsi="Calibri"/>
          <w:b w:val="false"/>
          <w:bCs w:val="false"/>
          <w:i w:val="false"/>
          <w:iCs w:val="false"/>
          <w:color w:val="222222"/>
          <w:sz w:val="22"/>
          <w:szCs w:val="22"/>
        </w:rPr>
        <w:t xml:space="preserve">This feature is best implemented as a client-side, schema-driven suggestion layer decoupled from the production conversational pipeline — matching partial text to intent patterns and prompting for missing required slots by name, without fetching or suggesting real account data. The main dependency to resolve before implementation is whether a lightweight, exportable slot-schema index can be derived from the existing intent taxonomy.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2026-08-12T09:29:49.079Z</dcterms:created>
  <dcterms:modified xsi:type="dcterms:W3CDTF">2026-08-12T09:29:49.090Z</dcterms:modified>
</cp:coreProperties>
</file>

<file path=docProps/custom.xml><?xml version="1.0" encoding="utf-8"?>
<Properties xmlns="http://schemas.openxmlformats.org/officeDocument/2006/custom-properties" xmlns:vt="http://schemas.openxmlformats.org/officeDocument/2006/docPropsVTypes"/>
</file>