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писание-структур-в-виде-таблиц"/>
    <w:p>
      <w:pPr>
        <w:pStyle w:val="Heading1"/>
      </w:pPr>
      <w:r>
        <w:t xml:space="preserve">3.3. Описание структур в виде таблиц</w:t>
      </w:r>
    </w:p>
    <w:p>
      <w:pPr>
        <w:pStyle w:val="FirstParagraph"/>
      </w:pPr>
      <w:r>
        <w:rPr>
          <w:b/>
          <w:bCs/>
        </w:rPr>
        <w:t xml:space="preserve">Таблица 3.2 Используемые идентификаторы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идентификатора</w:t>
            </w:r>
          </w:p>
        </w:tc>
        <w:tc>
          <w:tcPr/>
          <w:p>
            <w:pPr>
              <w:pStyle w:val="Compact"/>
            </w:pPr>
            <w:r>
              <w:t xml:space="preserve">Тип данных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  <w:tc>
          <w:tcPr/>
          <w:p>
            <w:pPr>
              <w:pStyle w:val="Compact"/>
            </w:pPr>
            <w:r>
              <w:t xml:space="preserve">Структура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TypeCode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Код типа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Название типа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Уникальный код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TypeCode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Код типа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Manufacturer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Фирма-изготовитель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Модель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Parameters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Параметры и характеристики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Real</w:t>
            </w:r>
          </w:p>
        </w:tc>
        <w:tc>
          <w:tcPr/>
          <w:p>
            <w:pPr>
              <w:pStyle w:val="Compact"/>
            </w:pPr>
            <w:r>
              <w:t xml:space="preserve">Цена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InStock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в наличии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ComponentCode1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Код первой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ComponentCode2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Код второй совместимой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TCompatibility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Уникальный идентификатор варианта</w:t>
            </w:r>
          </w:p>
        </w:tc>
        <w:tc>
          <w:tcPr/>
          <w:p>
            <w:pPr>
              <w:pStyle w:val="Compact"/>
            </w:pPr>
            <w:r>
              <w:t xml:space="preserve">TPCBuildOption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ComponentCodes</w:t>
            </w:r>
          </w:p>
        </w:tc>
        <w:tc>
          <w:tcPr/>
          <w:p>
            <w:pPr>
              <w:pStyle w:val="Compact"/>
            </w:pPr>
            <w:r>
              <w:t xml:space="preserve">array of Integer</w:t>
            </w:r>
          </w:p>
        </w:tc>
        <w:tc>
          <w:tcPr/>
          <w:p>
            <w:pPr>
              <w:pStyle w:val="Compact"/>
            </w:pPr>
            <w:r>
              <w:t xml:space="preserve">Массив кодов комплектующих в конфигурации</w:t>
            </w:r>
          </w:p>
        </w:tc>
        <w:tc>
          <w:tcPr/>
          <w:p>
            <w:pPr>
              <w:pStyle w:val="Compact"/>
            </w:pPr>
            <w:r>
              <w:t xml:space="preserve">TPCBuildOption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TotalPrice</w:t>
            </w:r>
          </w:p>
        </w:tc>
        <w:tc>
          <w:tcPr/>
          <w:p>
            <w:pPr>
              <w:pStyle w:val="Compact"/>
            </w:pPr>
            <w:r>
              <w:t xml:space="preserve">Real</w:t>
            </w:r>
          </w:p>
        </w:tc>
        <w:tc>
          <w:tcPr/>
          <w:p>
            <w:pPr>
              <w:pStyle w:val="Compact"/>
            </w:pPr>
            <w:r>
              <w:t xml:space="preserve">Общая стоимость конфигурации</w:t>
            </w:r>
          </w:p>
        </w:tc>
        <w:tc>
          <w:tcPr/>
          <w:p>
            <w:pPr>
              <w:pStyle w:val="Compact"/>
            </w:pPr>
            <w:r>
              <w:t xml:space="preserve">TPCBuildOption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Уникальный идентификатор заказа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BuildOptionID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ID выбранного варианта комплектации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CustomerName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Имя заказчика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CustomerPhone</w:t>
            </w:r>
          </w:p>
        </w:tc>
        <w:tc>
          <w:tcPr/>
          <w:p>
            <w:pPr>
              <w:pStyle w:val="Compact"/>
            </w:pPr>
            <w:r>
              <w:t xml:space="preserve">TFixedString</w:t>
            </w:r>
          </w:p>
        </w:tc>
        <w:tc>
          <w:tcPr/>
          <w:p>
            <w:pPr>
              <w:pStyle w:val="Compact"/>
            </w:pPr>
            <w:r>
              <w:t xml:space="preserve">Телефон заказчика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OrderDate</w:t>
            </w:r>
          </w:p>
        </w:tc>
        <w:tc>
          <w:tcPr/>
          <w:p>
            <w:pPr>
              <w:pStyle w:val="Compact"/>
            </w:pPr>
            <w:r>
              <w:t xml:space="preserve">TDateTime</w:t>
            </w:r>
          </w:p>
        </w:tc>
        <w:tc>
          <w:tcPr/>
          <w:p>
            <w:pPr>
              <w:pStyle w:val="Compact"/>
            </w:pPr>
            <w:r>
              <w:t xml:space="preserve">Дата оформления заказа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TComponentType</w:t>
            </w:r>
          </w:p>
        </w:tc>
        <w:tc>
          <w:tcPr/>
          <w:p>
            <w:pPr>
              <w:pStyle w:val="Compact"/>
            </w:pPr>
            <w:r>
              <w:t xml:space="preserve">Данные о типе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TComponentTypeNode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</w:t>
            </w:r>
          </w:p>
        </w:tc>
        <w:tc>
          <w:tcPr/>
          <w:p>
            <w:pPr>
              <w:pStyle w:val="Compact"/>
            </w:pPr>
            <w:r>
              <w:t xml:space="preserve">PComponentTypeNode</w:t>
            </w:r>
          </w:p>
        </w:tc>
        <w:tc>
          <w:tcPr/>
          <w:p>
            <w:pPr>
              <w:pStyle w:val="Compact"/>
            </w:pPr>
            <w:r>
              <w:t xml:space="preserve">Указатель на следующий узел</w:t>
            </w:r>
          </w:p>
        </w:tc>
        <w:tc>
          <w:tcPr/>
          <w:p>
            <w:pPr>
              <w:pStyle w:val="Compact"/>
            </w:pPr>
            <w:r>
              <w:t xml:space="preserve">TComponentTypeNode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TComponent</w:t>
            </w:r>
          </w:p>
        </w:tc>
        <w:tc>
          <w:tcPr/>
          <w:p>
            <w:pPr>
              <w:pStyle w:val="Compact"/>
            </w:pPr>
            <w:r>
              <w:t xml:space="preserve">Данные о комплектующей</w:t>
            </w:r>
          </w:p>
        </w:tc>
        <w:tc>
          <w:tcPr/>
          <w:p>
            <w:pPr>
              <w:pStyle w:val="Compact"/>
            </w:pPr>
            <w:r>
              <w:t xml:space="preserve">TComponentNode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</w:t>
            </w:r>
          </w:p>
        </w:tc>
        <w:tc>
          <w:tcPr/>
          <w:p>
            <w:pPr>
              <w:pStyle w:val="Compact"/>
            </w:pPr>
            <w:r>
              <w:t xml:space="preserve">PComponentNode</w:t>
            </w:r>
          </w:p>
        </w:tc>
        <w:tc>
          <w:tcPr/>
          <w:p>
            <w:pPr>
              <w:pStyle w:val="Compact"/>
            </w:pPr>
            <w:r>
              <w:t xml:space="preserve">Указатель на следующий узел</w:t>
            </w:r>
          </w:p>
        </w:tc>
        <w:tc>
          <w:tcPr/>
          <w:p>
            <w:pPr>
              <w:pStyle w:val="Compact"/>
            </w:pPr>
            <w:r>
              <w:t xml:space="preserve">TComponentNode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TCompatibility</w:t>
            </w:r>
          </w:p>
        </w:tc>
        <w:tc>
          <w:tcPr/>
          <w:p>
            <w:pPr>
              <w:pStyle w:val="Compact"/>
            </w:pPr>
            <w:r>
              <w:t xml:space="preserve">Данные о совместимости</w:t>
            </w:r>
          </w:p>
        </w:tc>
        <w:tc>
          <w:tcPr/>
          <w:p>
            <w:pPr>
              <w:pStyle w:val="Compact"/>
            </w:pPr>
            <w:r>
              <w:t xml:space="preserve">TCompatibilityNode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</w:t>
            </w:r>
          </w:p>
        </w:tc>
        <w:tc>
          <w:tcPr/>
          <w:p>
            <w:pPr>
              <w:pStyle w:val="Compact"/>
            </w:pPr>
            <w:r>
              <w:t xml:space="preserve">PCompatibilityNode</w:t>
            </w:r>
          </w:p>
        </w:tc>
        <w:tc>
          <w:tcPr/>
          <w:p>
            <w:pPr>
              <w:pStyle w:val="Compact"/>
            </w:pPr>
            <w:r>
              <w:t xml:space="preserve">Указатель на следующий узел</w:t>
            </w:r>
          </w:p>
        </w:tc>
        <w:tc>
          <w:tcPr/>
          <w:p>
            <w:pPr>
              <w:pStyle w:val="Compact"/>
            </w:pPr>
            <w:r>
              <w:t xml:space="preserve">TCompatibilityNode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TPCBuildOption</w:t>
            </w:r>
          </w:p>
        </w:tc>
        <w:tc>
          <w:tcPr/>
          <w:p>
            <w:pPr>
              <w:pStyle w:val="Compact"/>
            </w:pPr>
            <w:r>
              <w:t xml:space="preserve">Данные о варианте комплектации</w:t>
            </w:r>
          </w:p>
        </w:tc>
        <w:tc>
          <w:tcPr/>
          <w:p>
            <w:pPr>
              <w:pStyle w:val="Compact"/>
            </w:pPr>
            <w:r>
              <w:t xml:space="preserve">TPCBuildOptionNode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</w:t>
            </w:r>
          </w:p>
        </w:tc>
        <w:tc>
          <w:tcPr/>
          <w:p>
            <w:pPr>
              <w:pStyle w:val="Compact"/>
            </w:pPr>
            <w:r>
              <w:t xml:space="preserve">PPCBuildOptionNode</w:t>
            </w:r>
          </w:p>
        </w:tc>
        <w:tc>
          <w:tcPr/>
          <w:p>
            <w:pPr>
              <w:pStyle w:val="Compact"/>
            </w:pPr>
            <w:r>
              <w:t xml:space="preserve">Указатель на следующий узел</w:t>
            </w:r>
          </w:p>
        </w:tc>
        <w:tc>
          <w:tcPr/>
          <w:p>
            <w:pPr>
              <w:pStyle w:val="Compact"/>
            </w:pPr>
            <w:r>
              <w:t xml:space="preserve">TPCBuildOptionNode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TOrder</w:t>
            </w:r>
          </w:p>
        </w:tc>
        <w:tc>
          <w:tcPr/>
          <w:p>
            <w:pPr>
              <w:pStyle w:val="Compact"/>
            </w:pPr>
            <w:r>
              <w:t xml:space="preserve">Данные о заказе</w:t>
            </w:r>
          </w:p>
        </w:tc>
        <w:tc>
          <w:tcPr/>
          <w:p>
            <w:pPr>
              <w:pStyle w:val="Compact"/>
            </w:pPr>
            <w:r>
              <w:t xml:space="preserve">TOrderNode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</w:t>
            </w:r>
          </w:p>
        </w:tc>
        <w:tc>
          <w:tcPr/>
          <w:p>
            <w:pPr>
              <w:pStyle w:val="Compact"/>
            </w:pPr>
            <w:r>
              <w:t xml:space="preserve">POrderNode</w:t>
            </w:r>
          </w:p>
        </w:tc>
        <w:tc>
          <w:tcPr/>
          <w:p>
            <w:pPr>
              <w:pStyle w:val="Compact"/>
            </w:pPr>
            <w:r>
              <w:t xml:space="preserve">Указатель на следующий узел</w:t>
            </w:r>
          </w:p>
        </w:tc>
        <w:tc>
          <w:tcPr/>
          <w:p>
            <w:pPr>
              <w:pStyle w:val="Compact"/>
            </w:pPr>
            <w:r>
              <w:t xml:space="preserve">TOrderNode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PComponentTypeNode</w:t>
            </w:r>
          </w:p>
        </w:tc>
        <w:tc>
          <w:tcPr/>
          <w:p>
            <w:pPr>
              <w:pStyle w:val="Compact"/>
            </w:pPr>
            <w:r>
              <w:t xml:space="preserve">Указатель на первый элемент списка</w:t>
            </w:r>
          </w:p>
        </w:tc>
        <w:tc>
          <w:tcPr/>
          <w:p>
            <w:pPr>
              <w:pStyle w:val="Compact"/>
            </w:pPr>
            <w:r>
              <w:t xml:space="preserve">TComponentTypeList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элементов в списке</w:t>
            </w:r>
          </w:p>
        </w:tc>
        <w:tc>
          <w:tcPr/>
          <w:p>
            <w:pPr>
              <w:pStyle w:val="Compact"/>
            </w:pPr>
            <w:r>
              <w:t xml:space="preserve">TComponentTypeList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PComponentNode</w:t>
            </w:r>
          </w:p>
        </w:tc>
        <w:tc>
          <w:tcPr/>
          <w:p>
            <w:pPr>
              <w:pStyle w:val="Compact"/>
            </w:pPr>
            <w:r>
              <w:t xml:space="preserve">Указатель на первый элемент списка</w:t>
            </w:r>
          </w:p>
        </w:tc>
        <w:tc>
          <w:tcPr/>
          <w:p>
            <w:pPr>
              <w:pStyle w:val="Compact"/>
            </w:pPr>
            <w:r>
              <w:t xml:space="preserve">TComponentList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элементов в списке</w:t>
            </w:r>
          </w:p>
        </w:tc>
        <w:tc>
          <w:tcPr/>
          <w:p>
            <w:pPr>
              <w:pStyle w:val="Compact"/>
            </w:pPr>
            <w:r>
              <w:t xml:space="preserve">TComponentList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PCompatibilityNode</w:t>
            </w:r>
          </w:p>
        </w:tc>
        <w:tc>
          <w:tcPr/>
          <w:p>
            <w:pPr>
              <w:pStyle w:val="Compact"/>
            </w:pPr>
            <w:r>
              <w:t xml:space="preserve">Указатель на первый элемент списка</w:t>
            </w:r>
          </w:p>
        </w:tc>
        <w:tc>
          <w:tcPr/>
          <w:p>
            <w:pPr>
              <w:pStyle w:val="Compact"/>
            </w:pPr>
            <w:r>
              <w:t xml:space="preserve">TCompatibilityList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элементов в списке</w:t>
            </w:r>
          </w:p>
        </w:tc>
        <w:tc>
          <w:tcPr/>
          <w:p>
            <w:pPr>
              <w:pStyle w:val="Compact"/>
            </w:pPr>
            <w:r>
              <w:t xml:space="preserve">TCompatibilityList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PPCBuildOptionNode</w:t>
            </w:r>
          </w:p>
        </w:tc>
        <w:tc>
          <w:tcPr/>
          <w:p>
            <w:pPr>
              <w:pStyle w:val="Compact"/>
            </w:pPr>
            <w:r>
              <w:t xml:space="preserve">Указатель на первый элемент списка</w:t>
            </w:r>
          </w:p>
        </w:tc>
        <w:tc>
          <w:tcPr/>
          <w:p>
            <w:pPr>
              <w:pStyle w:val="Compact"/>
            </w:pPr>
            <w:r>
              <w:t xml:space="preserve">TPCBuildOptionList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элементов в списке</w:t>
            </w:r>
          </w:p>
        </w:tc>
        <w:tc>
          <w:tcPr/>
          <w:p>
            <w:pPr>
              <w:pStyle w:val="Compact"/>
            </w:pPr>
            <w:r>
              <w:t xml:space="preserve">TPCBuildOptionList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</w:t>
            </w:r>
          </w:p>
        </w:tc>
        <w:tc>
          <w:tcPr/>
          <w:p>
            <w:pPr>
              <w:pStyle w:val="Compact"/>
            </w:pPr>
            <w:r>
              <w:t xml:space="preserve">POrderNode</w:t>
            </w:r>
          </w:p>
        </w:tc>
        <w:tc>
          <w:tcPr/>
          <w:p>
            <w:pPr>
              <w:pStyle w:val="Compact"/>
            </w:pPr>
            <w:r>
              <w:t xml:space="preserve">Указатель на первый элемент списка</w:t>
            </w:r>
          </w:p>
        </w:tc>
        <w:tc>
          <w:tcPr/>
          <w:p>
            <w:pPr>
              <w:pStyle w:val="Compact"/>
            </w:pPr>
            <w:r>
              <w:t xml:space="preserve">TOrderList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Количество элементов в списке</w:t>
            </w:r>
          </w:p>
        </w:tc>
        <w:tc>
          <w:tcPr/>
          <w:p>
            <w:pPr>
              <w:pStyle w:val="Compact"/>
            </w:pPr>
            <w:r>
              <w:t xml:space="preserve">TOrderList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2025-06-08T11:38:37Z</dcterms:created>
  <dcterms:modified xsi:type="dcterms:W3CDTF">2025-06-08T11:38:37Z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