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06"/>
        <w:gridCol w:w="1724"/>
        <w:gridCol w:w="1478"/>
        <w:gridCol w:w="86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No 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53.0 [48.0, 59.0]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53.0 [43.0, 58.0]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492 (70.8)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675 (72.8)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0.400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ethnicity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0.128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525 (75.5)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727 (78.6)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128 (18.4)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136 (14.7)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42 ( 6.0)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62 ( 6.7)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riskgroup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0.045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268 (38.6)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409 (44.1)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257 (37.0)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339 (36.6)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119 (17.1)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129 (13.9)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51 ( 7.3)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( 5.4)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nrti_mono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358 (51.5)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310 (33.4)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any_failure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426 (61.3)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315 (34.0)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source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494 (71.1)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492 (53.1)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37 ( 5.3)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100 (10.8)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164 (23.6)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335 (36.1)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Prior ART changes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10.0 [6.0, 16.0]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8.0 [3.0, 13.0]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years_first_hiv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22.2 [14.7, 27.4]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16.7 [4.9, 25.0]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years_treatment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19.3 [13.0, 22.6]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15.7 [5.5, 20.8]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baseline_n_anchor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2.0 [2.0, 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2.0 [2.0, 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0.234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baseline_anchors_fct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320 (46.0)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297 (34.4)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85 (12.2)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187 (21.7)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42 ( 6.0)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79 ( 9.2)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60 ( 8.6)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48 ( 5.6)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36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66 ( 7.6)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54 ( 7.8)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38 ( 4.4)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23 ( 3.3)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41 ( 4.8)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35 ( 5.0)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26 ( 3.0)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14 ( 2.0)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36 ( 4.2)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14 ( 2.0)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25 ( 2.9)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NVP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12 ( 1.7)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20 ( 2.3)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2021-07-19T13:51:30Z</dcterms:modified>
  <cp:category/>
</cp:coreProperties>
</file>