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Overview of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48"/>
        <w:gridCol w:w="1440"/>
        <w:gridCol w:w="1440"/>
      </w:tblGrid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2"/>
                <w:szCs w:val="22"/>
                <w:color w:val="000000"/>
              </w:rPr>
              <w:t xml:space="preserve">Remained on 3 or more drug classes, N = 695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2"/>
                <w:szCs w:val="22"/>
                <w:color w:val="000000"/>
              </w:rPr>
              <w:t xml:space="preserve">Switched to a 2-class regimen, N = 928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53 (48 to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53 (43 to 58)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Male 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492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675 (73%)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525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727 (79%)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128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136 (15%)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42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62 (6.7%)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HIV transmission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MSM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268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409 (44%)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257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339 (37%)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IDU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129 (14%)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51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50 (5.4%)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Received NRTI monotherapy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358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310 (33%)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Experienced virological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477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377 (41%)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Resistance testing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543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656 (71%)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Median N of prior ART changes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10 (6 to 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8 (3 to 13)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Data source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Cohort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494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492 (53%)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37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100 (11%)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164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335 (36%)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Median time since HIV diagnosis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22 (15 to 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17 (5 to 25)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Median time since first ART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19 (13 to 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16 (5 to 21)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18"/>
                <w:szCs w:val="18"/>
                <w:color w:val="000000"/>
              </w:rPr>
              <w:t xml:space="preserve">Anchor agents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320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297 (34%)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85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187 (22%)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42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79 (9.2%)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60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48 (5.6%)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36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66 (7.6%)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54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38 (4.4%)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41 (4.8%)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35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26 (3.0%)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36 (4.2%)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25 (2.9%)</w:t>
            </w:r>
          </w:p>
        </w:tc>
      </w:tr>
      <w:tr>
        <w:trPr>
          <w:cantSplit/>
          <w:trHeight w:val="58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12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12 (1.7%)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20 (2.3%)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6"/>
                <w:szCs w:val="16"/>
                <w:color w:val="000000"/>
              </w:rPr>
              <w:t xml:space="preserve">Median (25% to 75%);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2021-08-04T17:48:37Z</dcterms:modified>
  <cp:category/>
</cp:coreProperties>
</file>