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Overview of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861"/>
        <w:gridCol w:w="1872"/>
        <w:gridCol w:w="1872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Remained on 3 or more drug classes, N = 695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Switched to a 2-class regimen, N = 928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Age, years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53.0 (48.0 to 59.0)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53.0 (43.0 to 58.0)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Male 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492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675 (73%)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525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727 (79%)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136 (15%)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42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62 (6.7%)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HIV transmission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409 (44%)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257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339 (37%)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IDU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129 (14%)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51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50 (5.4%)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Pretreatment HIV viral load, log cp/mL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12.1 (10.9 to 13.2)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12.1 (10.6 to 13.2)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Nadir CD4 count, cells/µL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107.5 (38.0 to 209.0)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167.5 (66.8 to 303.0)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Received NRTI monotherapy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358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310 (33%)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Experienced virological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477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377 (41%)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Resistance testing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543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656 (71%)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Median N of prior ART changes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10.0 (6.0 to 16.0)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8.0 (3.0 to 13.0)</w:t>
            </w:r>
          </w:p>
        </w:tc>
      </w:tr>
      <w:tr>
        <w:trPr>
          <w:cantSplit/>
          <w:trHeight w:val="5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Data source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Cohort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494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492 (53%)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37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100 (11%)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335 (36%)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Median time since HIV diagnosis, years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22.2 (14.7 to 27.4)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16.7 (4.9 to 25.0)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Median time since first ART, years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19.3 (13.0 to 22.6)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15.7 (5.5 to 20.8)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Anchor agents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320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297 (34%)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187 (22%)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42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79 (9.2%)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60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48 (5.6%)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36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66 (7.6%)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54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38 (4.4%)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41 (4.8%)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35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 (3.0%)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36 (4.2%)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 (2.9%)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 (1.7%)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20 (2.3%)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Median (25% to 75%);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2021-08-05T08:41:08Z</dcterms:modified>
  <cp:category/>
</cp:coreProperties>
</file>