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Overview of Patients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797"/>
        <w:gridCol w:w="1724"/>
        <w:gridCol w:w="1478"/>
        <w:gridCol w:w="866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No 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Simplification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907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54.0 [49.0, 60.5]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52.0 [44.0, 58.0]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552 (72.3)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662 (73.1)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0.783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ethnicity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0.253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604 (79.2)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724 (80.2)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119 (15.6)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120 (13.3)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40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59 ( 6.5)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riskgroup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0.039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MSM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306 (40.1)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405 (44.7)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282 (37.0)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334 (36.9)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IDU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135 (17.7)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117 (12.9)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40 ( 5.2)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50 ( 5.5)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nrti_mono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418 (54.8)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275 (30.3)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any_failure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492 (64.5)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260 (28.7)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source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Cohort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513 (67.2)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459 (50.7)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39 ( 5.1)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99 (10.9)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Physician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211 (27.7)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348 (38.4)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center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ZH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301 (39.4)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342 (37.7)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55 ( 7.2)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113 (12.5)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84 (11.0)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123 (13.6)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110 (14.4)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149 (16.4)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LAU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172 (22.5)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129 (14.2)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LUG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9 ( 1.2)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20 ( 2.2)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28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 STG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32 ( 4.2)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 30 ( 3.3)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58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b/>
                <w:sz w:val="18"/>
                <w:szCs w:val="18"/>
                <w:color w:val="000000"/>
              </w:rPr>
              <w:t xml:space="preserve">Prior ART changes (median [IQR])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11.0 [7.0, 16.0]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 7.0 [3.0, 12.0]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&lt;0.001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2021-06-07T17:35:29Z</dcterms:modified>
  <cp:category/>
</cp:coreProperties>
</file>