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40"/>
        <w:jc w:val="center"/>
      </w:pPr>
      <w:r>
        <w:drawing>
          <wp:inline distT="0" distB="0" distL="0" distR="0">
            <wp:extent cx="419100" cy="419100"/>
            <wp:effectExtent t="0" r="0" b="0" l="0"/>
            <wp:docPr id="1" name="Mandala" descr="Mandala emblem" title="Manda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 cy="419100"/>
                    </a:xfrm>
                    <a:prstGeom prst="rect">
                      <a:avLst/>
                    </a:prstGeom>
                  </pic:spPr>
                </pic:pic>
              </a:graphicData>
            </a:graphic>
          </wp:inline>
        </w:drawing>
      </w:r>
    </w:p>
    <w:p>
      <w:pPr>
        <w:spacing w:before="80" w:after="40"/>
        <w:jc w:val="center"/>
      </w:pPr>
      <w:r>
        <w:rPr>
          <w:rFonts w:ascii="Palatino" w:cs="Palatino" w:eastAsia="Palatino" w:hAnsi="Palatino"/>
          <w:b/>
          <w:bCs/>
          <w:color w:val="8A6A2A"/>
          <w:spacing w:val="400"/>
          <w:sz w:val="20"/>
          <w:szCs w:val="20"/>
        </w:rPr>
        <w:t xml:space="preserve">MANDALA</w:t>
      </w:r>
    </w:p>
    <w:p>
      <w:pPr>
        <w:spacing w:after="80"/>
        <w:jc w:val="center"/>
      </w:pPr>
      <w:r>
        <w:rPr>
          <w:rFonts w:ascii="Palatino" w:cs="Palatino" w:eastAsia="Palatino" w:hAnsi="Palatino"/>
          <w:b/>
          <w:bCs/>
          <w:color w:val="1C140C"/>
          <w:sz w:val="36"/>
          <w:szCs w:val="36"/>
        </w:rPr>
        <w:t xml:space="preserve">Auditable Fiat-Backed Tokens on Bitcoin SV</w:t>
      </w:r>
    </w:p>
    <w:p>
      <w:pPr>
        <w:pBdr>
          <w:bottom w:val="single" w:color="8A6A2A" w:sz="12" w:space="6"/>
        </w:pBdr>
        <w:spacing w:after="40"/>
        <w:jc w:val="center"/>
      </w:pPr>
      <w:r>
        <w:rPr>
          <w:rFonts w:ascii="Palatino" w:cs="Palatino" w:eastAsia="Palatino" w:hAnsi="Palatino"/>
          <w:i/>
          <w:iCs/>
          <w:color w:val="5C4E3E"/>
          <w:sz w:val="22"/>
          <w:szCs w:val="22"/>
        </w:rPr>
        <w:t xml:space="preserve">Issuance, overlay admission, transfer, and offline settlement</w:t>
      </w:r>
    </w:p>
    <w:p>
      <w:pPr>
        <w:spacing w:before="120" w:after="220"/>
        <w:jc w:val="center"/>
      </w:pPr>
      <w:r>
        <w:rPr>
          <w:rFonts w:ascii="Palatino" w:cs="Palatino" w:eastAsia="Palatino" w:hAnsi="Palatino"/>
          <w:color w:val="1C140C"/>
          <w:sz w:val="20"/>
          <w:szCs w:val="20"/>
        </w:rPr>
        <w:t xml:space="preserve">Darren Kellenschwiler</w:t>
      </w:r>
      <w:r>
        <w:rPr>
          <w:rFonts w:ascii="Palatino" w:cs="Palatino" w:eastAsia="Palatino" w:hAnsi="Palatino"/>
          <w:color w:val="8A6A2A"/>
          <w:sz w:val="20"/>
          <w:szCs w:val="20"/>
        </w:rPr>
        <w:t xml:space="preserve">  ·  </w:t>
      </w:r>
      <w:r>
        <w:rPr>
          <w:rFonts w:ascii="Palatino" w:cs="Palatino" w:eastAsia="Palatino" w:hAnsi="Palatino"/>
          <w:i/>
          <w:iCs/>
          <w:color w:val="5C4E3E"/>
          <w:sz w:val="20"/>
          <w:szCs w:val="20"/>
        </w:rPr>
        <w:t xml:space="preserve">September 2026</w:t>
      </w:r>
    </w:p>
    <w:p>
      <w:pPr>
        <w:pStyle w:val="Heading1"/>
        <w:pBdr>
          <w:bottom w:val="single" w:color="C4A35A" w:sz="6" w:space="4"/>
        </w:pBdr>
        <w:spacing w:before="280" w:after="140"/>
      </w:pPr>
      <w:r>
        <w:rPr>
          <w:rFonts w:ascii="Palatino" w:cs="Palatino" w:eastAsia="Palatino" w:hAnsi="Palatino"/>
          <w:b/>
          <w:bCs/>
          <w:color w:val="8A6A2A"/>
          <w:sz w:val="28"/>
          <w:szCs w:val="28"/>
        </w:rPr>
        <w:t xml:space="preserve">Abstract</w:t>
      </w:r>
    </w:p>
    <w:p>
      <w:pPr>
        <w:spacing w:after="160" w:line="276"/>
      </w:pPr>
      <w:r>
        <w:rPr>
          <w:rFonts w:ascii="Palatino" w:cs="Palatino" w:eastAsia="Palatino" w:hAnsi="Palatino"/>
          <w:color w:val="1C140C"/>
          <w:sz w:val="22"/>
          <w:szCs w:val="22"/>
        </w:rPr>
        <w:t xml:space="preserve">Bitcoin SV consensus checks scripts and prevents satoshi double-spends. It does not check token conservation, membership, or administrative authorization. Those predicates live in an </w:t>
      </w:r>
      <w:r>
        <w:rPr>
          <w:rFonts w:ascii="Palatino" w:cs="Palatino" w:eastAsia="Palatino" w:hAnsi="Palatino"/>
          <w:i/>
          <w:iCs/>
          <w:color w:val="1C140C"/>
          <w:sz w:val="22"/>
          <w:szCs w:val="22"/>
        </w:rPr>
        <w:t xml:space="preserve">overlay</w:t>
      </w:r>
      <w:r>
        <w:rPr>
          <w:rFonts w:ascii="Palatino" w:cs="Palatino" w:eastAsia="Palatino" w:hAnsi="Palatino"/>
          <w:color w:val="1C140C"/>
          <w:sz w:val="22"/>
          <w:szCs w:val="22"/>
        </w:rPr>
        <w:t xml:space="preserve"> that implements a published protocol. Anyone may run a replica. A licensed issuer is the trust anchor for administrative spends and for the identity graph.</w:t>
      </w:r>
    </w:p>
    <w:p>
      <w:pPr>
        <w:spacing w:after="160" w:line="276"/>
      </w:pPr>
      <w:r>
        <w:rPr>
          <w:rFonts w:ascii="Palatino" w:cs="Palatino" w:eastAsia="Palatino" w:hAnsi="Palatino"/>
          <w:color w:val="1C140C"/>
          <w:sz w:val="22"/>
          <w:szCs w:val="22"/>
        </w:rPr>
        <w:t xml:space="preserve">Two hash-linked administrative chains carry that authority. The </w:t>
      </w:r>
      <w:r>
        <w:rPr>
          <w:rFonts w:ascii="Palatino" w:cs="Palatino" w:eastAsia="Palatino" w:hAnsi="Palatino"/>
          <w:i/>
          <w:iCs/>
          <w:color w:val="1C140C"/>
          <w:sz w:val="22"/>
          <w:szCs w:val="22"/>
        </w:rPr>
        <w:t xml:space="preserve">issuance chain</w:t>
      </w:r>
      <w:r>
        <w:rPr>
          <w:rFonts w:ascii="Palatino" w:cs="Palatino" w:eastAsia="Palatino" w:hAnsi="Palatino"/>
          <w:color w:val="1C140C"/>
          <w:sz w:val="22"/>
          <w:szCs w:val="22"/>
        </w:rPr>
        <w:t xml:space="preserve"> is the public function of supply: genesis defines the asset, and every mint, redeem, freeze, or reissue extends a threshold-locked authorization outpoint. The </w:t>
      </w:r>
      <w:r>
        <w:rPr>
          <w:rFonts w:ascii="Palatino" w:cs="Palatino" w:eastAsia="Palatino" w:hAnsi="Palatino"/>
          <w:i/>
          <w:iCs/>
          <w:color w:val="1C140C"/>
          <w:sz w:val="22"/>
          <w:szCs w:val="22"/>
        </w:rPr>
        <w:t xml:space="preserve">registration chain</w:t>
      </w:r>
      <w:r>
        <w:rPr>
          <w:rFonts w:ascii="Palatino" w:cs="Palatino" w:eastAsia="Palatino" w:hAnsi="Palatino"/>
          <w:color w:val="1C140C"/>
          <w:sz w:val="22"/>
          <w:szCs w:val="22"/>
        </w:rPr>
        <w:t xml:space="preserve"> is the public function of membership: admit and revoke events bind to identity keys without naming them on-chain. Keys on both chains are commitments to a specific administrative task and can be opened when a jurisdiction requires it.</w:t>
      </w:r>
    </w:p>
    <w:p>
      <w:pPr>
        <w:spacing w:after="160" w:line="276"/>
      </w:pPr>
      <w:r>
        <w:rPr>
          <w:rFonts w:ascii="Palatino" w:cs="Palatino" w:eastAsia="Palatino" w:hAnsi="Palatino"/>
          <w:color w:val="1C140C"/>
          <w:sz w:val="22"/>
          <w:szCs w:val="22"/>
        </w:rPr>
        <w:t xml:space="preserve">Transfers lock one satoshi to a one-time child key derived under the BSV key-derivation scheme</w:t>
      </w:r>
      <w:hyperlink w:history="1" w:anchor="ref3">
        <w:r>
          <w:rPr>
            <w:rFonts w:ascii="Palatino" w:cs="Palatino" w:eastAsia="Palatino" w:hAnsi="Palatino"/>
            <w:color w:val="8A6A2A"/>
            <w:sz w:val="15"/>
            <w:szCs w:val="15"/>
            <w:vertAlign w:val="superscript"/>
          </w:rPr>
          <w:t xml:space="preserve">[3]</w:t>
        </w:r>
      </w:hyperlink>
      <w:r>
        <w:rPr>
          <w:rFonts w:ascii="Palatino" w:cs="Palatino" w:eastAsia="Palatino" w:hAnsi="Palatino"/>
          <w:color w:val="1C140C"/>
          <w:sz w:val="22"/>
          <w:szCs w:val="22"/>
        </w:rPr>
        <w:t xml:space="preserve">. The overlay learns ownership by a specific linkage — the per-output offset — encrypted to itself</w:t>
      </w:r>
      <w:hyperlink w:history="1" w:anchor="ref5">
        <w:r>
          <w:rPr>
            <w:rFonts w:ascii="Palatino" w:cs="Palatino" w:eastAsia="Palatino" w:hAnsi="Palatino"/>
            <w:color w:val="8A6A2A"/>
            <w:sz w:val="15"/>
            <w:szCs w:val="15"/>
            <w:vertAlign w:val="superscript"/>
          </w:rPr>
          <w:t xml:space="preserve">[5]</w:t>
        </w:r>
      </w:hyperlink>
      <w:r>
        <w:rPr>
          <w:rFonts w:ascii="Palatino" w:cs="Palatino" w:eastAsia="Palatino" w:hAnsi="Palatino"/>
          <w:sz w:val="16"/>
          <w:szCs w:val="16"/>
        </w:rPr>
        <w:t xml:space="preserve"> </w:t>
      </w:r>
      <w:hyperlink w:history="1" w:anchor="ref6">
        <w:r>
          <w:rPr>
            <w:rFonts w:ascii="Palatino" w:cs="Palatino" w:eastAsia="Palatino" w:hAnsi="Palatino"/>
            <w:color w:val="8A6A2A"/>
            <w:sz w:val="15"/>
            <w:szCs w:val="15"/>
            <w:vertAlign w:val="superscript"/>
          </w:rPr>
          <w:t xml:space="preserve">[6]</w:t>
        </w:r>
      </w:hyperlink>
      <w:r>
        <w:rPr>
          <w:rFonts w:ascii="Palatino" w:cs="Palatino" w:eastAsia="Palatino" w:hAnsi="Palatino"/>
          <w:color w:val="1C140C"/>
          <w:sz w:val="22"/>
          <w:szCs w:val="22"/>
        </w:rPr>
        <w:t xml:space="preserve">. The recipient sees a blinded sender key and cannot join successive payments. The sender can later prove association. Offline, a payment carries native Merkle proofs plus an issuer signature on each input transaction identifier. Double-spend risk is the same window native satoshis have when the network cannot be queried, with the added property that the issuer already knows who those inputs belong to.</w:t>
      </w:r>
    </w:p>
    <w:p>
      <w:pPr>
        <w:spacing w:after="160" w:line="276"/>
      </w:pPr>
      <w:r>
        <w:rPr>
          <w:rFonts w:ascii="Palatino" w:cs="Palatino" w:eastAsia="Palatino" w:hAnsi="Palatino"/>
          <w:i/>
          <w:iCs/>
          <w:color w:val="1C140C"/>
          <w:sz w:val="22"/>
          <w:szCs w:val="22"/>
        </w:rPr>
        <w:t xml:space="preserve">Legal structure, licensing, and reserve composition are out of scope.</w:t>
      </w:r>
    </w:p>
    <w:p>
      <w:pPr>
        <w:pStyle w:val="Heading1"/>
        <w:pBdr>
          <w:bottom w:val="single" w:color="C4A35A" w:sz="6" w:space="4"/>
        </w:pBdr>
        <w:spacing w:before="280" w:after="140"/>
      </w:pPr>
      <w:r>
        <w:rPr>
          <w:rFonts w:ascii="Palatino" w:cs="Palatino" w:eastAsia="Palatino" w:hAnsi="Palatino"/>
          <w:b/>
          <w:bCs/>
          <w:color w:val="8A6A2A"/>
          <w:sz w:val="28"/>
          <w:szCs w:val="28"/>
        </w:rPr>
        <w:t xml:space="preserve">1.  Design</w:t>
      </w:r>
    </w:p>
    <w:p>
      <w:pPr>
        <w:spacing w:after="160" w:line="276"/>
      </w:pPr>
      <w:r>
        <w:rPr>
          <w:rFonts w:ascii="Palatino" w:cs="Palatino" w:eastAsia="Palatino" w:hAnsi="Palatino"/>
          <w:color w:val="1C140C"/>
          <w:sz w:val="22"/>
          <w:szCs w:val="22"/>
        </w:rPr>
        <w:t xml:space="preserve">Separate what the ledger already does from what a token protocol must add.</w:t>
      </w:r>
    </w:p>
    <w:p>
      <w:pPr>
        <w:spacing w:after="160" w:line="276"/>
      </w:pPr>
      <w:r>
        <w:rPr>
          <w:rFonts w:ascii="Palatino" w:cs="Palatino" w:eastAsia="Palatino" w:hAnsi="Palatino"/>
          <w:color w:val="1C140C"/>
          <w:sz w:val="22"/>
          <w:szCs w:val="22"/>
        </w:rPr>
        <w:t xml:space="preserve">Miners validate unlocking scripts and ensure each satoshi output is spent at most once</w:t>
      </w:r>
      <w:hyperlink w:history="1" w:anchor="ref10">
        <w:r>
          <w:rPr>
            <w:rFonts w:ascii="Palatino" w:cs="Palatino" w:eastAsia="Palatino" w:hAnsi="Palatino"/>
            <w:color w:val="8A6A2A"/>
            <w:sz w:val="15"/>
            <w:szCs w:val="15"/>
            <w:vertAlign w:val="superscript"/>
          </w:rPr>
          <w:t xml:space="preserve">[10]</w:t>
        </w:r>
      </w:hyperlink>
      <w:r>
        <w:rPr>
          <w:rFonts w:ascii="Palatino" w:cs="Palatino" w:eastAsia="Palatino" w:hAnsi="Palatino"/>
          <w:color w:val="1C140C"/>
          <w:sz w:val="22"/>
          <w:szCs w:val="22"/>
        </w:rPr>
        <w:t xml:space="preserve">. A Mandala token is one satoshi plus a locking script that carries an asset identifier and an amount, then a standard pay-to-public-key-hash</w:t>
      </w:r>
      <w:hyperlink w:history="1" w:anchor="ref2">
        <w:r>
          <w:rPr>
            <w:rFonts w:ascii="Palatino" w:cs="Palatino" w:eastAsia="Palatino" w:hAnsi="Palatino"/>
            <w:color w:val="8A6A2A"/>
            <w:sz w:val="15"/>
            <w:szCs w:val="15"/>
            <w:vertAlign w:val="superscript"/>
          </w:rPr>
          <w:t xml:space="preserve">[2]</w:t>
        </w:r>
      </w:hyperlink>
      <w:r>
        <w:rPr>
          <w:rFonts w:ascii="Palatino" w:cs="Palatino" w:eastAsia="Palatino" w:hAnsi="Palatino"/>
          <w:color w:val="1C140C"/>
          <w:sz w:val="22"/>
          <w:szCs w:val="22"/>
        </w:rPr>
        <w:t xml:space="preserve">. Consensus does not read the asset identifier. It will mine a transaction that inflates token supply, pays a person who was never admitted, or spends a frozen coin, provided the scripts unlock and the satoshis are not double-spent.</w:t>
      </w:r>
    </w:p>
    <w:p>
      <w:pPr>
        <w:spacing w:after="160" w:line="276"/>
      </w:pPr>
      <w:r>
        <w:rPr>
          <w:rFonts w:ascii="Palatino" w:cs="Palatino" w:eastAsia="Palatino" w:hAnsi="Palatino"/>
          <w:color w:val="1C140C"/>
          <w:sz w:val="22"/>
          <w:szCs w:val="22"/>
        </w:rPr>
        <w:t xml:space="preserve">The overlay is the decider of whether a transaction is a valid token movement</w:t>
      </w:r>
      <w:hyperlink w:history="1" w:anchor="ref12">
        <w:r>
          <w:rPr>
            <w:rFonts w:ascii="Palatino" w:cs="Palatino" w:eastAsia="Palatino" w:hAnsi="Palatino"/>
            <w:color w:val="8A6A2A"/>
            <w:sz w:val="15"/>
            <w:szCs w:val="15"/>
            <w:vertAlign w:val="superscript"/>
          </w:rPr>
          <w:t xml:space="preserve">[12]</w:t>
        </w:r>
      </w:hyperlink>
      <w:r>
        <w:rPr>
          <w:rFonts w:ascii="Palatino" w:cs="Palatino" w:eastAsia="Palatino" w:hAnsi="Palatino"/>
          <w:color w:val="1C140C"/>
          <w:sz w:val="22"/>
          <w:szCs w:val="22"/>
        </w:rPr>
        <w:t xml:space="preserve">. It implements a published protocol. A licensed issuer operates the authoritative overlay for administrative spends and for the identity graph that registration produces. Exchanges and holders may run listen-only replicas that recompute the same rules and do not mint. Trust is concentrated where a fiat reserve already requires it, and split across keys so that no single officer can mint. Everywhere else the checks are local.</w:t>
      </w:r>
    </w:p>
    <w:p>
      <w:pPr>
        <w:spacing w:after="160" w:line="276"/>
      </w:pPr>
      <w:r>
        <w:rPr>
          <w:rFonts w:ascii="Palatino" w:cs="Palatino" w:eastAsia="Palatino" w:hAnsi="Palatino"/>
          <w:color w:val="1C140C"/>
          <w:sz w:val="22"/>
          <w:szCs w:val="22"/>
        </w:rPr>
        <w:t xml:space="preserve">Addresses are single-use. The object that is KYC’d is a long-lived identity key</w:t>
      </w:r>
      <w:hyperlink w:history="1" w:anchor="ref15">
        <w:r>
          <w:rPr>
            <w:rFonts w:ascii="Palatino" w:cs="Palatino" w:eastAsia="Palatino" w:hAnsi="Palatino"/>
            <w:color w:val="8A6A2A"/>
            <w:sz w:val="15"/>
            <w:szCs w:val="15"/>
            <w:vertAlign w:val="superscript"/>
          </w:rPr>
          <w:t xml:space="preserve">[15]</w:t>
        </w:r>
      </w:hyperlink>
      <w:r>
        <w:rPr>
          <w:rFonts w:ascii="Palatino" w:cs="Palatino" w:eastAsia="Palatino" w:hAnsi="Palatino"/>
          <w:color w:val="1C140C"/>
          <w:sz w:val="22"/>
          <w:szCs w:val="22"/>
        </w:rPr>
        <w:t xml:space="preserve">. Compliance is a predicate on that key, not on an address.</w:t>
      </w:r>
    </w:p>
    <w:p>
      <w:pPr>
        <w:keepNext/>
        <w:spacing w:before="140" w:after="40"/>
        <w:jc w:val="center"/>
      </w:pPr>
      <w:r>
        <w:drawing>
          <wp:inline distT="0" distB="0" distL="0" distR="0">
            <wp:extent cx="4953000" cy="1981200"/>
            <wp:effectExtent t="0" r="0" b="0" l="0"/>
            <wp:docPr id="1" name="Split of labour: Bitcoin SV consensus versus the Mandala overlay" descr="Split of labour: Bitcoin SV consensus versus the Mandala overlay" title="Split of labour: Bitcoin SV consensus versus the Mandala over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1981200"/>
                    </a:xfrm>
                    <a:prstGeom prst="rect">
                      <a:avLst/>
                    </a:prstGeom>
                  </pic:spPr>
                </pic:pic>
              </a:graphicData>
            </a:graphic>
          </wp:inline>
        </w:drawing>
      </w:r>
    </w:p>
    <w:p>
      <w:pPr>
        <w:spacing w:before="60" w:after="180"/>
        <w:jc w:val="center"/>
      </w:pPr>
      <w:r>
        <w:rPr>
          <w:rFonts w:ascii="Palatino" w:cs="Palatino" w:eastAsia="Palatino" w:hAnsi="Palatino"/>
          <w:i/>
          <w:iCs/>
          <w:color w:val="5C4E3E"/>
          <w:sz w:val="16"/>
          <w:szCs w:val="16"/>
        </w:rPr>
        <w:t xml:space="preserve">Figure 1. Consensus admits T if scripts unlock and satoshis are unspent. The overlay admits T as a token movement only if conservation, linkage, membership, and administrative authorization all hold.</w:t>
      </w:r>
    </w:p>
    <w:p>
      <w:pPr>
        <w:pStyle w:val="Heading1"/>
        <w:pBdr>
          <w:bottom w:val="single" w:color="C4A35A" w:sz="6" w:space="4"/>
        </w:pBdr>
        <w:spacing w:before="280" w:after="140"/>
      </w:pPr>
      <w:r>
        <w:rPr>
          <w:rFonts w:ascii="Palatino" w:cs="Palatino" w:eastAsia="Palatino" w:hAnsi="Palatino"/>
          <w:b/>
          <w:bCs/>
          <w:color w:val="8A6A2A"/>
          <w:sz w:val="28"/>
          <w:szCs w:val="28"/>
        </w:rPr>
        <w:t xml:space="preserve">2.  Two administrative chains</w:t>
      </w:r>
    </w:p>
    <w:p>
      <w:pPr>
        <w:spacing w:after="160" w:line="276"/>
      </w:pPr>
      <w:r>
        <w:rPr>
          <w:rFonts w:ascii="Palatino" w:cs="Palatino" w:eastAsia="Palatino" w:hAnsi="Palatino"/>
          <w:color w:val="1C140C"/>
          <w:sz w:val="22"/>
          <w:szCs w:val="22"/>
        </w:rPr>
        <w:t xml:space="preserve">Both chains are hash-linked sequences of threshold spends. Each spend consumes authorized outpoint </w:t>
      </w:r>
      <w:r>
        <w:rPr>
          <w:rFonts w:ascii="Palatino" w:cs="Palatino" w:eastAsia="Palatino" w:hAnsi="Palatino"/>
          <w:i/>
          <w:iCs/>
          <w:color w:val="1C140C"/>
          <w:sz w:val="22"/>
          <w:szCs w:val="22"/>
        </w:rPr>
        <w:t xml:space="preserve">n</w:t>
      </w:r>
      <w:r>
        <w:rPr>
          <w:rFonts w:ascii="Palatino" w:cs="Palatino" w:eastAsia="Palatino" w:hAnsi="Palatino"/>
          <w:color w:val="1C140C"/>
          <w:sz w:val="22"/>
          <w:szCs w:val="22"/>
        </w:rPr>
        <w:t xml:space="preserve"> and produces </w:t>
      </w:r>
      <w:r>
        <w:rPr>
          <w:rFonts w:ascii="Palatino" w:cs="Palatino" w:eastAsia="Palatino" w:hAnsi="Palatino"/>
          <w:i/>
          <w:iCs/>
          <w:color w:val="1C140C"/>
          <w:sz w:val="22"/>
          <w:szCs w:val="22"/>
        </w:rPr>
        <w:t xml:space="preserve">n</w:t>
      </w:r>
      <w:r>
        <w:rPr>
          <w:rFonts w:ascii="Palatino" w:cs="Palatino" w:eastAsia="Palatino" w:hAnsi="Palatino"/>
          <w:color w:val="1C140C"/>
          <w:sz w:val="22"/>
          <w:szCs w:val="22"/>
        </w:rPr>
        <w:t xml:space="preserve"> + 1. Forging a step requires a live signing threshold. Rewriting history after broadcast requires a deep reorg.</w:t>
      </w:r>
    </w:p>
    <w:p>
      <w:pPr>
        <w:pStyle w:val="Heading2"/>
        <w:spacing w:before="200" w:after="100"/>
      </w:pPr>
      <w:r>
        <w:rPr>
          <w:rFonts w:ascii="Palatino" w:cs="Palatino" w:eastAsia="Palatino" w:hAnsi="Palatino"/>
          <w:b/>
          <w:bCs/>
          <w:i/>
          <w:iCs/>
          <w:color w:val="1C140C"/>
          <w:sz w:val="24"/>
          <w:szCs w:val="24"/>
        </w:rPr>
        <w:t xml:space="preserve">2.1  Issuance</w:t>
      </w:r>
    </w:p>
    <w:p>
      <w:pPr>
        <w:spacing w:after="160" w:line="276"/>
      </w:pPr>
      <w:r>
        <w:rPr>
          <w:rFonts w:ascii="Palatino" w:cs="Palatino" w:eastAsia="Palatino" w:hAnsi="Palatino"/>
          <w:color w:val="1C140C"/>
          <w:sz w:val="22"/>
          <w:szCs w:val="22"/>
        </w:rPr>
        <w:t xml:space="preserve">The issuance chain is the public function of supply. Genesis defines</w:t>
      </w:r>
    </w:p>
    <w:p>
      <w:pPr>
        <w:pBdr>
          <w:top w:val="single" w:color="C4A35A" w:sz="6" w:space="8"/>
          <w:bottom w:val="single" w:color="C4A35A" w:sz="6" w:space="8"/>
        </w:pBdr>
        <w:shd w:fill="F7F1E3" w:val="clear"/>
        <w:spacing w:before="120" w:after="120" w:line="300"/>
        <w:jc w:val="center"/>
      </w:pPr>
      <w:r>
        <w:rPr>
          <w:rFonts w:ascii="Palatino" w:cs="Palatino" w:eastAsia="Palatino" w:hAnsi="Palatino"/>
          <w:i/>
          <w:iCs/>
          <w:color w:val="1C140C"/>
          <w:sz w:val="22"/>
          <w:szCs w:val="22"/>
        </w:rPr>
        <w:t xml:space="preserve">assetId  =  txid  ||  vout</w:t>
      </w:r>
    </w:p>
    <w:p>
      <w:pPr>
        <w:spacing w:after="160" w:line="276"/>
      </w:pPr>
      <w:r>
        <w:rPr>
          <w:rFonts w:ascii="Palatino" w:cs="Palatino" w:eastAsia="Palatino" w:hAnsi="Palatino"/>
          <w:color w:val="1C140C"/>
          <w:sz w:val="22"/>
          <w:szCs w:val="22"/>
        </w:rPr>
        <w:t xml:space="preserve">and authorized outpoint 0</w:t>
      </w:r>
      <w:hyperlink w:history="1" w:anchor="ref2">
        <w:r>
          <w:rPr>
            <w:rFonts w:ascii="Palatino" w:cs="Palatino" w:eastAsia="Palatino" w:hAnsi="Palatino"/>
            <w:color w:val="8A6A2A"/>
            <w:sz w:val="15"/>
            <w:szCs w:val="15"/>
            <w:vertAlign w:val="superscript"/>
          </w:rPr>
          <w:t xml:space="preserve">[2]</w:t>
        </w:r>
      </w:hyperlink>
      <w:r>
        <w:rPr>
          <w:rFonts w:ascii="Palatino" w:cs="Palatino" w:eastAsia="Palatino" w:hAnsi="Palatino"/>
          <w:color w:val="1C140C"/>
          <w:sz w:val="22"/>
          <w:szCs w:val="22"/>
        </w:rPr>
        <w:t xml:space="preserve">. On-chain those 36 bytes are the genesis outpoint in internal byte order: the 32-byte transaction hash as it appears in the transaction, followed by the four-byte little-endian output index. A contract can therefore compare an embedded </w:t>
      </w:r>
      <w:r>
        <w:rPr>
          <w:rFonts w:ascii="Palatino" w:cs="Palatino" w:eastAsia="Palatino" w:hAnsi="Palatino"/>
          <w:i/>
          <w:iCs/>
          <w:color w:val="1C140C"/>
          <w:sz w:val="22"/>
          <w:szCs w:val="22"/>
        </w:rPr>
        <w:t xml:space="preserve">assetId</w:t>
      </w:r>
      <w:r>
        <w:rPr>
          <w:rFonts w:ascii="Palatino" w:cs="Palatino" w:eastAsia="Palatino" w:hAnsi="Palatino"/>
          <w:color w:val="1C140C"/>
          <w:sz w:val="22"/>
          <w:szCs w:val="22"/>
        </w:rPr>
        <w:t xml:space="preserve"> directly against an outpoint it is looking at.</w:t>
      </w:r>
    </w:p>
    <w:p>
      <w:pPr>
        <w:spacing w:after="160" w:line="276"/>
      </w:pPr>
      <w:r>
        <w:rPr>
          <w:rFonts w:ascii="Palatino" w:cs="Palatino" w:eastAsia="Palatino" w:hAnsi="Palatino"/>
          <w:color w:val="1C140C"/>
          <w:sz w:val="22"/>
          <w:szCs w:val="22"/>
        </w:rPr>
        <w:t xml:space="preserve">A deposit in a traditional account is followed by an issuance spend that creates token outputs summing to the deposited face value and commits a hash of the deposit record. Redeem, freeze, and reissue are the same chain with a different authorized supply delta </w:t>
      </w:r>
      <w:r>
        <w:rPr>
          <w:rFonts w:ascii="Palatino" w:cs="Palatino" w:eastAsia="Palatino" w:hAnsi="Palatino"/>
          <w:i/>
          <w:iCs/>
          <w:color w:val="1C140C"/>
          <w:sz w:val="22"/>
          <w:szCs w:val="22"/>
        </w:rPr>
        <w:t xml:space="preserve">Δ</w:t>
      </w:r>
      <w:r>
        <w:rPr>
          <w:rFonts w:ascii="Palatino" w:cs="Palatino" w:eastAsia="Palatino" w:hAnsi="Palatino"/>
          <w:color w:val="1C140C"/>
          <w:sz w:val="22"/>
          <w:szCs w:val="22"/>
          <w:vertAlign w:val="subscript"/>
        </w:rPr>
        <w:t xml:space="preserve">auth</w:t>
      </w:r>
      <w:r>
        <w:rPr>
          <w:rFonts w:ascii="Palatino" w:cs="Palatino" w:eastAsia="Palatino" w:hAnsi="Palatino"/>
          <w:color w:val="1C140C"/>
          <w:sz w:val="22"/>
          <w:szCs w:val="22"/>
        </w:rPr>
        <w:t xml:space="preserve">.</w:t>
      </w:r>
    </w:p>
    <w:p>
      <w:pPr>
        <w:spacing w:after="160" w:line="276"/>
      </w:pPr>
      <w:r>
        <w:rPr>
          <w:rFonts w:ascii="Palatino" w:cs="Palatino" w:eastAsia="Palatino" w:hAnsi="Palatino"/>
          <w:color w:val="1C140C"/>
          <w:sz w:val="22"/>
          <w:szCs w:val="22"/>
        </w:rPr>
        <w:t xml:space="preserve">Let </w:t>
      </w:r>
      <w:r>
        <w:rPr>
          <w:rFonts w:ascii="Palatino" w:cs="Palatino" w:eastAsia="Palatino" w:hAnsi="Palatino"/>
          <w:i/>
          <w:iCs/>
          <w:color w:val="1C140C"/>
          <w:sz w:val="22"/>
          <w:szCs w:val="22"/>
        </w:rPr>
        <w:t xml:space="preserve">D</w:t>
      </w:r>
      <w:r>
        <w:rPr>
          <w:rFonts w:ascii="Palatino" w:cs="Palatino" w:eastAsia="Palatino" w:hAnsi="Palatino"/>
          <w:color w:val="1C140C"/>
          <w:sz w:val="22"/>
          <w:szCs w:val="22"/>
          <w:vertAlign w:val="subscript"/>
        </w:rPr>
        <w:t xml:space="preserve">t</w:t>
      </w:r>
      <w:r>
        <w:rPr>
          <w:rFonts w:ascii="Palatino" w:cs="Palatino" w:eastAsia="Palatino" w:hAnsi="Palatino"/>
          <w:color w:val="1C140C"/>
          <w:sz w:val="22"/>
          <w:szCs w:val="22"/>
        </w:rPr>
        <w:t xml:space="preserve"> and </w:t>
      </w:r>
      <w:r>
        <w:rPr>
          <w:rFonts w:ascii="Palatino" w:cs="Palatino" w:eastAsia="Palatino" w:hAnsi="Palatino"/>
          <w:i/>
          <w:iCs/>
          <w:color w:val="1C140C"/>
          <w:sz w:val="22"/>
          <w:szCs w:val="22"/>
        </w:rPr>
        <w:t xml:space="preserve">W</w:t>
      </w:r>
      <w:r>
        <w:rPr>
          <w:rFonts w:ascii="Palatino" w:cs="Palatino" w:eastAsia="Palatino" w:hAnsi="Palatino"/>
          <w:color w:val="1C140C"/>
          <w:sz w:val="22"/>
          <w:szCs w:val="22"/>
          <w:vertAlign w:val="subscript"/>
        </w:rPr>
        <w:t xml:space="preserve">t</w:t>
      </w:r>
      <w:r>
        <w:rPr>
          <w:rFonts w:ascii="Palatino" w:cs="Palatino" w:eastAsia="Palatino" w:hAnsi="Palatino"/>
          <w:color w:val="1C140C"/>
          <w:sz w:val="22"/>
          <w:szCs w:val="22"/>
        </w:rPr>
        <w:t xml:space="preserve"> be cumulative attested deposits and withdrawals. Circulating supply is </w:t>
      </w:r>
      <w:r>
        <w:rPr>
          <w:rFonts w:ascii="Palatino" w:cs="Palatino" w:eastAsia="Palatino" w:hAnsi="Palatino"/>
          <w:i/>
          <w:iCs/>
          <w:color w:val="1C140C"/>
          <w:sz w:val="22"/>
          <w:szCs w:val="22"/>
        </w:rPr>
        <w:t xml:space="preserve">S</w:t>
      </w:r>
      <w:r>
        <w:rPr>
          <w:rFonts w:ascii="Palatino" w:cs="Palatino" w:eastAsia="Palatino" w:hAnsi="Palatino"/>
          <w:color w:val="1C140C"/>
          <w:sz w:val="22"/>
          <w:szCs w:val="22"/>
          <w:vertAlign w:val="subscript"/>
        </w:rPr>
        <w:t xml:space="preserve">t</w:t>
      </w:r>
      <w:r>
        <w:rPr>
          <w:rFonts w:ascii="Palatino" w:cs="Palatino" w:eastAsia="Palatino" w:hAnsi="Palatino"/>
          <w:color w:val="1C140C"/>
          <w:sz w:val="22"/>
          <w:szCs w:val="22"/>
        </w:rPr>
        <w:t xml:space="preserve"> = </w:t>
      </w:r>
      <w:r>
        <w:rPr>
          <w:rFonts w:ascii="Palatino" w:cs="Palatino" w:eastAsia="Palatino" w:hAnsi="Palatino"/>
          <w:i/>
          <w:iCs/>
          <w:color w:val="1C140C"/>
          <w:sz w:val="22"/>
          <w:szCs w:val="22"/>
        </w:rPr>
        <w:t xml:space="preserve">D</w:t>
      </w:r>
      <w:r>
        <w:rPr>
          <w:rFonts w:ascii="Palatino" w:cs="Palatino" w:eastAsia="Palatino" w:hAnsi="Palatino"/>
          <w:color w:val="1C140C"/>
          <w:sz w:val="22"/>
          <w:szCs w:val="22"/>
          <w:vertAlign w:val="subscript"/>
        </w:rPr>
        <w:t xml:space="preserve">t</w:t>
      </w:r>
      <w:r>
        <w:rPr>
          <w:rFonts w:ascii="Palatino" w:cs="Palatino" w:eastAsia="Palatino" w:hAnsi="Palatino"/>
          <w:color w:val="1C140C"/>
          <w:sz w:val="22"/>
          <w:szCs w:val="22"/>
        </w:rPr>
        <w:t xml:space="preserve"> − </w:t>
      </w:r>
      <w:r>
        <w:rPr>
          <w:rFonts w:ascii="Palatino" w:cs="Palatino" w:eastAsia="Palatino" w:hAnsi="Palatino"/>
          <w:i/>
          <w:iCs/>
          <w:color w:val="1C140C"/>
          <w:sz w:val="22"/>
          <w:szCs w:val="22"/>
        </w:rPr>
        <w:t xml:space="preserve">W</w:t>
      </w:r>
      <w:r>
        <w:rPr>
          <w:rFonts w:ascii="Palatino" w:cs="Palatino" w:eastAsia="Palatino" w:hAnsi="Palatino"/>
          <w:color w:val="1C140C"/>
          <w:sz w:val="22"/>
          <w:szCs w:val="22"/>
          <w:vertAlign w:val="subscript"/>
        </w:rPr>
        <w:t xml:space="preserve">t</w:t>
      </w:r>
      <w:r>
        <w:rPr>
          <w:rFonts w:ascii="Palatino" w:cs="Palatino" w:eastAsia="Palatino" w:hAnsi="Palatino"/>
          <w:color w:val="1C140C"/>
          <w:sz w:val="22"/>
          <w:szCs w:val="22"/>
        </w:rPr>
        <w:t xml:space="preserve">. The overlay admits a transfer only when, per asset,</w:t>
      </w:r>
    </w:p>
    <w:p>
      <w:pPr>
        <w:pBdr>
          <w:top w:val="single" w:color="C4A35A" w:sz="6" w:space="8"/>
          <w:bottom w:val="single" w:color="C4A35A" w:sz="6" w:space="8"/>
        </w:pBdr>
        <w:shd w:fill="F7F1E3" w:val="clear"/>
        <w:spacing w:before="120" w:after="120" w:line="300"/>
        <w:jc w:val="center"/>
      </w:pPr>
      <w:r>
        <w:rPr>
          <w:rFonts w:ascii="Palatino" w:cs="Palatino" w:eastAsia="Palatino" w:hAnsi="Palatino"/>
          <w:i/>
          <w:iCs/>
          <w:color w:val="1C140C"/>
          <w:sz w:val="22"/>
          <w:szCs w:val="22"/>
        </w:rPr>
        <w:t xml:space="preserve">Σ a</w:t>
      </w:r>
      <w:r>
        <w:rPr>
          <w:rFonts w:ascii="Palatino" w:cs="Palatino" w:eastAsia="Palatino" w:hAnsi="Palatino"/>
          <w:i/>
          <w:iCs/>
          <w:color w:val="1C140C"/>
          <w:sz w:val="16"/>
          <w:szCs w:val="16"/>
          <w:vertAlign w:val="subscript"/>
        </w:rPr>
        <w:t xml:space="preserve">out</w:t>
      </w:r>
      <w:r>
        <w:rPr>
          <w:rFonts w:ascii="Palatino" w:cs="Palatino" w:eastAsia="Palatino" w:hAnsi="Palatino"/>
          <w:i/>
          <w:iCs/>
          <w:color w:val="1C140C"/>
          <w:sz w:val="22"/>
          <w:szCs w:val="22"/>
        </w:rPr>
        <w:t xml:space="preserve">   =   Σ a</w:t>
      </w:r>
      <w:r>
        <w:rPr>
          <w:rFonts w:ascii="Palatino" w:cs="Palatino" w:eastAsia="Palatino" w:hAnsi="Palatino"/>
          <w:i/>
          <w:iCs/>
          <w:color w:val="1C140C"/>
          <w:sz w:val="16"/>
          <w:szCs w:val="16"/>
          <w:vertAlign w:val="subscript"/>
        </w:rPr>
        <w:t xml:space="preserve">in</w:t>
      </w:r>
      <w:r>
        <w:rPr>
          <w:rFonts w:ascii="Palatino" w:cs="Palatino" w:eastAsia="Palatino" w:hAnsi="Palatino"/>
          <w:i/>
          <w:iCs/>
          <w:color w:val="1C140C"/>
          <w:sz w:val="22"/>
          <w:szCs w:val="22"/>
        </w:rPr>
        <w:t xml:space="preserve">   +   Δ</w:t>
      </w:r>
      <w:r>
        <w:rPr>
          <w:rFonts w:ascii="Palatino" w:cs="Palatino" w:eastAsia="Palatino" w:hAnsi="Palatino"/>
          <w:i/>
          <w:iCs/>
          <w:color w:val="1C140C"/>
          <w:sz w:val="16"/>
          <w:szCs w:val="16"/>
          <w:vertAlign w:val="subscript"/>
        </w:rPr>
        <w:t xml:space="preserve">auth</w:t>
      </w:r>
      <w:r>
        <w:rPr>
          <w:rFonts w:ascii="Palatino" w:cs="Palatino" w:eastAsia="Palatino" w:hAnsi="Palatino"/>
          <w:i/>
          <w:iCs/>
          <w:color w:val="1C140C"/>
          <w:sz w:val="22"/>
          <w:szCs w:val="22"/>
        </w:rPr>
        <w:t xml:space="preserve">.</w:t>
      </w:r>
    </w:p>
    <w:p>
      <w:pPr>
        <w:spacing w:after="160" w:line="276"/>
      </w:pPr>
      <w:r>
        <w:rPr>
          <w:rFonts w:ascii="Palatino" w:cs="Palatino" w:eastAsia="Palatino" w:hAnsi="Palatino"/>
          <w:color w:val="1C140C"/>
          <w:sz w:val="22"/>
          <w:szCs w:val="22"/>
        </w:rPr>
        <w:t xml:space="preserve">For a peer transfer, </w:t>
      </w:r>
      <w:r>
        <w:rPr>
          <w:rFonts w:ascii="Palatino" w:cs="Palatino" w:eastAsia="Palatino" w:hAnsi="Palatino"/>
          <w:i/>
          <w:iCs/>
          <w:color w:val="1C140C"/>
          <w:sz w:val="22"/>
          <w:szCs w:val="22"/>
        </w:rPr>
        <w:t xml:space="preserve">Δ</w:t>
      </w:r>
      <w:r>
        <w:rPr>
          <w:rFonts w:ascii="Palatino" w:cs="Palatino" w:eastAsia="Palatino" w:hAnsi="Palatino"/>
          <w:color w:val="1C140C"/>
          <w:sz w:val="22"/>
          <w:szCs w:val="22"/>
          <w:vertAlign w:val="subscript"/>
        </w:rPr>
        <w:t xml:space="preserve">auth</w:t>
      </w:r>
      <w:r>
        <w:rPr>
          <w:rFonts w:ascii="Palatino" w:cs="Palatino" w:eastAsia="Palatino" w:hAnsi="Palatino"/>
          <w:color w:val="1C140C"/>
          <w:sz w:val="22"/>
          <w:szCs w:val="22"/>
        </w:rPr>
        <w:t xml:space="preserve"> = 0, so outputs exactly equal inputs. An </w:t>
      </w:r>
      <w:r>
        <w:rPr>
          <w:rFonts w:ascii="Palatino" w:cs="Palatino" w:eastAsia="Palatino" w:hAnsi="Palatino"/>
          <w:i/>
          <w:iCs/>
          <w:color w:val="1C140C"/>
          <w:sz w:val="22"/>
          <w:szCs w:val="22"/>
        </w:rPr>
        <w:t xml:space="preserve">issue</w:t>
      </w:r>
      <w:r>
        <w:rPr>
          <w:rFonts w:ascii="Palatino" w:cs="Palatino" w:eastAsia="Palatino" w:hAnsi="Palatino"/>
          <w:color w:val="1C140C"/>
          <w:sz w:val="22"/>
          <w:szCs w:val="22"/>
        </w:rPr>
        <w:t xml:space="preserve"> sets </w:t>
      </w:r>
      <w:r>
        <w:rPr>
          <w:rFonts w:ascii="Palatino" w:cs="Palatino" w:eastAsia="Palatino" w:hAnsi="Palatino"/>
          <w:i/>
          <w:iCs/>
          <w:color w:val="1C140C"/>
          <w:sz w:val="22"/>
          <w:szCs w:val="22"/>
        </w:rPr>
        <w:t xml:space="preserve">Δ</w:t>
      </w:r>
      <w:r>
        <w:rPr>
          <w:rFonts w:ascii="Palatino" w:cs="Palatino" w:eastAsia="Palatino" w:hAnsi="Palatino"/>
          <w:color w:val="1C140C"/>
          <w:sz w:val="22"/>
          <w:szCs w:val="22"/>
          <w:vertAlign w:val="subscript"/>
        </w:rPr>
        <w:t xml:space="preserve">auth</w:t>
      </w:r>
      <w:r>
        <w:rPr>
          <w:rFonts w:ascii="Palatino" w:cs="Palatino" w:eastAsia="Palatino" w:hAnsi="Palatino"/>
          <w:color w:val="1C140C"/>
          <w:sz w:val="22"/>
          <w:szCs w:val="22"/>
        </w:rPr>
        <w:t xml:space="preserve"> = +amount. A </w:t>
      </w:r>
      <w:r>
        <w:rPr>
          <w:rFonts w:ascii="Palatino" w:cs="Palatino" w:eastAsia="Palatino" w:hAnsi="Palatino"/>
          <w:i/>
          <w:iCs/>
          <w:color w:val="1C140C"/>
          <w:sz w:val="22"/>
          <w:szCs w:val="22"/>
        </w:rPr>
        <w:t xml:space="preserve">redeem</w:t>
      </w:r>
      <w:r>
        <w:rPr>
          <w:rFonts w:ascii="Palatino" w:cs="Palatino" w:eastAsia="Palatino" w:hAnsi="Palatino"/>
          <w:color w:val="1C140C"/>
          <w:sz w:val="22"/>
          <w:szCs w:val="22"/>
        </w:rPr>
        <w:t xml:space="preserve"> sets </w:t>
      </w:r>
      <w:r>
        <w:rPr>
          <w:rFonts w:ascii="Palatino" w:cs="Palatino" w:eastAsia="Palatino" w:hAnsi="Palatino"/>
          <w:i/>
          <w:iCs/>
          <w:color w:val="1C140C"/>
          <w:sz w:val="22"/>
          <w:szCs w:val="22"/>
        </w:rPr>
        <w:t xml:space="preserve">Δ</w:t>
      </w:r>
      <w:r>
        <w:rPr>
          <w:rFonts w:ascii="Palatino" w:cs="Palatino" w:eastAsia="Palatino" w:hAnsi="Palatino"/>
          <w:color w:val="1C140C"/>
          <w:sz w:val="22"/>
          <w:szCs w:val="22"/>
          <w:vertAlign w:val="subscript"/>
        </w:rPr>
        <w:t xml:space="preserve">auth</w:t>
      </w:r>
      <w:r>
        <w:rPr>
          <w:rFonts w:ascii="Palatino" w:cs="Palatino" w:eastAsia="Palatino" w:hAnsi="Palatino"/>
          <w:color w:val="1C140C"/>
          <w:sz w:val="22"/>
          <w:szCs w:val="22"/>
        </w:rPr>
        <w:t xml:space="preserve"> = −amount, so a partial burn still conserves. A </w:t>
      </w:r>
      <w:r>
        <w:rPr>
          <w:rFonts w:ascii="Palatino" w:cs="Palatino" w:eastAsia="Palatino" w:hAnsi="Palatino"/>
          <w:i/>
          <w:iCs/>
          <w:color w:val="1C140C"/>
          <w:sz w:val="22"/>
          <w:szCs w:val="22"/>
        </w:rPr>
        <w:t xml:space="preserve">freeze</w:t>
      </w:r>
      <w:r>
        <w:rPr>
          <w:rFonts w:ascii="Palatino" w:cs="Palatino" w:eastAsia="Palatino" w:hAnsi="Palatino"/>
          <w:color w:val="1C140C"/>
          <w:sz w:val="22"/>
          <w:szCs w:val="22"/>
        </w:rPr>
        <w:t xml:space="preserve"> spends the live authorization outpoint, writes the frozen outpoint into overlay state, and sets </w:t>
      </w:r>
      <w:r>
        <w:rPr>
          <w:rFonts w:ascii="Palatino" w:cs="Palatino" w:eastAsia="Palatino" w:hAnsi="Palatino"/>
          <w:i/>
          <w:iCs/>
          <w:color w:val="1C140C"/>
          <w:sz w:val="22"/>
          <w:szCs w:val="22"/>
        </w:rPr>
        <w:t xml:space="preserve">Δ</w:t>
      </w:r>
      <w:r>
        <w:rPr>
          <w:rFonts w:ascii="Palatino" w:cs="Palatino" w:eastAsia="Palatino" w:hAnsi="Palatino"/>
          <w:color w:val="1C140C"/>
          <w:sz w:val="22"/>
          <w:szCs w:val="22"/>
          <w:vertAlign w:val="subscript"/>
        </w:rPr>
        <w:t xml:space="preserve">auth</w:t>
      </w:r>
      <w:r>
        <w:rPr>
          <w:rFonts w:ascii="Palatino" w:cs="Palatino" w:eastAsia="Palatino" w:hAnsi="Palatino"/>
          <w:color w:val="1C140C"/>
          <w:sz w:val="22"/>
          <w:szCs w:val="22"/>
        </w:rPr>
        <w:t xml:space="preserve"> = 0: the coin remains on-chain, but any later spend of it is refused. A </w:t>
      </w:r>
      <w:r>
        <w:rPr>
          <w:rFonts w:ascii="Palatino" w:cs="Palatino" w:eastAsia="Palatino" w:hAnsi="Palatino"/>
          <w:i/>
          <w:iCs/>
          <w:color w:val="1C140C"/>
          <w:sz w:val="22"/>
          <w:szCs w:val="22"/>
        </w:rPr>
        <w:t xml:space="preserve">reissue</w:t>
      </w:r>
      <w:r>
        <w:rPr>
          <w:rFonts w:ascii="Palatino" w:cs="Palatino" w:eastAsia="Palatino" w:hAnsi="Palatino"/>
          <w:color w:val="1C140C"/>
          <w:sz w:val="22"/>
          <w:szCs w:val="22"/>
        </w:rPr>
        <w:t xml:space="preserve"> targets an already-frozen outpoint, evicts it from the overlay’s balance view, and mints replacement units to a named recipient with </w:t>
      </w:r>
      <w:r>
        <w:rPr>
          <w:rFonts w:ascii="Palatino" w:cs="Palatino" w:eastAsia="Palatino" w:hAnsi="Palatino"/>
          <w:i/>
          <w:iCs/>
          <w:color w:val="1C140C"/>
          <w:sz w:val="22"/>
          <w:szCs w:val="22"/>
        </w:rPr>
        <w:t xml:space="preserve">Δ</w:t>
      </w:r>
      <w:r>
        <w:rPr>
          <w:rFonts w:ascii="Palatino" w:cs="Palatino" w:eastAsia="Palatino" w:hAnsi="Palatino"/>
          <w:color w:val="1C140C"/>
          <w:sz w:val="22"/>
          <w:szCs w:val="22"/>
          <w:vertAlign w:val="subscript"/>
        </w:rPr>
        <w:t xml:space="preserve">auth</w:t>
      </w:r>
      <w:r>
        <w:rPr>
          <w:rFonts w:ascii="Palatino" w:cs="Palatino" w:eastAsia="Palatino" w:hAnsi="Palatino"/>
          <w:color w:val="1C140C"/>
          <w:sz w:val="22"/>
          <w:szCs w:val="22"/>
        </w:rPr>
        <w:t xml:space="preserve"> = +amount and zero fungible inputs of that asset.</w:t>
      </w:r>
    </w:p>
    <w:p>
      <w:pPr>
        <w:spacing w:after="160" w:line="276"/>
      </w:pPr>
      <w:r>
        <w:rPr>
          <w:rFonts w:ascii="Palatino" w:cs="Palatino" w:eastAsia="Palatino" w:hAnsi="Palatino"/>
          <w:color w:val="1C140C"/>
          <w:sz w:val="22"/>
          <w:szCs w:val="22"/>
        </w:rPr>
        <w:t xml:space="preserve">Issuance outputs lock under a pay-to-multi-key-hash template</w:t>
      </w:r>
      <w:hyperlink w:history="1" w:anchor="ref18">
        <w:r>
          <w:rPr>
            <w:rFonts w:ascii="Palatino" w:cs="Palatino" w:eastAsia="Palatino" w:hAnsi="Palatino"/>
            <w:color w:val="8A6A2A"/>
            <w:sz w:val="15"/>
            <w:szCs w:val="15"/>
            <w:vertAlign w:val="superscript"/>
          </w:rPr>
          <w:t xml:space="preserve">[18]</w:t>
        </w:r>
      </w:hyperlink>
      <w:r>
        <w:rPr>
          <w:rFonts w:ascii="Palatino" w:cs="Palatino" w:eastAsia="Palatino" w:hAnsi="Palatino"/>
          <w:color w:val="1C140C"/>
          <w:sz w:val="22"/>
          <w:szCs w:val="22"/>
        </w:rPr>
        <w:t xml:space="preserve">. The minimum policy is two-of-two. Two-of-three or two-of-four is used when an off-site recovery key is kept for lost-device cases. That key does not sign day to day. Each authorization key is derived as a commitment to the canonical action object (kind, asset, amount, prior outpoint, and any bank reference), so a given outpoint is cryptographically tied to one administrative task and can be opened by revealing that object.</w:t>
      </w:r>
    </w:p>
    <w:p>
      <w:pPr>
        <w:pStyle w:val="Heading2"/>
        <w:spacing w:before="200" w:after="100"/>
      </w:pPr>
      <w:r>
        <w:rPr>
          <w:rFonts w:ascii="Palatino" w:cs="Palatino" w:eastAsia="Palatino" w:hAnsi="Palatino"/>
          <w:b/>
          <w:bCs/>
          <w:i/>
          <w:iCs/>
          <w:color w:val="1C140C"/>
          <w:sz w:val="24"/>
          <w:szCs w:val="24"/>
        </w:rPr>
        <w:t xml:space="preserve">2.2  Registration</w:t>
      </w:r>
    </w:p>
    <w:p>
      <w:pPr>
        <w:spacing w:after="160" w:line="276"/>
      </w:pPr>
      <w:r>
        <w:rPr>
          <w:rFonts w:ascii="Palatino" w:cs="Palatino" w:eastAsia="Palatino" w:hAnsi="Palatino"/>
          <w:color w:val="1C140C"/>
          <w:sz w:val="22"/>
          <w:szCs w:val="22"/>
        </w:rPr>
        <w:t xml:space="preserve">The registration chain is issuer-level, not per asset. One admission covers every stablecoin that issuer operates. Identity keys are not pushed on-chain.</w:t>
      </w:r>
    </w:p>
    <w:p>
      <w:pPr>
        <w:spacing w:after="160" w:line="276"/>
      </w:pPr>
      <w:r>
        <w:rPr>
          <w:rFonts w:ascii="Palatino" w:cs="Palatino" w:eastAsia="Palatino" w:hAnsi="Palatino"/>
          <w:color w:val="1C140C"/>
          <w:sz w:val="22"/>
          <w:szCs w:val="22"/>
        </w:rPr>
        <w:t xml:space="preserve">Each spend is an </w:t>
      </w:r>
      <w:r>
        <w:rPr>
          <w:rFonts w:ascii="Palatino" w:cs="Palatino" w:eastAsia="Palatino" w:hAnsi="Palatino"/>
          <w:i/>
          <w:iCs/>
          <w:color w:val="1C140C"/>
          <w:sz w:val="22"/>
          <w:szCs w:val="22"/>
        </w:rPr>
        <w:t xml:space="preserve">admit</w:t>
      </w:r>
      <w:r>
        <w:rPr>
          <w:rFonts w:ascii="Palatino" w:cs="Palatino" w:eastAsia="Palatino" w:hAnsi="Palatino"/>
          <w:color w:val="1C140C"/>
          <w:sz w:val="22"/>
          <w:szCs w:val="22"/>
        </w:rPr>
        <w:t xml:space="preserve"> or </w:t>
      </w:r>
      <w:r>
        <w:rPr>
          <w:rFonts w:ascii="Palatino" w:cs="Palatino" w:eastAsia="Palatino" w:hAnsi="Palatino"/>
          <w:i/>
          <w:iCs/>
          <w:color w:val="1C140C"/>
          <w:sz w:val="22"/>
          <w:szCs w:val="22"/>
        </w:rPr>
        <w:t xml:space="preserve">revoke</w:t>
      </w:r>
      <w:r>
        <w:rPr>
          <w:rFonts w:ascii="Palatino" w:cs="Palatino" w:eastAsia="Palatino" w:hAnsi="Palatino"/>
          <w:color w:val="1C140C"/>
          <w:sz w:val="22"/>
          <w:szCs w:val="22"/>
        </w:rPr>
        <w:t xml:space="preserve"> event. The payload is a bound key whose invoice number follows the standard three-part form</w:t>
      </w:r>
      <w:hyperlink w:history="1" w:anchor="ref19">
        <w:r>
          <w:rPr>
            <w:rFonts w:ascii="Palatino" w:cs="Palatino" w:eastAsia="Palatino" w:hAnsi="Palatino"/>
            <w:color w:val="8A6A2A"/>
            <w:sz w:val="15"/>
            <w:szCs w:val="15"/>
            <w:vertAlign w:val="superscript"/>
          </w:rPr>
          <w:t xml:space="preserve">[19]</w:t>
        </w:r>
      </w:hyperlink>
    </w:p>
    <w:p>
      <w:pPr>
        <w:pBdr>
          <w:top w:val="single" w:color="C4A35A" w:sz="6" w:space="8"/>
          <w:bottom w:val="single" w:color="C4A35A" w:sz="6" w:space="8"/>
        </w:pBdr>
        <w:shd w:fill="F7F1E3" w:val="clear"/>
        <w:spacing w:before="120" w:after="120" w:line="300"/>
        <w:jc w:val="center"/>
      </w:pPr>
      <w:r>
        <w:rPr>
          <w:rFonts w:ascii="Palatino" w:cs="Palatino" w:eastAsia="Palatino" w:hAnsi="Palatino"/>
          <w:i/>
          <w:iCs/>
          <w:color w:val="1C140C"/>
          <w:sz w:val="22"/>
          <w:szCs w:val="22"/>
        </w:rPr>
        <w:t xml:space="preserve">ι  =  ℓ-protocolID-keyID</w:t>
      </w:r>
    </w:p>
    <w:p>
      <w:pPr>
        <w:spacing w:after="160" w:line="276"/>
      </w:pPr>
      <w:r>
        <w:rPr>
          <w:rFonts w:ascii="Palatino" w:cs="Palatino" w:eastAsia="Palatino" w:hAnsi="Palatino"/>
          <w:color w:val="1C140C"/>
          <w:sz w:val="22"/>
          <w:szCs w:val="22"/>
        </w:rPr>
        <w:t xml:space="preserve">The key identifier is the hash of the event object. Derivation is Section 3 against </w:t>
      </w:r>
      <w:r>
        <w:rPr>
          <w:rFonts w:ascii="Palatino" w:cs="Palatino" w:eastAsia="Palatino" w:hAnsi="Palatino"/>
          <w:i/>
          <w:iCs/>
          <w:color w:val="1C140C"/>
          <w:sz w:val="22"/>
          <w:szCs w:val="22"/>
        </w:rPr>
        <w:t xml:space="preserve">self</w:t>
      </w:r>
      <w:r>
        <w:rPr>
          <w:rFonts w:ascii="Palatino" w:cs="Palatino" w:eastAsia="Palatino" w:hAnsi="Palatino"/>
          <w:color w:val="1C140C"/>
          <w:sz w:val="22"/>
          <w:szCs w:val="22"/>
        </w:rPr>
        <w:t xml:space="preserve"> or </w:t>
      </w:r>
      <w:r>
        <w:rPr>
          <w:rFonts w:ascii="Palatino" w:cs="Palatino" w:eastAsia="Palatino" w:hAnsi="Palatino"/>
          <w:i/>
          <w:iCs/>
          <w:color w:val="1C140C"/>
          <w:sz w:val="22"/>
          <w:szCs w:val="22"/>
        </w:rPr>
        <w:t xml:space="preserve">anyone</w:t>
      </w:r>
      <w:r>
        <w:rPr>
          <w:rFonts w:ascii="Palatino" w:cs="Palatino" w:eastAsia="Palatino" w:hAnsi="Palatino"/>
          <w:color w:val="1C140C"/>
          <w:sz w:val="22"/>
          <w:szCs w:val="22"/>
        </w:rPr>
        <w:t xml:space="preserve"> as counterparty. The public chain shows that a threshold signed an admission or a revocation at a given height. It does not name the person. A regulator given the event object recomputes </w:t>
      </w:r>
      <w:r>
        <w:rPr>
          <w:rFonts w:ascii="Palatino" w:cs="Palatino" w:eastAsia="Palatino" w:hAnsi="Palatino"/>
          <w:i/>
          <w:iCs/>
          <w:color w:val="1C140C"/>
          <w:sz w:val="22"/>
          <w:szCs w:val="22"/>
        </w:rPr>
        <w:t xml:space="preserve">ι</w:t>
      </w:r>
      <w:r>
        <w:rPr>
          <w:rFonts w:ascii="Palatino" w:cs="Palatino" w:eastAsia="Palatino" w:hAnsi="Palatino"/>
          <w:color w:val="1C140C"/>
          <w:sz w:val="22"/>
          <w:szCs w:val="22"/>
        </w:rPr>
        <w:t xml:space="preserve"> and the bound key and opens the event.</w:t>
      </w:r>
    </w:p>
    <w:p>
      <w:pPr>
        <w:spacing w:after="160" w:line="276"/>
      </w:pPr>
      <w:r>
        <w:rPr>
          <w:rFonts w:ascii="Palatino" w:cs="Palatino" w:eastAsia="Palatino" w:hAnsi="Palatino"/>
          <w:color w:val="1C140C"/>
          <w:sz w:val="22"/>
          <w:szCs w:val="22"/>
        </w:rPr>
        <w:t xml:space="preserve">The current allow-list is the replay of that chain into a database. The database is a cache. It is not process memory and it is not the source of truth.</w:t>
      </w:r>
    </w:p>
    <w:p>
      <w:pPr>
        <w:pStyle w:val="Heading2"/>
        <w:spacing w:before="200" w:after="100"/>
      </w:pPr>
      <w:r>
        <w:rPr>
          <w:rFonts w:ascii="Palatino" w:cs="Palatino" w:eastAsia="Palatino" w:hAnsi="Palatino"/>
          <w:b/>
          <w:bCs/>
          <w:i/>
          <w:iCs/>
          <w:color w:val="1C140C"/>
          <w:sz w:val="24"/>
          <w:szCs w:val="24"/>
        </w:rPr>
        <w:t xml:space="preserve">2.3  Rotation</w:t>
      </w:r>
    </w:p>
    <w:p>
      <w:pPr>
        <w:spacing w:after="160" w:line="276"/>
      </w:pPr>
      <w:r>
        <w:rPr>
          <w:rFonts w:ascii="Palatino" w:cs="Palatino" w:eastAsia="Palatino" w:hAnsi="Palatino"/>
          <w:color w:val="1C140C"/>
          <w:sz w:val="22"/>
          <w:szCs w:val="22"/>
        </w:rPr>
        <w:t xml:space="preserve">Key rotation is procedure. The live set rotates on a regular cadence. A dedicated rotation spend on the relevant chain publishes the new key set, the threshold, and the block height </w:t>
      </w:r>
      <w:r>
        <w:rPr>
          <w:rFonts w:ascii="Palatino" w:cs="Palatino" w:eastAsia="Palatino" w:hAnsi="Palatino"/>
          <w:i/>
          <w:iCs/>
          <w:color w:val="1C140C"/>
          <w:sz w:val="22"/>
          <w:szCs w:val="22"/>
        </w:rPr>
        <w:t xml:space="preserve">h</w:t>
      </w:r>
      <w:r>
        <w:rPr>
          <w:rFonts w:ascii="Palatino" w:cs="Palatino" w:eastAsia="Palatino" w:hAnsi="Palatino"/>
          <w:color w:val="1C140C"/>
          <w:sz w:val="22"/>
          <w:szCs w:val="22"/>
        </w:rPr>
        <w:t xml:space="preserve"> at which it becomes authoritative for fresh attestation signatures.</w:t>
      </w:r>
    </w:p>
    <w:p>
      <w:pPr>
        <w:spacing w:after="160" w:line="276"/>
      </w:pPr>
      <w:r>
        <w:rPr>
          <w:rFonts w:ascii="Palatino" w:cs="Palatino" w:eastAsia="Palatino" w:hAnsi="Palatino"/>
          <w:color w:val="1C140C"/>
          <w:sz w:val="22"/>
          <w:szCs w:val="22"/>
        </w:rPr>
        <w:t xml:space="preserve">Clients cache the current set, every previous set, and the height of each rotation. New attestation signatures are accepted only under a key that was live at the height of the signed transaction. A phone that has not seen the latest rotation rejects signatures from the new key until it syncs.</w:t>
      </w:r>
    </w:p>
    <w:p>
      <w:pPr>
        <w:keepNext/>
        <w:spacing w:before="140" w:after="40"/>
        <w:jc w:val="center"/>
      </w:pPr>
      <w:r>
        <w:drawing>
          <wp:inline distT="0" distB="0" distL="0" distR="0">
            <wp:extent cx="4953000" cy="2143125"/>
            <wp:effectExtent t="0" r="0" b="0" l="0"/>
            <wp:docPr id="1" name="Issuance chain and registration chain as hash-linked threshold spends" descr="Issuance chain and registration chain as hash-linked threshold spends" title="Issuance chain and registration chain as hash-linked threshold spe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143125"/>
                    </a:xfrm>
                    <a:prstGeom prst="rect">
                      <a:avLst/>
                    </a:prstGeom>
                  </pic:spPr>
                </pic:pic>
              </a:graphicData>
            </a:graphic>
          </wp:inline>
        </w:drawing>
      </w:r>
    </w:p>
    <w:p>
      <w:pPr>
        <w:spacing w:before="60" w:after="180"/>
        <w:jc w:val="center"/>
      </w:pPr>
      <w:r>
        <w:rPr>
          <w:rFonts w:ascii="Palatino" w:cs="Palatino" w:eastAsia="Palatino" w:hAnsi="Palatino"/>
          <w:i/>
          <w:iCs/>
          <w:color w:val="5C4E3E"/>
          <w:sz w:val="16"/>
          <w:szCs w:val="16"/>
        </w:rPr>
        <w:t xml:space="preserve">Figure 2. Two spines of control. Issuance is per asset and is the public function of supply. Registration is per issuer and is the public function of membership. Both are threshold-locked; neither names a person on-chain.</w:t>
      </w:r>
    </w:p>
    <w:p>
      <w:pPr>
        <w:pStyle w:val="Heading1"/>
        <w:pBdr>
          <w:bottom w:val="single" w:color="C4A35A" w:sz="6" w:space="4"/>
        </w:pBdr>
        <w:spacing w:before="280" w:after="140"/>
      </w:pPr>
      <w:r>
        <w:rPr>
          <w:rFonts w:ascii="Palatino" w:cs="Palatino" w:eastAsia="Palatino" w:hAnsi="Palatino"/>
          <w:b/>
          <w:bCs/>
          <w:color w:val="8A6A2A"/>
          <w:sz w:val="28"/>
          <w:szCs w:val="28"/>
        </w:rPr>
        <w:t xml:space="preserve">3.  Payment keys</w:t>
      </w:r>
    </w:p>
    <w:p>
      <w:pPr>
        <w:spacing w:after="160" w:line="276"/>
      </w:pPr>
      <w:r>
        <w:rPr>
          <w:rFonts w:ascii="Palatino" w:cs="Palatino" w:eastAsia="Palatino" w:hAnsi="Palatino"/>
          <w:color w:val="1C140C"/>
          <w:sz w:val="22"/>
          <w:szCs w:val="22"/>
        </w:rPr>
        <w:t xml:space="preserve">This section is the only cryptography a transfer needs. secp256k1 is an elliptic-curve group: a set of points with an addition law, a distinguished generator </w:t>
      </w:r>
      <w:r>
        <w:rPr>
          <w:rFonts w:ascii="Palatino" w:cs="Palatino" w:eastAsia="Palatino" w:hAnsi="Palatino"/>
          <w:i/>
          <w:iCs/>
          <w:color w:val="1C140C"/>
          <w:sz w:val="22"/>
          <w:szCs w:val="22"/>
        </w:rPr>
        <w:t xml:space="preserve">G</w:t>
      </w:r>
      <w:r>
        <w:rPr>
          <w:rFonts w:ascii="Palatino" w:cs="Palatino" w:eastAsia="Palatino" w:hAnsi="Palatino"/>
          <w:color w:val="1C140C"/>
          <w:sz w:val="22"/>
          <w:szCs w:val="22"/>
        </w:rPr>
        <w:t xml:space="preserve">, and a prime order </w:t>
      </w:r>
      <w:r>
        <w:rPr>
          <w:rFonts w:ascii="Palatino" w:cs="Palatino" w:eastAsia="Palatino" w:hAnsi="Palatino"/>
          <w:i/>
          <w:iCs/>
          <w:color w:val="1C140C"/>
          <w:sz w:val="22"/>
          <w:szCs w:val="22"/>
        </w:rPr>
        <w:t xml:space="preserve">n</w:t>
      </w:r>
      <w:hyperlink w:history="1" w:anchor="ref13">
        <w:r>
          <w:rPr>
            <w:rFonts w:ascii="Palatino" w:cs="Palatino" w:eastAsia="Palatino" w:hAnsi="Palatino"/>
            <w:color w:val="8A6A2A"/>
            <w:sz w:val="15"/>
            <w:szCs w:val="15"/>
            <w:vertAlign w:val="superscript"/>
          </w:rPr>
          <w:t xml:space="preserve">[13]</w:t>
        </w:r>
      </w:hyperlink>
      <w:r>
        <w:rPr>
          <w:rFonts w:ascii="Palatino" w:cs="Palatino" w:eastAsia="Palatino" w:hAnsi="Palatino"/>
          <w:color w:val="1C140C"/>
          <w:sz w:val="22"/>
          <w:szCs w:val="22"/>
        </w:rPr>
        <w:t xml:space="preserve">. A private key is a scalar </w:t>
      </w:r>
      <w:r>
        <w:rPr>
          <w:rFonts w:ascii="Palatino" w:cs="Palatino" w:eastAsia="Palatino" w:hAnsi="Palatino"/>
          <w:i/>
          <w:iCs/>
          <w:color w:val="1C140C"/>
          <w:sz w:val="22"/>
          <w:szCs w:val="22"/>
        </w:rPr>
        <w:t xml:space="preserve">a</w:t>
      </w:r>
      <w:r>
        <w:rPr>
          <w:rFonts w:ascii="Palatino" w:cs="Palatino" w:eastAsia="Palatino" w:hAnsi="Palatino"/>
          <w:color w:val="1C140C"/>
          <w:sz w:val="22"/>
          <w:szCs w:val="22"/>
        </w:rPr>
        <w:t xml:space="preserve"> chosen uniformly from 1 … </w:t>
      </w:r>
      <w:r>
        <w:rPr>
          <w:rFonts w:ascii="Palatino" w:cs="Palatino" w:eastAsia="Palatino" w:hAnsi="Palatino"/>
          <w:i/>
          <w:iCs/>
          <w:color w:val="1C140C"/>
          <w:sz w:val="22"/>
          <w:szCs w:val="22"/>
        </w:rPr>
        <w:t xml:space="preserve">n</w:t>
      </w:r>
      <w:r>
        <w:rPr>
          <w:rFonts w:ascii="Palatino" w:cs="Palatino" w:eastAsia="Palatino" w:hAnsi="Palatino"/>
          <w:color w:val="1C140C"/>
          <w:sz w:val="22"/>
          <w:szCs w:val="22"/>
        </w:rPr>
        <w:t xml:space="preserve"> − 1. The corresponding public key is the point </w:t>
      </w:r>
      <w:r>
        <w:rPr>
          <w:rFonts w:ascii="Palatino" w:cs="Palatino" w:eastAsia="Palatino" w:hAnsi="Palatino"/>
          <w:i/>
          <w:iCs/>
          <w:color w:val="1C140C"/>
          <w:sz w:val="22"/>
          <w:szCs w:val="22"/>
        </w:rPr>
        <w:t xml:space="preserve">A = aG</w:t>
      </w:r>
      <w:r>
        <w:rPr>
          <w:rFonts w:ascii="Palatino" w:cs="Palatino" w:eastAsia="Palatino" w:hAnsi="Palatino"/>
          <w:color w:val="1C140C"/>
          <w:sz w:val="22"/>
          <w:szCs w:val="22"/>
        </w:rPr>
        <w:t xml:space="preserve">, meaning </w:t>
      </w:r>
      <w:r>
        <w:rPr>
          <w:rFonts w:ascii="Palatino" w:cs="Palatino" w:eastAsia="Palatino" w:hAnsi="Palatino"/>
          <w:i/>
          <w:iCs/>
          <w:color w:val="1C140C"/>
          <w:sz w:val="22"/>
          <w:szCs w:val="22"/>
        </w:rPr>
        <w:t xml:space="preserve">G</w:t>
      </w:r>
      <w:r>
        <w:rPr>
          <w:rFonts w:ascii="Palatino" w:cs="Palatino" w:eastAsia="Palatino" w:hAnsi="Palatino"/>
          <w:color w:val="1C140C"/>
          <w:sz w:val="22"/>
          <w:szCs w:val="22"/>
        </w:rPr>
        <w:t xml:space="preserve"> added to itself </w:t>
      </w:r>
      <w:r>
        <w:rPr>
          <w:rFonts w:ascii="Palatino" w:cs="Palatino" w:eastAsia="Palatino" w:hAnsi="Palatino"/>
          <w:i/>
          <w:iCs/>
          <w:color w:val="1C140C"/>
          <w:sz w:val="22"/>
          <w:szCs w:val="22"/>
        </w:rPr>
        <w:t xml:space="preserve">a</w:t>
      </w:r>
      <w:r>
        <w:rPr>
          <w:rFonts w:ascii="Palatino" w:cs="Palatino" w:eastAsia="Palatino" w:hAnsi="Palatino"/>
          <w:color w:val="1C140C"/>
          <w:sz w:val="22"/>
          <w:szCs w:val="22"/>
        </w:rPr>
        <w:t xml:space="preserve"> times. Given </w:t>
      </w:r>
      <w:r>
        <w:rPr>
          <w:rFonts w:ascii="Palatino" w:cs="Palatino" w:eastAsia="Palatino" w:hAnsi="Palatino"/>
          <w:i/>
          <w:iCs/>
          <w:color w:val="1C140C"/>
          <w:sz w:val="22"/>
          <w:szCs w:val="22"/>
        </w:rPr>
        <w:t xml:space="preserve">A</w:t>
      </w:r>
      <w:r>
        <w:rPr>
          <w:rFonts w:ascii="Palatino" w:cs="Palatino" w:eastAsia="Palatino" w:hAnsi="Palatino"/>
          <w:color w:val="1C140C"/>
          <w:sz w:val="22"/>
          <w:szCs w:val="22"/>
        </w:rPr>
        <w:t xml:space="preserve">, computing </w:t>
      </w:r>
      <w:r>
        <w:rPr>
          <w:rFonts w:ascii="Palatino" w:cs="Palatino" w:eastAsia="Palatino" w:hAnsi="Palatino"/>
          <w:i/>
          <w:iCs/>
          <w:color w:val="1C140C"/>
          <w:sz w:val="22"/>
          <w:szCs w:val="22"/>
        </w:rPr>
        <w:t xml:space="preserve">a</w:t>
      </w:r>
      <w:r>
        <w:rPr>
          <w:rFonts w:ascii="Palatino" w:cs="Palatino" w:eastAsia="Palatino" w:hAnsi="Palatino"/>
          <w:color w:val="1C140C"/>
          <w:sz w:val="22"/>
          <w:szCs w:val="22"/>
        </w:rPr>
        <w:t xml:space="preserve"> is the elliptic-curve discrete logarithm; it is assumed hard.</w:t>
      </w:r>
    </w:p>
    <w:p>
      <w:pPr>
        <w:spacing w:after="160" w:line="276"/>
      </w:pPr>
      <w:r>
        <w:rPr>
          <w:rFonts w:ascii="Palatino" w:cs="Palatino" w:eastAsia="Palatino" w:hAnsi="Palatino"/>
          <w:color w:val="1C140C"/>
          <w:sz w:val="22"/>
          <w:szCs w:val="22"/>
        </w:rPr>
        <w:t xml:space="preserve">Sender </w:t>
      </w:r>
      <w:r>
        <w:rPr>
          <w:rFonts w:ascii="Palatino" w:cs="Palatino" w:eastAsia="Palatino" w:hAnsi="Palatino"/>
          <w:i/>
          <w:iCs/>
          <w:color w:val="1C140C"/>
          <w:sz w:val="22"/>
          <w:szCs w:val="22"/>
        </w:rPr>
        <w:t xml:space="preserve">A</w:t>
      </w:r>
      <w:r>
        <w:rPr>
          <w:rFonts w:ascii="Palatino" w:cs="Palatino" w:eastAsia="Palatino" w:hAnsi="Palatino"/>
          <w:color w:val="1C140C"/>
          <w:sz w:val="22"/>
          <w:szCs w:val="22"/>
        </w:rPr>
        <w:t xml:space="preserve"> holds </w:t>
      </w:r>
      <w:r>
        <w:rPr>
          <w:rFonts w:ascii="Palatino" w:cs="Palatino" w:eastAsia="Palatino" w:hAnsi="Palatino"/>
          <w:i/>
          <w:iCs/>
          <w:color w:val="1C140C"/>
          <w:sz w:val="22"/>
          <w:szCs w:val="22"/>
        </w:rPr>
        <w:t xml:space="preserve">(a, A = aG)</w:t>
      </w:r>
      <w:r>
        <w:rPr>
          <w:rFonts w:ascii="Palatino" w:cs="Palatino" w:eastAsia="Palatino" w:hAnsi="Palatino"/>
          <w:color w:val="1C140C"/>
          <w:sz w:val="22"/>
          <w:szCs w:val="22"/>
        </w:rPr>
        <w:t xml:space="preserve">. Recipient </w:t>
      </w:r>
      <w:r>
        <w:rPr>
          <w:rFonts w:ascii="Palatino" w:cs="Palatino" w:eastAsia="Palatino" w:hAnsi="Palatino"/>
          <w:i/>
          <w:iCs/>
          <w:color w:val="1C140C"/>
          <w:sz w:val="22"/>
          <w:szCs w:val="22"/>
        </w:rPr>
        <w:t xml:space="preserve">B</w:t>
      </w:r>
      <w:r>
        <w:rPr>
          <w:rFonts w:ascii="Palatino" w:cs="Palatino" w:eastAsia="Palatino" w:hAnsi="Palatino"/>
          <w:color w:val="1C140C"/>
          <w:sz w:val="22"/>
          <w:szCs w:val="22"/>
        </w:rPr>
        <w:t xml:space="preserve"> holds </w:t>
      </w:r>
      <w:r>
        <w:rPr>
          <w:rFonts w:ascii="Palatino" w:cs="Palatino" w:eastAsia="Palatino" w:hAnsi="Palatino"/>
          <w:i/>
          <w:iCs/>
          <w:color w:val="1C140C"/>
          <w:sz w:val="22"/>
          <w:szCs w:val="22"/>
        </w:rPr>
        <w:t xml:space="preserve">(b, B = bG)</w:t>
      </w:r>
      <w:r>
        <w:rPr>
          <w:rFonts w:ascii="Palatino" w:cs="Palatino" w:eastAsia="Palatino" w:hAnsi="Palatino"/>
          <w:color w:val="1C140C"/>
          <w:sz w:val="22"/>
          <w:szCs w:val="22"/>
        </w:rPr>
        <w:t xml:space="preserve">. They agree on an invoice </w:t>
      </w:r>
      <w:r>
        <w:rPr>
          <w:rFonts w:ascii="Palatino" w:cs="Palatino" w:eastAsia="Palatino" w:hAnsi="Palatino"/>
          <w:i/>
          <w:iCs/>
          <w:color w:val="1C140C"/>
          <w:sz w:val="22"/>
          <w:szCs w:val="22"/>
        </w:rPr>
        <w:t xml:space="preserve">ι</w:t>
      </w:r>
      <w:r>
        <w:rPr>
          <w:rFonts w:ascii="Palatino" w:cs="Palatino" w:eastAsia="Palatino" w:hAnsi="Palatino"/>
          <w:color w:val="1C140C"/>
          <w:sz w:val="22"/>
          <w:szCs w:val="22"/>
        </w:rPr>
        <w:t xml:space="preserve">. When </w:t>
      </w:r>
      <w:r>
        <w:rPr>
          <w:rFonts w:ascii="Palatino" w:cs="Palatino" w:eastAsia="Palatino" w:hAnsi="Palatino"/>
          <w:i/>
          <w:iCs/>
          <w:color w:val="1C140C"/>
          <w:sz w:val="22"/>
          <w:szCs w:val="22"/>
        </w:rPr>
        <w:t xml:space="preserve">ι</w:t>
      </w:r>
      <w:r>
        <w:rPr>
          <w:rFonts w:ascii="Palatino" w:cs="Palatino" w:eastAsia="Palatino" w:hAnsi="Palatino"/>
          <w:color w:val="1C140C"/>
          <w:sz w:val="22"/>
          <w:szCs w:val="22"/>
        </w:rPr>
        <w:t xml:space="preserve"> is a structured object it is the three-part form of Section 2.2 and the key identifier is the hash of that object</w:t>
      </w:r>
      <w:hyperlink w:history="1" w:anchor="ref3">
        <w:r>
          <w:rPr>
            <w:rFonts w:ascii="Palatino" w:cs="Palatino" w:eastAsia="Palatino" w:hAnsi="Palatino"/>
            <w:color w:val="8A6A2A"/>
            <w:sz w:val="15"/>
            <w:szCs w:val="15"/>
            <w:vertAlign w:val="superscript"/>
          </w:rPr>
          <w:t xml:space="preserve">[3]</w:t>
        </w:r>
      </w:hyperlink>
      <w:r>
        <w:rPr>
          <w:rFonts w:ascii="Palatino" w:cs="Palatino" w:eastAsia="Palatino" w:hAnsi="Palatino"/>
          <w:sz w:val="16"/>
          <w:szCs w:val="16"/>
        </w:rPr>
        <w:t xml:space="preserve"> </w:t>
      </w:r>
      <w:hyperlink w:history="1" w:anchor="ref19">
        <w:r>
          <w:rPr>
            <w:rFonts w:ascii="Palatino" w:cs="Palatino" w:eastAsia="Palatino" w:hAnsi="Palatino"/>
            <w:color w:val="8A6A2A"/>
            <w:sz w:val="15"/>
            <w:szCs w:val="15"/>
            <w:vertAlign w:val="superscript"/>
          </w:rPr>
          <w:t xml:space="preserve">[19]</w:t>
        </w:r>
      </w:hyperlink>
      <w:r>
        <w:rPr>
          <w:rFonts w:ascii="Palatino" w:cs="Palatino" w:eastAsia="Palatino" w:hAnsi="Palatino"/>
          <w:color w:val="1C140C"/>
          <w:sz w:val="22"/>
          <w:szCs w:val="22"/>
        </w:rPr>
        <w:t xml:space="preserve">. Both compute the same shared point by elliptic-curve Diffie–Hellman,</w:t>
      </w:r>
    </w:p>
    <w:p>
      <w:pPr>
        <w:pBdr>
          <w:top w:val="single" w:color="C4A35A" w:sz="6" w:space="8"/>
          <w:bottom w:val="single" w:color="C4A35A" w:sz="6" w:space="8"/>
        </w:pBdr>
        <w:shd w:fill="F7F1E3" w:val="clear"/>
        <w:spacing w:before="120" w:after="120" w:line="300"/>
        <w:jc w:val="center"/>
      </w:pPr>
      <w:r>
        <w:rPr>
          <w:rFonts w:ascii="Palatino" w:cs="Palatino" w:eastAsia="Palatino" w:hAnsi="Palatino"/>
          <w:i/>
          <w:iCs/>
          <w:color w:val="1C140C"/>
          <w:sz w:val="22"/>
          <w:szCs w:val="22"/>
        </w:rPr>
        <w:t xml:space="preserve">S  =  aB  =  bA  =  (ab)G.</w:t>
      </w:r>
    </w:p>
    <w:p>
      <w:pPr>
        <w:spacing w:after="160" w:line="276"/>
      </w:pPr>
      <w:r>
        <w:rPr>
          <w:rFonts w:ascii="Palatino" w:cs="Palatino" w:eastAsia="Palatino" w:hAnsi="Palatino"/>
          <w:color w:val="1C140C"/>
          <w:sz w:val="22"/>
          <w:szCs w:val="22"/>
        </w:rPr>
        <w:t xml:space="preserve">Neither learns the other’s private key. They then turn </w:t>
      </w:r>
      <w:r>
        <w:rPr>
          <w:rFonts w:ascii="Palatino" w:cs="Palatino" w:eastAsia="Palatino" w:hAnsi="Palatino"/>
          <w:i/>
          <w:iCs/>
          <w:color w:val="1C140C"/>
          <w:sz w:val="22"/>
          <w:szCs w:val="22"/>
        </w:rPr>
        <w:t xml:space="preserve">S</w:t>
      </w:r>
      <w:r>
        <w:rPr>
          <w:rFonts w:ascii="Palatino" w:cs="Palatino" w:eastAsia="Palatino" w:hAnsi="Palatino"/>
          <w:color w:val="1C140C"/>
          <w:sz w:val="22"/>
          <w:szCs w:val="22"/>
        </w:rPr>
        <w:t xml:space="preserve"> into a per-invoice scalar with HMAC-SHA256, a keyed hash that behaves as a pseudorandom function when the key is secret</w:t>
      </w:r>
      <w:hyperlink w:history="1" w:anchor="ref9">
        <w:r>
          <w:rPr>
            <w:rFonts w:ascii="Palatino" w:cs="Palatino" w:eastAsia="Palatino" w:hAnsi="Palatino"/>
            <w:color w:val="8A6A2A"/>
            <w:sz w:val="15"/>
            <w:szCs w:val="15"/>
            <w:vertAlign w:val="superscript"/>
          </w:rPr>
          <w:t xml:space="preserve">[9]</w:t>
        </w:r>
      </w:hyperlink>
      <w:r>
        <w:rPr>
          <w:rFonts w:ascii="Palatino" w:cs="Palatino" w:eastAsia="Palatino" w:hAnsi="Palatino"/>
          <w:color w:val="1C140C"/>
          <w:sz w:val="22"/>
          <w:szCs w:val="22"/>
        </w:rPr>
        <w:t xml:space="preserve">:</w:t>
      </w:r>
    </w:p>
    <w:p>
      <w:pPr>
        <w:pBdr>
          <w:top w:val="single" w:color="C4A35A" w:sz="6" w:space="8"/>
          <w:bottom w:val="single" w:color="C4A35A" w:sz="6" w:space="8"/>
        </w:pBdr>
        <w:shd w:fill="F7F1E3" w:val="clear"/>
        <w:spacing w:before="120" w:after="120" w:line="300"/>
        <w:jc w:val="center"/>
      </w:pPr>
      <w:r>
        <w:rPr>
          <w:rFonts w:ascii="Palatino" w:cs="Palatino" w:eastAsia="Palatino" w:hAnsi="Palatino"/>
          <w:i/>
          <w:iCs/>
          <w:color w:val="1C140C"/>
          <w:sz w:val="22"/>
          <w:szCs w:val="22"/>
        </w:rPr>
        <w:t xml:space="preserve">k  =  int( HMAC-SHA256( compress(S), UTF-8(ι) ) )   mod n,     H  =  kG.</w:t>
      </w:r>
    </w:p>
    <w:p>
      <w:pPr>
        <w:spacing w:after="160" w:line="276"/>
      </w:pPr>
      <w:r>
        <w:rPr>
          <w:rFonts w:ascii="Palatino" w:cs="Palatino" w:eastAsia="Palatino" w:hAnsi="Palatino"/>
          <w:color w:val="1C140C"/>
          <w:sz w:val="22"/>
          <w:szCs w:val="22"/>
        </w:rPr>
        <w:t xml:space="preserve">The output key is the recipient’s identity plus that offset:</w:t>
      </w:r>
    </w:p>
    <w:p>
      <w:pPr>
        <w:pBdr>
          <w:top w:val="single" w:color="C4A35A" w:sz="6" w:space="8"/>
          <w:bottom w:val="single" w:color="C4A35A" w:sz="6" w:space="8"/>
        </w:pBdr>
        <w:shd w:fill="F7F1E3" w:val="clear"/>
        <w:spacing w:before="120" w:after="120" w:line="300"/>
        <w:jc w:val="center"/>
      </w:pPr>
      <w:r>
        <w:rPr>
          <w:rFonts w:ascii="Palatino" w:cs="Palatino" w:eastAsia="Palatino" w:hAnsi="Palatino"/>
          <w:i/>
          <w:iCs/>
          <w:color w:val="1C140C"/>
          <w:sz w:val="22"/>
          <w:szCs w:val="22"/>
        </w:rPr>
        <w:t xml:space="preserve">P</w:t>
      </w:r>
      <w:r>
        <w:rPr>
          <w:rFonts w:ascii="Palatino" w:cs="Palatino" w:eastAsia="Palatino" w:hAnsi="Palatino"/>
          <w:i/>
          <w:iCs/>
          <w:color w:val="1C140C"/>
          <w:sz w:val="16"/>
          <w:szCs w:val="16"/>
          <w:vertAlign w:val="subscript"/>
        </w:rPr>
        <w:t xml:space="preserve">out</w:t>
      </w:r>
      <w:r>
        <w:rPr>
          <w:rFonts w:ascii="Palatino" w:cs="Palatino" w:eastAsia="Palatino" w:hAnsi="Palatino"/>
          <w:i/>
          <w:iCs/>
          <w:color w:val="1C140C"/>
          <w:sz w:val="22"/>
          <w:szCs w:val="22"/>
        </w:rPr>
        <w:t xml:space="preserve">  =  B + H  =  (b + k)G.</w:t>
      </w:r>
    </w:p>
    <w:p>
      <w:pPr>
        <w:spacing w:after="160" w:line="276"/>
      </w:pPr>
      <w:r>
        <w:rPr>
          <w:rFonts w:ascii="Palatino" w:cs="Palatino" w:eastAsia="Palatino" w:hAnsi="Palatino"/>
          <w:color w:val="1C140C"/>
          <w:sz w:val="22"/>
          <w:szCs w:val="22"/>
        </w:rPr>
        <w:t xml:space="preserve">The recipient’s private key is </w:t>
      </w:r>
      <w:r>
        <w:rPr>
          <w:rFonts w:ascii="Palatino" w:cs="Palatino" w:eastAsia="Palatino" w:hAnsi="Palatino"/>
          <w:i/>
          <w:iCs/>
          <w:color w:val="1C140C"/>
          <w:sz w:val="22"/>
          <w:szCs w:val="22"/>
        </w:rPr>
        <w:t xml:space="preserve">b</w:t>
      </w:r>
      <w:r>
        <w:rPr>
          <w:rFonts w:ascii="Palatino" w:cs="Palatino" w:eastAsia="Palatino" w:hAnsi="Palatino"/>
          <w:color w:val="1C140C"/>
          <w:sz w:val="22"/>
          <w:szCs w:val="22"/>
          <w:vertAlign w:val="subscript"/>
        </w:rPr>
        <w:t xml:space="preserve">out</w:t>
      </w:r>
      <w:r>
        <w:rPr>
          <w:rFonts w:ascii="Palatino" w:cs="Palatino" w:eastAsia="Palatino" w:hAnsi="Palatino"/>
          <w:color w:val="1C140C"/>
          <w:sz w:val="22"/>
          <w:szCs w:val="22"/>
        </w:rPr>
        <w:t xml:space="preserve"> = (</w:t>
      </w:r>
      <w:r>
        <w:rPr>
          <w:rFonts w:ascii="Palatino" w:cs="Palatino" w:eastAsia="Palatino" w:hAnsi="Palatino"/>
          <w:i/>
          <w:iCs/>
          <w:color w:val="1C140C"/>
          <w:sz w:val="22"/>
          <w:szCs w:val="22"/>
        </w:rPr>
        <w:t xml:space="preserve">b</w:t>
      </w:r>
      <w:r>
        <w:rPr>
          <w:rFonts w:ascii="Palatino" w:cs="Palatino" w:eastAsia="Palatino" w:hAnsi="Palatino"/>
          <w:color w:val="1C140C"/>
          <w:sz w:val="22"/>
          <w:szCs w:val="22"/>
        </w:rPr>
        <w:t xml:space="preserve"> + </w:t>
      </w:r>
      <w:r>
        <w:rPr>
          <w:rFonts w:ascii="Palatino" w:cs="Palatino" w:eastAsia="Palatino" w:hAnsi="Palatino"/>
          <w:i/>
          <w:iCs/>
          <w:color w:val="1C140C"/>
          <w:sz w:val="22"/>
          <w:szCs w:val="22"/>
        </w:rPr>
        <w:t xml:space="preserve">k</w:t>
      </w:r>
      <w:r>
        <w:rPr>
          <w:rFonts w:ascii="Palatino" w:cs="Palatino" w:eastAsia="Palatino" w:hAnsi="Palatino"/>
          <w:color w:val="1C140C"/>
          <w:sz w:val="22"/>
          <w:szCs w:val="22"/>
        </w:rPr>
        <w:t xml:space="preserve">) mod </w:t>
      </w:r>
      <w:r>
        <w:rPr>
          <w:rFonts w:ascii="Palatino" w:cs="Palatino" w:eastAsia="Palatino" w:hAnsi="Palatino"/>
          <w:i/>
          <w:iCs/>
          <w:color w:val="1C140C"/>
          <w:sz w:val="22"/>
          <w:szCs w:val="22"/>
        </w:rPr>
        <w:t xml:space="preserve">n</w:t>
      </w:r>
      <w:r>
        <w:rPr>
          <w:rFonts w:ascii="Palatino" w:cs="Palatino" w:eastAsia="Palatino" w:hAnsi="Palatino"/>
          <w:color w:val="1C140C"/>
          <w:sz w:val="22"/>
          <w:szCs w:val="22"/>
        </w:rPr>
        <w:t xml:space="preserve">. Anyone who knows </w:t>
      </w:r>
      <w:r>
        <w:rPr>
          <w:rFonts w:ascii="Palatino" w:cs="Palatino" w:eastAsia="Palatino" w:hAnsi="Palatino"/>
          <w:i/>
          <w:iCs/>
          <w:color w:val="1C140C"/>
          <w:sz w:val="22"/>
          <w:szCs w:val="22"/>
        </w:rPr>
        <w:t xml:space="preserve">(a, B, ι)</w:t>
      </w:r>
      <w:r>
        <w:rPr>
          <w:rFonts w:ascii="Palatino" w:cs="Palatino" w:eastAsia="Palatino" w:hAnsi="Palatino"/>
          <w:color w:val="1C140C"/>
          <w:sz w:val="22"/>
          <w:szCs w:val="22"/>
        </w:rPr>
        <w:t xml:space="preserve"> or </w:t>
      </w:r>
      <w:r>
        <w:rPr>
          <w:rFonts w:ascii="Palatino" w:cs="Palatino" w:eastAsia="Palatino" w:hAnsi="Palatino"/>
          <w:i/>
          <w:iCs/>
          <w:color w:val="1C140C"/>
          <w:sz w:val="22"/>
          <w:szCs w:val="22"/>
        </w:rPr>
        <w:t xml:space="preserve">(b, A, ι)</w:t>
      </w:r>
      <w:r>
        <w:rPr>
          <w:rFonts w:ascii="Palatino" w:cs="Palatino" w:eastAsia="Palatino" w:hAnsi="Palatino"/>
          <w:color w:val="1C140C"/>
          <w:sz w:val="22"/>
          <w:szCs w:val="22"/>
        </w:rPr>
        <w:t xml:space="preserve"> can compute </w:t>
      </w:r>
      <w:r>
        <w:rPr>
          <w:rFonts w:ascii="Palatino" w:cs="Palatino" w:eastAsia="Palatino" w:hAnsi="Palatino"/>
          <w:i/>
          <w:iCs/>
          <w:color w:val="1C140C"/>
          <w:sz w:val="22"/>
          <w:szCs w:val="22"/>
        </w:rPr>
        <w:t xml:space="preserve">P</w:t>
      </w:r>
      <w:r>
        <w:rPr>
          <w:rFonts w:ascii="Palatino" w:cs="Palatino" w:eastAsia="Palatino" w:hAnsi="Palatino"/>
          <w:color w:val="1C140C"/>
          <w:sz w:val="22"/>
          <w:szCs w:val="22"/>
          <w:vertAlign w:val="subscript"/>
        </w:rPr>
        <w:t xml:space="preserve">out</w:t>
      </w:r>
      <w:r>
        <w:rPr>
          <w:rFonts w:ascii="Palatino" w:cs="Palatino" w:eastAsia="Palatino" w:hAnsi="Palatino"/>
          <w:color w:val="1C140C"/>
          <w:sz w:val="22"/>
          <w:szCs w:val="22"/>
        </w:rPr>
        <w:t xml:space="preserve">. Only </w:t>
      </w:r>
      <w:r>
        <w:rPr>
          <w:rFonts w:ascii="Palatino" w:cs="Palatino" w:eastAsia="Palatino" w:hAnsi="Palatino"/>
          <w:i/>
          <w:iCs/>
          <w:color w:val="1C140C"/>
          <w:sz w:val="22"/>
          <w:szCs w:val="22"/>
        </w:rPr>
        <w:t xml:space="preserve">B</w:t>
      </w:r>
      <w:r>
        <w:rPr>
          <w:rFonts w:ascii="Palatino" w:cs="Palatino" w:eastAsia="Palatino" w:hAnsi="Palatino"/>
          <w:color w:val="1C140C"/>
          <w:sz w:val="22"/>
          <w:szCs w:val="22"/>
        </w:rPr>
        <w:t xml:space="preserve"> can compute </w:t>
      </w:r>
      <w:r>
        <w:rPr>
          <w:rFonts w:ascii="Palatino" w:cs="Palatino" w:eastAsia="Palatino" w:hAnsi="Palatino"/>
          <w:i/>
          <w:iCs/>
          <w:color w:val="1C140C"/>
          <w:sz w:val="22"/>
          <w:szCs w:val="22"/>
        </w:rPr>
        <w:t xml:space="preserve">b</w:t>
      </w:r>
      <w:r>
        <w:rPr>
          <w:rFonts w:ascii="Palatino" w:cs="Palatino" w:eastAsia="Palatino" w:hAnsi="Palatino"/>
          <w:color w:val="1C140C"/>
          <w:sz w:val="22"/>
          <w:szCs w:val="22"/>
          <w:vertAlign w:val="subscript"/>
        </w:rPr>
        <w:t xml:space="preserve">out</w:t>
      </w:r>
      <w:r>
        <w:rPr>
          <w:rFonts w:ascii="Palatino" w:cs="Palatino" w:eastAsia="Palatino" w:hAnsi="Palatino"/>
          <w:color w:val="1C140C"/>
          <w:sz w:val="22"/>
          <w:szCs w:val="22"/>
        </w:rPr>
        <w:t xml:space="preserve">.</w:t>
      </w:r>
    </w:p>
    <w:p>
      <w:pPr>
        <w:spacing w:after="160" w:line="276"/>
      </w:pPr>
      <w:r>
        <w:rPr>
          <w:rFonts w:ascii="Palatino" w:cs="Palatino" w:eastAsia="Palatino" w:hAnsi="Palatino"/>
          <w:color w:val="1C140C"/>
          <w:sz w:val="22"/>
          <w:szCs w:val="22"/>
        </w:rPr>
        <w:t xml:space="preserve">The mined output reveals HASH160(</w:t>
      </w:r>
      <w:r>
        <w:rPr>
          <w:rFonts w:ascii="Palatino" w:cs="Palatino" w:eastAsia="Palatino" w:hAnsi="Palatino"/>
          <w:i/>
          <w:iCs/>
          <w:color w:val="1C140C"/>
          <w:sz w:val="22"/>
          <w:szCs w:val="22"/>
        </w:rPr>
        <w:t xml:space="preserve">P</w:t>
      </w:r>
      <w:r>
        <w:rPr>
          <w:rFonts w:ascii="Palatino" w:cs="Palatino" w:eastAsia="Palatino" w:hAnsi="Palatino"/>
          <w:color w:val="1C140C"/>
          <w:sz w:val="22"/>
          <w:szCs w:val="22"/>
          <w:vertAlign w:val="subscript"/>
        </w:rPr>
        <w:t xml:space="preserve">out</w:t>
      </w:r>
      <w:r>
        <w:rPr>
          <w:rFonts w:ascii="Palatino" w:cs="Palatino" w:eastAsia="Palatino" w:hAnsi="Palatino"/>
          <w:color w:val="1C140C"/>
          <w:sz w:val="22"/>
          <w:szCs w:val="22"/>
        </w:rPr>
        <w:t xml:space="preserve">) and the amount. HASH160 is RIPEMD-160(SHA-256(·)), Bitcoin’s standard public-key fingerprint. The output does not reveal </w:t>
      </w:r>
      <w:r>
        <w:rPr>
          <w:rFonts w:ascii="Palatino" w:cs="Palatino" w:eastAsia="Palatino" w:hAnsi="Palatino"/>
          <w:i/>
          <w:iCs/>
          <w:color w:val="1C140C"/>
          <w:sz w:val="22"/>
          <w:szCs w:val="22"/>
        </w:rPr>
        <w:t xml:space="preserve">A</w:t>
      </w:r>
      <w:r>
        <w:rPr>
          <w:rFonts w:ascii="Palatino" w:cs="Palatino" w:eastAsia="Palatino" w:hAnsi="Palatino"/>
          <w:color w:val="1C140C"/>
          <w:sz w:val="22"/>
          <w:szCs w:val="22"/>
        </w:rPr>
        <w:t xml:space="preserve">, </w:t>
      </w:r>
      <w:r>
        <w:rPr>
          <w:rFonts w:ascii="Palatino" w:cs="Palatino" w:eastAsia="Palatino" w:hAnsi="Palatino"/>
          <w:i/>
          <w:iCs/>
          <w:color w:val="1C140C"/>
          <w:sz w:val="22"/>
          <w:szCs w:val="22"/>
        </w:rPr>
        <w:t xml:space="preserve">B</w:t>
      </w:r>
      <w:r>
        <w:rPr>
          <w:rFonts w:ascii="Palatino" w:cs="Palatino" w:eastAsia="Palatino" w:hAnsi="Palatino"/>
          <w:color w:val="1C140C"/>
          <w:sz w:val="22"/>
          <w:szCs w:val="22"/>
        </w:rPr>
        <w:t xml:space="preserve">, </w:t>
      </w:r>
      <w:r>
        <w:rPr>
          <w:rFonts w:ascii="Palatino" w:cs="Palatino" w:eastAsia="Palatino" w:hAnsi="Palatino"/>
          <w:i/>
          <w:iCs/>
          <w:color w:val="1C140C"/>
          <w:sz w:val="22"/>
          <w:szCs w:val="22"/>
        </w:rPr>
        <w:t xml:space="preserve">S</w:t>
      </w:r>
      <w:r>
        <w:rPr>
          <w:rFonts w:ascii="Palatino" w:cs="Palatino" w:eastAsia="Palatino" w:hAnsi="Palatino"/>
          <w:color w:val="1C140C"/>
          <w:sz w:val="22"/>
          <w:szCs w:val="22"/>
        </w:rPr>
        <w:t xml:space="preserve">, </w:t>
      </w:r>
      <w:r>
        <w:rPr>
          <w:rFonts w:ascii="Palatino" w:cs="Palatino" w:eastAsia="Palatino" w:hAnsi="Palatino"/>
          <w:i/>
          <w:iCs/>
          <w:color w:val="1C140C"/>
          <w:sz w:val="22"/>
          <w:szCs w:val="22"/>
        </w:rPr>
        <w:t xml:space="preserve">k</w:t>
      </w:r>
      <w:r>
        <w:rPr>
          <w:rFonts w:ascii="Palatino" w:cs="Palatino" w:eastAsia="Palatino" w:hAnsi="Palatino"/>
          <w:color w:val="1C140C"/>
          <w:sz w:val="22"/>
          <w:szCs w:val="22"/>
        </w:rPr>
        <w:t xml:space="preserve">, or </w:t>
      </w:r>
      <w:r>
        <w:rPr>
          <w:rFonts w:ascii="Palatino" w:cs="Palatino" w:eastAsia="Palatino" w:hAnsi="Palatino"/>
          <w:i/>
          <w:iCs/>
          <w:color w:val="1C140C"/>
          <w:sz w:val="22"/>
          <w:szCs w:val="22"/>
        </w:rPr>
        <w:t xml:space="preserve">ι</w:t>
      </w:r>
      <w:r>
        <w:rPr>
          <w:rFonts w:ascii="Palatino" w:cs="Palatino" w:eastAsia="Palatino" w:hAnsi="Palatino"/>
          <w:color w:val="1C140C"/>
          <w:sz w:val="22"/>
          <w:szCs w:val="22"/>
        </w:rPr>
        <w:t xml:space="preserve">.</w:t>
      </w:r>
    </w:p>
    <w:p>
      <w:pPr>
        <w:spacing w:after="160" w:line="276"/>
      </w:pPr>
      <w:r>
        <w:rPr>
          <w:rFonts w:ascii="Palatino" w:cs="Palatino" w:eastAsia="Palatino" w:hAnsi="Palatino"/>
          <w:color w:val="1C140C"/>
          <w:sz w:val="22"/>
          <w:szCs w:val="22"/>
        </w:rPr>
        <w:t xml:space="preserve">A token output is one satoshi locked as</w:t>
      </w:r>
      <w:hyperlink w:history="1" w:anchor="ref2">
        <w:r>
          <w:rPr>
            <w:rFonts w:ascii="Palatino" w:cs="Palatino" w:eastAsia="Palatino" w:hAnsi="Palatino"/>
            <w:color w:val="8A6A2A"/>
            <w:sz w:val="15"/>
            <w:szCs w:val="15"/>
            <w:vertAlign w:val="superscript"/>
          </w:rPr>
          <w:t xml:space="preserve">[2]</w:t>
        </w:r>
      </w:hyperlink>
    </w:p>
    <w:p>
      <w:pPr>
        <w:pBdr>
          <w:top w:val="single" w:color="C4A35A" w:sz="6" w:space="8"/>
          <w:bottom w:val="single" w:color="C4A35A" w:sz="6" w:space="8"/>
        </w:pBdr>
        <w:shd w:fill="F7F1E3" w:val="clear"/>
        <w:spacing w:before="120" w:after="120" w:line="300"/>
        <w:jc w:val="center"/>
      </w:pPr>
      <w:r>
        <w:rPr>
          <w:rFonts w:ascii="Palatino" w:cs="Palatino" w:eastAsia="Palatino" w:hAnsi="Palatino"/>
          <w:i/>
          <w:iCs/>
          <w:color w:val="1C140C"/>
          <w:sz w:val="18"/>
          <w:szCs w:val="18"/>
        </w:rPr>
        <w:t xml:space="preserve">&lt;assetId&gt; &lt;a&gt; OP_2DROP  OP_DUP OP_HASH160 &lt;h&gt; OP_EQUALVERIFY OP_CHECKSIG</w:t>
      </w:r>
    </w:p>
    <w:p>
      <w:pPr>
        <w:spacing w:after="160" w:line="276"/>
      </w:pPr>
      <w:r>
        <w:rPr>
          <w:rFonts w:ascii="Palatino" w:cs="Palatino" w:eastAsia="Palatino" w:hAnsi="Palatino"/>
          <w:color w:val="1C140C"/>
          <w:sz w:val="22"/>
          <w:szCs w:val="22"/>
        </w:rPr>
        <w:t xml:space="preserve">with </w:t>
      </w:r>
      <w:r>
        <w:rPr>
          <w:rFonts w:ascii="Palatino" w:cs="Palatino" w:eastAsia="Palatino" w:hAnsi="Palatino"/>
          <w:i/>
          <w:iCs/>
          <w:color w:val="1C140C"/>
          <w:sz w:val="22"/>
          <w:szCs w:val="22"/>
        </w:rPr>
        <w:t xml:space="preserve">h</w:t>
      </w:r>
      <w:r>
        <w:rPr>
          <w:rFonts w:ascii="Palatino" w:cs="Palatino" w:eastAsia="Palatino" w:hAnsi="Palatino"/>
          <w:color w:val="1C140C"/>
          <w:sz w:val="22"/>
          <w:szCs w:val="22"/>
        </w:rPr>
        <w:t xml:space="preserve"> = HASH160(</w:t>
      </w:r>
      <w:r>
        <w:rPr>
          <w:rFonts w:ascii="Palatino" w:cs="Palatino" w:eastAsia="Palatino" w:hAnsi="Palatino"/>
          <w:i/>
          <w:iCs/>
          <w:color w:val="1C140C"/>
          <w:sz w:val="22"/>
          <w:szCs w:val="22"/>
        </w:rPr>
        <w:t xml:space="preserve">P</w:t>
      </w:r>
      <w:r>
        <w:rPr>
          <w:rFonts w:ascii="Palatino" w:cs="Palatino" w:eastAsia="Palatino" w:hAnsi="Palatino"/>
          <w:color w:val="1C140C"/>
          <w:sz w:val="22"/>
          <w:szCs w:val="22"/>
          <w:vertAlign w:val="subscript"/>
        </w:rPr>
        <w:t xml:space="preserve">out</w:t>
      </w:r>
      <w:r>
        <w:rPr>
          <w:rFonts w:ascii="Palatino" w:cs="Palatino" w:eastAsia="Palatino" w:hAnsi="Palatino"/>
          <w:color w:val="1C140C"/>
          <w:sz w:val="22"/>
          <w:szCs w:val="22"/>
        </w:rPr>
        <w:t xml:space="preserve">). There is no protocol-identifier push. It is redundant: the overlay already knows the rule set, and consensus does not read the prefix.</w:t>
      </w:r>
    </w:p>
    <w:p>
      <w:pPr>
        <w:pStyle w:val="Heading1"/>
        <w:pBdr>
          <w:bottom w:val="single" w:color="C4A35A" w:sz="6" w:space="4"/>
        </w:pBdr>
        <w:spacing w:before="280" w:after="140"/>
      </w:pPr>
      <w:r>
        <w:rPr>
          <w:rFonts w:ascii="Palatino" w:cs="Palatino" w:eastAsia="Palatino" w:hAnsi="Palatino"/>
          <w:b/>
          <w:bCs/>
          <w:color w:val="8A6A2A"/>
          <w:sz w:val="28"/>
          <w:szCs w:val="28"/>
        </w:rPr>
        <w:t xml:space="preserve">4.  Linkage and blinding</w:t>
      </w:r>
    </w:p>
    <w:p>
      <w:pPr>
        <w:spacing w:after="160" w:line="276"/>
      </w:pPr>
      <w:r>
        <w:rPr>
          <w:rFonts w:ascii="Palatino" w:cs="Palatino" w:eastAsia="Palatino" w:hAnsi="Palatino"/>
          <w:color w:val="1C140C"/>
          <w:sz w:val="22"/>
          <w:szCs w:val="22"/>
        </w:rPr>
        <w:t xml:space="preserve">The overlay must know which identity owns each accepted output. The association is the offset </w:t>
      </w:r>
      <w:r>
        <w:rPr>
          <w:rFonts w:ascii="Palatino" w:cs="Palatino" w:eastAsia="Palatino" w:hAnsi="Palatino"/>
          <w:i/>
          <w:iCs/>
          <w:color w:val="1C140C"/>
          <w:sz w:val="22"/>
          <w:szCs w:val="22"/>
        </w:rPr>
        <w:t xml:space="preserve">k</w:t>
      </w:r>
      <w:r>
        <w:rPr>
          <w:rFonts w:ascii="Palatino" w:cs="Palatino" w:eastAsia="Palatino" w:hAnsi="Palatino"/>
          <w:color w:val="1C140C"/>
          <w:sz w:val="22"/>
          <w:szCs w:val="22"/>
        </w:rPr>
        <w:t xml:space="preserve">: </w:t>
      </w:r>
      <w:r>
        <w:rPr>
          <w:rFonts w:ascii="Palatino" w:cs="Palatino" w:eastAsia="Palatino" w:hAnsi="Palatino"/>
          <w:i/>
          <w:iCs/>
          <w:color w:val="1C140C"/>
          <w:sz w:val="22"/>
          <w:szCs w:val="22"/>
        </w:rPr>
        <w:t xml:space="preserve">P</w:t>
      </w:r>
      <w:r>
        <w:rPr>
          <w:rFonts w:ascii="Palatino" w:cs="Palatino" w:eastAsia="Palatino" w:hAnsi="Palatino"/>
          <w:color w:val="1C140C"/>
          <w:sz w:val="22"/>
          <w:szCs w:val="22"/>
          <w:vertAlign w:val="subscript"/>
        </w:rPr>
        <w:t xml:space="preserve">out</w:t>
      </w:r>
      <w:r>
        <w:rPr>
          <w:rFonts w:ascii="Palatino" w:cs="Palatino" w:eastAsia="Palatino" w:hAnsi="Palatino"/>
          <w:color w:val="1C140C"/>
          <w:sz w:val="22"/>
          <w:szCs w:val="22"/>
        </w:rPr>
        <w:t xml:space="preserve"> = </w:t>
      </w:r>
      <w:r>
        <w:rPr>
          <w:rFonts w:ascii="Palatino" w:cs="Palatino" w:eastAsia="Palatino" w:hAnsi="Palatino"/>
          <w:i/>
          <w:iCs/>
          <w:color w:val="1C140C"/>
          <w:sz w:val="22"/>
          <w:szCs w:val="22"/>
        </w:rPr>
        <w:t xml:space="preserve">B</w:t>
      </w:r>
      <w:r>
        <w:rPr>
          <w:rFonts w:ascii="Palatino" w:cs="Palatino" w:eastAsia="Palatino" w:hAnsi="Palatino"/>
          <w:color w:val="1C140C"/>
          <w:sz w:val="22"/>
          <w:szCs w:val="22"/>
        </w:rPr>
        <w:t xml:space="preserve"> + </w:t>
      </w:r>
      <w:r>
        <w:rPr>
          <w:rFonts w:ascii="Palatino" w:cs="Palatino" w:eastAsia="Palatino" w:hAnsi="Palatino"/>
          <w:i/>
          <w:iCs/>
          <w:color w:val="1C140C"/>
          <w:sz w:val="22"/>
          <w:szCs w:val="22"/>
        </w:rPr>
        <w:t xml:space="preserve">kG</w:t>
      </w:r>
      <w:r>
        <w:rPr>
          <w:rFonts w:ascii="Palatino" w:cs="Palatino" w:eastAsia="Palatino" w:hAnsi="Palatino"/>
          <w:color w:val="1C140C"/>
          <w:sz w:val="22"/>
          <w:szCs w:val="22"/>
        </w:rPr>
        <w:t xml:space="preserve">. Revealing </w:t>
      </w:r>
      <w:r>
        <w:rPr>
          <w:rFonts w:ascii="Palatino" w:cs="Palatino" w:eastAsia="Palatino" w:hAnsi="Palatino"/>
          <w:i/>
          <w:iCs/>
          <w:color w:val="1C140C"/>
          <w:sz w:val="22"/>
          <w:szCs w:val="22"/>
        </w:rPr>
        <w:t xml:space="preserve">S</w:t>
      </w:r>
      <w:r>
        <w:rPr>
          <w:rFonts w:ascii="Palatino" w:cs="Palatino" w:eastAsia="Palatino" w:hAnsi="Palatino"/>
          <w:color w:val="1C140C"/>
          <w:sz w:val="22"/>
          <w:szCs w:val="22"/>
        </w:rPr>
        <w:t xml:space="preserve"> would let anyone with </w:t>
      </w:r>
      <w:r>
        <w:rPr>
          <w:rFonts w:ascii="Palatino" w:cs="Palatino" w:eastAsia="Palatino" w:hAnsi="Palatino"/>
          <w:i/>
          <w:iCs/>
          <w:color w:val="1C140C"/>
          <w:sz w:val="22"/>
          <w:szCs w:val="22"/>
        </w:rPr>
        <w:t xml:space="preserve">S</w:t>
      </w:r>
      <w:r>
        <w:rPr>
          <w:rFonts w:ascii="Palatino" w:cs="Palatino" w:eastAsia="Palatino" w:hAnsi="Palatino"/>
          <w:color w:val="1C140C"/>
          <w:sz w:val="22"/>
          <w:szCs w:val="22"/>
        </w:rPr>
        <w:t xml:space="preserve"> recompute every past and future child between the two parties, because </w:t>
      </w:r>
      <w:r>
        <w:rPr>
          <w:rFonts w:ascii="Palatino" w:cs="Palatino" w:eastAsia="Palatino" w:hAnsi="Palatino"/>
          <w:i/>
          <w:iCs/>
          <w:color w:val="1C140C"/>
          <w:sz w:val="22"/>
          <w:szCs w:val="22"/>
        </w:rPr>
        <w:t xml:space="preserve">k′ = HMAC(S, ι′)</w:t>
      </w:r>
      <w:r>
        <w:rPr>
          <w:rFonts w:ascii="Palatino" w:cs="Palatino" w:eastAsia="Palatino" w:hAnsi="Palatino"/>
          <w:color w:val="1C140C"/>
          <w:sz w:val="22"/>
          <w:szCs w:val="22"/>
        </w:rPr>
        <w:t xml:space="preserve"> for every other invoice. Revealing </w:t>
      </w:r>
      <w:r>
        <w:rPr>
          <w:rFonts w:ascii="Palatino" w:cs="Palatino" w:eastAsia="Palatino" w:hAnsi="Palatino"/>
          <w:i/>
          <w:iCs/>
          <w:color w:val="1C140C"/>
          <w:sz w:val="22"/>
          <w:szCs w:val="22"/>
        </w:rPr>
        <w:t xml:space="preserve">k</w:t>
      </w:r>
      <w:r>
        <w:rPr>
          <w:rFonts w:ascii="Palatino" w:cs="Palatino" w:eastAsia="Palatino" w:hAnsi="Palatino"/>
          <w:color w:val="1C140C"/>
          <w:sz w:val="22"/>
          <w:szCs w:val="22"/>
        </w:rPr>
        <w:t xml:space="preserve"> links one output</w:t>
      </w:r>
      <w:hyperlink w:history="1" w:anchor="ref5">
        <w:r>
          <w:rPr>
            <w:rFonts w:ascii="Palatino" w:cs="Palatino" w:eastAsia="Palatino" w:hAnsi="Palatino"/>
            <w:color w:val="8A6A2A"/>
            <w:sz w:val="15"/>
            <w:szCs w:val="15"/>
            <w:vertAlign w:val="superscript"/>
          </w:rPr>
          <w:t xml:space="preserve">[5]</w:t>
        </w:r>
      </w:hyperlink>
      <w:r>
        <w:rPr>
          <w:rFonts w:ascii="Palatino" w:cs="Palatino" w:eastAsia="Palatino" w:hAnsi="Palatino"/>
          <w:color w:val="1C140C"/>
          <w:sz w:val="22"/>
          <w:szCs w:val="22"/>
        </w:rPr>
        <w:t xml:space="preserve">. That revelation is encrypted to the overlay under the specific-linkage protocol</w:t>
      </w:r>
      <w:hyperlink w:history="1" w:anchor="ref6">
        <w:r>
          <w:rPr>
            <w:rFonts w:ascii="Palatino" w:cs="Palatino" w:eastAsia="Palatino" w:hAnsi="Palatino"/>
            <w:color w:val="8A6A2A"/>
            <w:sz w:val="15"/>
            <w:szCs w:val="15"/>
            <w:vertAlign w:val="superscript"/>
          </w:rPr>
          <w:t xml:space="preserve">[6]</w:t>
        </w:r>
      </w:hyperlink>
      <w:r>
        <w:rPr>
          <w:rFonts w:ascii="Palatino" w:cs="Palatino" w:eastAsia="Palatino" w:hAnsi="Palatino"/>
          <w:color w:val="1C140C"/>
          <w:sz w:val="22"/>
          <w:szCs w:val="22"/>
        </w:rPr>
        <w:t xml:space="preserve">. The overlay decrypts </w:t>
      </w:r>
      <w:r>
        <w:rPr>
          <w:rFonts w:ascii="Palatino" w:cs="Palatino" w:eastAsia="Palatino" w:hAnsi="Palatino"/>
          <w:i/>
          <w:iCs/>
          <w:color w:val="1C140C"/>
          <w:sz w:val="22"/>
          <w:szCs w:val="22"/>
        </w:rPr>
        <w:t xml:space="preserve">k</w:t>
      </w:r>
      <w:r>
        <w:rPr>
          <w:rFonts w:ascii="Palatino" w:cs="Palatino" w:eastAsia="Palatino" w:hAnsi="Palatino"/>
          <w:color w:val="1C140C"/>
          <w:sz w:val="22"/>
          <w:szCs w:val="22"/>
        </w:rPr>
        <w:t xml:space="preserve">, checks</w:t>
      </w:r>
    </w:p>
    <w:p>
      <w:pPr>
        <w:pBdr>
          <w:top w:val="single" w:color="C4A35A" w:sz="6" w:space="8"/>
          <w:bottom w:val="single" w:color="C4A35A" w:sz="6" w:space="8"/>
        </w:pBdr>
        <w:shd w:fill="F7F1E3" w:val="clear"/>
        <w:spacing w:before="120" w:after="120" w:line="300"/>
        <w:jc w:val="center"/>
      </w:pPr>
      <w:r>
        <w:rPr>
          <w:rFonts w:ascii="Palatino" w:cs="Palatino" w:eastAsia="Palatino" w:hAnsi="Palatino"/>
          <w:i/>
          <w:iCs/>
          <w:color w:val="1C140C"/>
          <w:sz w:val="22"/>
          <w:szCs w:val="22"/>
        </w:rPr>
        <w:t xml:space="preserve">HASH160( compress(B + kG) )  =  h</w:t>
      </w:r>
    </w:p>
    <w:p>
      <w:pPr>
        <w:spacing w:after="160" w:line="276"/>
      </w:pPr>
      <w:r>
        <w:rPr>
          <w:rFonts w:ascii="Palatino" w:cs="Palatino" w:eastAsia="Palatino" w:hAnsi="Palatino"/>
          <w:color w:val="1C140C"/>
          <w:sz w:val="22"/>
          <w:szCs w:val="22"/>
        </w:rPr>
        <w:t xml:space="preserve">and refuses the output if the check fails. The same revelation is attached to every fungible input, so a spend can be named from the identity bound when that coin was first accepted.</w:t>
      </w:r>
    </w:p>
    <w:p>
      <w:pPr>
        <w:spacing w:after="160" w:line="276"/>
      </w:pPr>
      <w:r>
        <w:rPr>
          <w:rFonts w:ascii="Palatino" w:cs="Palatino" w:eastAsia="Palatino" w:hAnsi="Palatino"/>
          <w:color w:val="1C140C"/>
          <w:sz w:val="22"/>
          <w:szCs w:val="22"/>
        </w:rPr>
        <w:t xml:space="preserve">If the remittance carried </w:t>
      </w:r>
      <w:r>
        <w:rPr>
          <w:rFonts w:ascii="Palatino" w:cs="Palatino" w:eastAsia="Palatino" w:hAnsi="Palatino"/>
          <w:i/>
          <w:iCs/>
          <w:color w:val="1C140C"/>
          <w:sz w:val="22"/>
          <w:szCs w:val="22"/>
        </w:rPr>
        <w:t xml:space="preserve">A</w:t>
      </w:r>
      <w:r>
        <w:rPr>
          <w:rFonts w:ascii="Palatino" w:cs="Palatino" w:eastAsia="Palatino" w:hAnsi="Palatino"/>
          <w:color w:val="1C140C"/>
          <w:sz w:val="22"/>
          <w:szCs w:val="22"/>
        </w:rPr>
        <w:t xml:space="preserve">, the recipient could derive every future child against </w:t>
      </w:r>
      <w:r>
        <w:rPr>
          <w:rFonts w:ascii="Palatino" w:cs="Palatino" w:eastAsia="Palatino" w:hAnsi="Palatino"/>
          <w:i/>
          <w:iCs/>
          <w:color w:val="1C140C"/>
          <w:sz w:val="22"/>
          <w:szCs w:val="22"/>
        </w:rPr>
        <w:t xml:space="preserve">A</w:t>
      </w:r>
      <w:r>
        <w:rPr>
          <w:rFonts w:ascii="Palatino" w:cs="Palatino" w:eastAsia="Palatino" w:hAnsi="Palatino"/>
          <w:color w:val="1C140C"/>
          <w:sz w:val="22"/>
          <w:szCs w:val="22"/>
        </w:rPr>
        <w:t xml:space="preserve"> and join later payments</w:t>
      </w:r>
      <w:hyperlink w:history="1" w:anchor="ref4">
        <w:r>
          <w:rPr>
            <w:rFonts w:ascii="Palatino" w:cs="Palatino" w:eastAsia="Palatino" w:hAnsi="Palatino"/>
            <w:color w:val="8A6A2A"/>
            <w:sz w:val="15"/>
            <w:szCs w:val="15"/>
            <w:vertAlign w:val="superscript"/>
          </w:rPr>
          <w:t xml:space="preserve">[4]</w:t>
        </w:r>
      </w:hyperlink>
      <w:r>
        <w:rPr>
          <w:rFonts w:ascii="Palatino" w:cs="Palatino" w:eastAsia="Palatino" w:hAnsi="Palatino"/>
          <w:color w:val="1C140C"/>
          <w:sz w:val="22"/>
          <w:szCs w:val="22"/>
        </w:rPr>
        <w:t xml:space="preserve">. The sender never presents </w:t>
      </w:r>
      <w:r>
        <w:rPr>
          <w:rFonts w:ascii="Palatino" w:cs="Palatino" w:eastAsia="Palatino" w:hAnsi="Palatino"/>
          <w:i/>
          <w:iCs/>
          <w:color w:val="1C140C"/>
          <w:sz w:val="22"/>
          <w:szCs w:val="22"/>
        </w:rPr>
        <w:t xml:space="preserve">A</w:t>
      </w:r>
      <w:r>
        <w:rPr>
          <w:rFonts w:ascii="Palatino" w:cs="Palatino" w:eastAsia="Palatino" w:hAnsi="Palatino"/>
          <w:color w:val="1C140C"/>
          <w:sz w:val="22"/>
          <w:szCs w:val="22"/>
        </w:rPr>
        <w:t xml:space="preserve">. The sender samples </w:t>
      </w:r>
      <w:r>
        <w:rPr>
          <w:rFonts w:ascii="Palatino" w:cs="Palatino" w:eastAsia="Palatino" w:hAnsi="Palatino"/>
          <w:i/>
          <w:iCs/>
          <w:color w:val="1C140C"/>
          <w:sz w:val="22"/>
          <w:szCs w:val="22"/>
        </w:rPr>
        <w:t xml:space="preserve">r</w:t>
      </w:r>
      <w:r>
        <w:rPr>
          <w:rFonts w:ascii="Palatino" w:cs="Palatino" w:eastAsia="Palatino" w:hAnsi="Palatino"/>
          <w:color w:val="1C140C"/>
          <w:sz w:val="22"/>
          <w:szCs w:val="22"/>
        </w:rPr>
        <w:t xml:space="preserve"> uniformly from 1 … </w:t>
      </w:r>
      <w:r>
        <w:rPr>
          <w:rFonts w:ascii="Palatino" w:cs="Palatino" w:eastAsia="Palatino" w:hAnsi="Palatino"/>
          <w:i/>
          <w:iCs/>
          <w:color w:val="1C140C"/>
          <w:sz w:val="22"/>
          <w:szCs w:val="22"/>
        </w:rPr>
        <w:t xml:space="preserve">n</w:t>
      </w:r>
      <w:r>
        <w:rPr>
          <w:rFonts w:ascii="Palatino" w:cs="Palatino" w:eastAsia="Palatino" w:hAnsi="Palatino"/>
          <w:color w:val="1C140C"/>
          <w:sz w:val="22"/>
          <w:szCs w:val="22"/>
        </w:rPr>
        <w:t xml:space="preserve"> − 1 and presents the blinded key </w:t>
      </w:r>
      <w:r>
        <w:rPr>
          <w:rFonts w:ascii="Palatino" w:cs="Palatino" w:eastAsia="Palatino" w:hAnsi="Palatino"/>
          <w:i/>
          <w:iCs/>
          <w:color w:val="1C140C"/>
          <w:sz w:val="22"/>
          <w:szCs w:val="22"/>
        </w:rPr>
        <w:t xml:space="preserve">A′ = A + rG</w:t>
      </w:r>
      <w:r>
        <w:rPr>
          <w:rFonts w:ascii="Palatino" w:cs="Palatino" w:eastAsia="Palatino" w:hAnsi="Palatino"/>
          <w:color w:val="1C140C"/>
          <w:sz w:val="22"/>
          <w:szCs w:val="22"/>
        </w:rPr>
        <w:t xml:space="preserve">. The recipient derives against </w:t>
      </w:r>
      <w:r>
        <w:rPr>
          <w:rFonts w:ascii="Palatino" w:cs="Palatino" w:eastAsia="Palatino" w:hAnsi="Palatino"/>
          <w:i/>
          <w:iCs/>
          <w:color w:val="1C140C"/>
          <w:sz w:val="22"/>
          <w:szCs w:val="22"/>
        </w:rPr>
        <w:t xml:space="preserve">A′</w:t>
      </w:r>
      <w:r>
        <w:rPr>
          <w:rFonts w:ascii="Palatino" w:cs="Palatino" w:eastAsia="Palatino" w:hAnsi="Palatino"/>
          <w:color w:val="1C140C"/>
          <w:sz w:val="22"/>
          <w:szCs w:val="22"/>
        </w:rPr>
        <w:t xml:space="preserve">. Consecutive payments use independent </w:t>
      </w:r>
      <w:r>
        <w:rPr>
          <w:rFonts w:ascii="Palatino" w:cs="Palatino" w:eastAsia="Palatino" w:hAnsi="Palatino"/>
          <w:i/>
          <w:iCs/>
          <w:color w:val="1C140C"/>
          <w:sz w:val="22"/>
          <w:szCs w:val="22"/>
        </w:rPr>
        <w:t xml:space="preserve">r</w:t>
      </w:r>
      <w:r>
        <w:rPr>
          <w:rFonts w:ascii="Palatino" w:cs="Palatino" w:eastAsia="Palatino" w:hAnsi="Palatino"/>
          <w:color w:val="1C140C"/>
          <w:sz w:val="22"/>
          <w:szCs w:val="22"/>
        </w:rPr>
        <w:t xml:space="preserve"> and are unlinkable for the recipient. This is the same remittance shape as authenticated P2PKH payments</w:t>
      </w:r>
      <w:hyperlink w:history="1" w:anchor="ref4">
        <w:r>
          <w:rPr>
            <w:rFonts w:ascii="Palatino" w:cs="Palatino" w:eastAsia="Palatino" w:hAnsi="Palatino"/>
            <w:color w:val="8A6A2A"/>
            <w:sz w:val="15"/>
            <w:szCs w:val="15"/>
            <w:vertAlign w:val="superscript"/>
          </w:rPr>
          <w:t xml:space="preserve">[4]</w:t>
        </w:r>
      </w:hyperlink>
      <w:r>
        <w:rPr>
          <w:rFonts w:ascii="Palatino" w:cs="Palatino" w:eastAsia="Palatino" w:hAnsi="Palatino"/>
          <w:color w:val="1C140C"/>
          <w:sz w:val="22"/>
          <w:szCs w:val="22"/>
        </w:rPr>
        <w:t xml:space="preserve"> and the same privacy goal as unlinkable payments</w:t>
      </w:r>
      <w:hyperlink w:history="1" w:anchor="ref17">
        <w:r>
          <w:rPr>
            <w:rFonts w:ascii="Palatino" w:cs="Palatino" w:eastAsia="Palatino" w:hAnsi="Palatino"/>
            <w:color w:val="8A6A2A"/>
            <w:sz w:val="15"/>
            <w:szCs w:val="15"/>
            <w:vertAlign w:val="superscript"/>
          </w:rPr>
          <w:t xml:space="preserve">[17]</w:t>
        </w:r>
      </w:hyperlink>
      <w:r>
        <w:rPr>
          <w:rFonts w:ascii="Palatino" w:cs="Palatino" w:eastAsia="Palatino" w:hAnsi="Palatino"/>
          <w:color w:val="1C140C"/>
          <w:sz w:val="22"/>
          <w:szCs w:val="22"/>
        </w:rPr>
        <w:t xml:space="preserve">, with one difference that matters for later proof: </w:t>
      </w:r>
      <w:r>
        <w:rPr>
          <w:rFonts w:ascii="Palatino" w:cs="Palatino" w:eastAsia="Palatino" w:hAnsi="Palatino"/>
          <w:i/>
          <w:iCs/>
          <w:color w:val="1C140C"/>
          <w:sz w:val="22"/>
          <w:szCs w:val="22"/>
        </w:rPr>
        <w:t xml:space="preserve">A′</w:t>
      </w:r>
      <w:r>
        <w:rPr>
          <w:rFonts w:ascii="Palatino" w:cs="Palatino" w:eastAsia="Palatino" w:hAnsi="Palatino"/>
          <w:color w:val="1C140C"/>
          <w:sz w:val="22"/>
          <w:szCs w:val="22"/>
        </w:rPr>
        <w:t xml:space="preserve"> is an additive blinding of the long-term identity, not an independent ephemeral. The overlay does not need </w:t>
      </w:r>
      <w:r>
        <w:rPr>
          <w:rFonts w:ascii="Palatino" w:cs="Palatino" w:eastAsia="Palatino" w:hAnsi="Palatino"/>
          <w:i/>
          <w:iCs/>
          <w:color w:val="1C140C"/>
          <w:sz w:val="22"/>
          <w:szCs w:val="22"/>
        </w:rPr>
        <w:t xml:space="preserve">A′</w:t>
      </w:r>
      <w:r>
        <w:rPr>
          <w:rFonts w:ascii="Palatino" w:cs="Palatino" w:eastAsia="Palatino" w:hAnsi="Palatino"/>
          <w:color w:val="1C140C"/>
          <w:sz w:val="22"/>
          <w:szCs w:val="22"/>
        </w:rPr>
        <w:t xml:space="preserve">. It already bound the inputs.</w:t>
      </w:r>
    </w:p>
    <w:p>
      <w:pPr>
        <w:spacing w:after="160" w:line="276"/>
      </w:pPr>
      <w:r>
        <w:rPr>
          <w:rFonts w:ascii="Palatino" w:cs="Palatino" w:eastAsia="Palatino" w:hAnsi="Palatino"/>
          <w:color w:val="1C140C"/>
          <w:sz w:val="22"/>
          <w:szCs w:val="22"/>
        </w:rPr>
        <w:t xml:space="preserve">The sender later proves association by revealing </w:t>
      </w:r>
      <w:r>
        <w:rPr>
          <w:rFonts w:ascii="Palatino" w:cs="Palatino" w:eastAsia="Palatino" w:hAnsi="Palatino"/>
          <w:i/>
          <w:iCs/>
          <w:color w:val="1C140C"/>
          <w:sz w:val="22"/>
          <w:szCs w:val="22"/>
        </w:rPr>
        <w:t xml:space="preserve">r</w:t>
      </w:r>
      <w:r>
        <w:rPr>
          <w:rFonts w:ascii="Palatino" w:cs="Palatino" w:eastAsia="Palatino" w:hAnsi="Palatino"/>
          <w:color w:val="1C140C"/>
          <w:sz w:val="22"/>
          <w:szCs w:val="22"/>
        </w:rPr>
        <w:t xml:space="preserve"> and checking </w:t>
      </w:r>
      <w:r>
        <w:rPr>
          <w:rFonts w:ascii="Palatino" w:cs="Palatino" w:eastAsia="Palatino" w:hAnsi="Palatino"/>
          <w:i/>
          <w:iCs/>
          <w:color w:val="1C140C"/>
          <w:sz w:val="22"/>
          <w:szCs w:val="22"/>
        </w:rPr>
        <w:t xml:space="preserve">A′ − rG = A</w:t>
      </w:r>
      <w:r>
        <w:rPr>
          <w:rFonts w:ascii="Palatino" w:cs="Palatino" w:eastAsia="Palatino" w:hAnsi="Palatino"/>
          <w:color w:val="1C140C"/>
          <w:sz w:val="22"/>
          <w:szCs w:val="22"/>
        </w:rPr>
        <w:t xml:space="preserve">, or by a Schnorr proof of knowledge of </w:t>
      </w:r>
      <w:r>
        <w:rPr>
          <w:rFonts w:ascii="Palatino" w:cs="Palatino" w:eastAsia="Palatino" w:hAnsi="Palatino"/>
          <w:i/>
          <w:iCs/>
          <w:color w:val="1C140C"/>
          <w:sz w:val="22"/>
          <w:szCs w:val="22"/>
        </w:rPr>
        <w:t xml:space="preserve">r</w:t>
      </w:r>
      <w:r>
        <w:rPr>
          <w:rFonts w:ascii="Palatino" w:cs="Palatino" w:eastAsia="Palatino" w:hAnsi="Palatino"/>
          <w:color w:val="1C140C"/>
          <w:sz w:val="22"/>
          <w:szCs w:val="22"/>
        </w:rPr>
        <w:t xml:space="preserve"> — a discrete-log proof that </w:t>
      </w:r>
      <w:r>
        <w:rPr>
          <w:rFonts w:ascii="Palatino" w:cs="Palatino" w:eastAsia="Palatino" w:hAnsi="Palatino"/>
          <w:i/>
          <w:iCs/>
          <w:color w:val="1C140C"/>
          <w:sz w:val="22"/>
          <w:szCs w:val="22"/>
        </w:rPr>
        <w:t xml:space="preserve">A′ − A = rG</w:t>
      </w:r>
      <w:r>
        <w:rPr>
          <w:rFonts w:ascii="Palatino" w:cs="Palatino" w:eastAsia="Palatino" w:hAnsi="Palatino"/>
          <w:color w:val="1C140C"/>
          <w:sz w:val="22"/>
          <w:szCs w:val="22"/>
        </w:rPr>
        <w:t xml:space="preserve">, without revealing </w:t>
      </w:r>
      <w:r>
        <w:rPr>
          <w:rFonts w:ascii="Palatino" w:cs="Palatino" w:eastAsia="Palatino" w:hAnsi="Palatino"/>
          <w:i/>
          <w:iCs/>
          <w:color w:val="1C140C"/>
          <w:sz w:val="22"/>
          <w:szCs w:val="22"/>
        </w:rPr>
        <w:t xml:space="preserve">r</w:t>
      </w:r>
      <w:hyperlink w:history="1" w:anchor="ref1">
        <w:r>
          <w:rPr>
            <w:rFonts w:ascii="Palatino" w:cs="Palatino" w:eastAsia="Palatino" w:hAnsi="Palatino"/>
            <w:color w:val="8A6A2A"/>
            <w:sz w:val="15"/>
            <w:szCs w:val="15"/>
            <w:vertAlign w:val="superscript"/>
          </w:rPr>
          <w:t xml:space="preserve">[1]</w:t>
        </w:r>
      </w:hyperlink>
      <w:r>
        <w:rPr>
          <w:rFonts w:ascii="Palatino" w:cs="Palatino" w:eastAsia="Palatino" w:hAnsi="Palatino"/>
          <w:sz w:val="16"/>
          <w:szCs w:val="16"/>
        </w:rPr>
        <w:t xml:space="preserve"> </w:t>
      </w:r>
      <w:hyperlink w:history="1" w:anchor="ref7">
        <w:r>
          <w:rPr>
            <w:rFonts w:ascii="Palatino" w:cs="Palatino" w:eastAsia="Palatino" w:hAnsi="Palatino"/>
            <w:color w:val="8A6A2A"/>
            <w:sz w:val="15"/>
            <w:szCs w:val="15"/>
            <w:vertAlign w:val="superscript"/>
          </w:rPr>
          <w:t xml:space="preserve">[7]</w:t>
        </w:r>
      </w:hyperlink>
      <w:r>
        <w:rPr>
          <w:rFonts w:ascii="Palatino" w:cs="Palatino" w:eastAsia="Palatino" w:hAnsi="Palatino"/>
          <w:sz w:val="16"/>
          <w:szCs w:val="16"/>
        </w:rPr>
        <w:t xml:space="preserve"> </w:t>
      </w:r>
      <w:hyperlink w:history="1" w:anchor="ref8">
        <w:r>
          <w:rPr>
            <w:rFonts w:ascii="Palatino" w:cs="Palatino" w:eastAsia="Palatino" w:hAnsi="Palatino"/>
            <w:color w:val="8A6A2A"/>
            <w:sz w:val="15"/>
            <w:szCs w:val="15"/>
            <w:vertAlign w:val="superscript"/>
          </w:rPr>
          <w:t xml:space="preserve">[8]</w:t>
        </w:r>
      </w:hyperlink>
      <w:r>
        <w:rPr>
          <w:rFonts w:ascii="Palatino" w:cs="Palatino" w:eastAsia="Palatino" w:hAnsi="Palatino"/>
          <w:color w:val="1C140C"/>
          <w:sz w:val="22"/>
          <w:szCs w:val="22"/>
        </w:rPr>
        <w:t xml:space="preserve">. A recipient may request that revelation. Change outputs locked back to the sender still use </w:t>
      </w:r>
      <w:r>
        <w:rPr>
          <w:rFonts w:ascii="Palatino" w:cs="Palatino" w:eastAsia="Palatino" w:hAnsi="Palatino"/>
          <w:i/>
          <w:iCs/>
          <w:color w:val="1C140C"/>
          <w:sz w:val="22"/>
          <w:szCs w:val="22"/>
        </w:rPr>
        <w:t xml:space="preserve">A</w:t>
      </w:r>
      <w:r>
        <w:rPr>
          <w:rFonts w:ascii="Palatino" w:cs="Palatino" w:eastAsia="Palatino" w:hAnsi="Palatino"/>
          <w:color w:val="1C140C"/>
          <w:sz w:val="22"/>
          <w:szCs w:val="22"/>
        </w:rPr>
        <w:t xml:space="preserve"> as counterparty; they never leave the sender’s wallet.</w:t>
      </w:r>
    </w:p>
    <w:p>
      <w:pPr>
        <w:pStyle w:val="Heading1"/>
        <w:pBdr>
          <w:bottom w:val="single" w:color="C4A35A" w:sz="6" w:space="4"/>
        </w:pBdr>
        <w:spacing w:before="280" w:after="140"/>
      </w:pPr>
      <w:r>
        <w:rPr>
          <w:rFonts w:ascii="Palatino" w:cs="Palatino" w:eastAsia="Palatino" w:hAnsi="Palatino"/>
          <w:b/>
          <w:bCs/>
          <w:color w:val="8A6A2A"/>
          <w:sz w:val="28"/>
          <w:szCs w:val="28"/>
        </w:rPr>
        <w:t xml:space="preserve">5.  Compliance</w:t>
      </w:r>
    </w:p>
    <w:p>
      <w:pPr>
        <w:spacing w:after="160" w:line="276"/>
      </w:pPr>
      <w:r>
        <w:rPr>
          <w:rFonts w:ascii="Palatino" w:cs="Palatino" w:eastAsia="Palatino" w:hAnsi="Palatino"/>
          <w:color w:val="1C140C"/>
          <w:sz w:val="22"/>
          <w:szCs w:val="22"/>
        </w:rPr>
        <w:t xml:space="preserve">The overlay evaluates transfers against the reconstructed registration view. A new output whose linkage names a </w:t>
      </w:r>
      <w:r>
        <w:rPr>
          <w:rFonts w:ascii="Palatino" w:cs="Palatino" w:eastAsia="Palatino" w:hAnsi="Palatino"/>
          <w:i/>
          <w:iCs/>
          <w:color w:val="1C140C"/>
          <w:sz w:val="22"/>
          <w:szCs w:val="22"/>
        </w:rPr>
        <w:t xml:space="preserve">B</w:t>
      </w:r>
      <w:r>
        <w:rPr>
          <w:rFonts w:ascii="Palatino" w:cs="Palatino" w:eastAsia="Palatino" w:hAnsi="Palatino"/>
          <w:color w:val="1C140C"/>
          <w:sz w:val="22"/>
          <w:szCs w:val="22"/>
        </w:rPr>
        <w:t xml:space="preserve"> that is not admitted is refused. A spend whose input was bound to a </w:t>
      </w:r>
      <w:r>
        <w:rPr>
          <w:rFonts w:ascii="Palatino" w:cs="Palatino" w:eastAsia="Palatino" w:hAnsi="Palatino"/>
          <w:i/>
          <w:iCs/>
          <w:color w:val="1C140C"/>
          <w:sz w:val="22"/>
          <w:szCs w:val="22"/>
        </w:rPr>
        <w:t xml:space="preserve">B</w:t>
      </w:r>
      <w:r>
        <w:rPr>
          <w:rFonts w:ascii="Palatino" w:cs="Palatino" w:eastAsia="Palatino" w:hAnsi="Palatino"/>
          <w:color w:val="1C140C"/>
          <w:sz w:val="22"/>
          <w:szCs w:val="22"/>
        </w:rPr>
        <w:t xml:space="preserve"> that has since been revoked is refused. Pause rejects peer transfers and still permits issuer actions that carry a verified administrative output.</w:t>
      </w:r>
    </w:p>
    <w:p>
      <w:pPr>
        <w:pStyle w:val="Heading1"/>
        <w:pBdr>
          <w:bottom w:val="single" w:color="C4A35A" w:sz="6" w:space="4"/>
        </w:pBdr>
        <w:spacing w:before="280" w:after="140"/>
      </w:pPr>
      <w:r>
        <w:rPr>
          <w:rFonts w:ascii="Palatino" w:cs="Palatino" w:eastAsia="Palatino" w:hAnsi="Palatino"/>
          <w:b/>
          <w:bCs/>
          <w:color w:val="8A6A2A"/>
          <w:sz w:val="28"/>
          <w:szCs w:val="28"/>
        </w:rPr>
        <w:t xml:space="preserve">6.  Overlay acceptance</w:t>
      </w:r>
    </w:p>
    <w:p>
      <w:pPr>
        <w:spacing w:after="160" w:line="276"/>
      </w:pPr>
      <w:r>
        <w:rPr>
          <w:rFonts w:ascii="Palatino" w:cs="Palatino" w:eastAsia="Palatino" w:hAnsi="Palatino"/>
          <w:color w:val="1C140C"/>
          <w:sz w:val="22"/>
          <w:szCs w:val="22"/>
        </w:rPr>
        <w:t xml:space="preserve">A transaction may be mined and still be rejected by the overlay. A transaction the overlay accepts is a valid token movement. The transfer pipeline signs with broadcast withheld, attaches the linkage payload, submits, and broadcasts only on admission.</w:t>
      </w:r>
    </w:p>
    <w:p>
      <w:pPr>
        <w:spacing w:after="160" w:line="276"/>
      </w:pPr>
      <w:r>
        <w:rPr>
          <w:rFonts w:ascii="Palatino" w:cs="Palatino" w:eastAsia="Palatino" w:hAnsi="Palatino"/>
          <w:color w:val="1C140C"/>
          <w:sz w:val="22"/>
          <w:szCs w:val="22"/>
        </w:rPr>
        <w:t xml:space="preserve">On acceptance of </w:t>
      </w:r>
      <w:r>
        <w:rPr>
          <w:rFonts w:ascii="Palatino" w:cs="Palatino" w:eastAsia="Palatino" w:hAnsi="Palatino"/>
          <w:i/>
          <w:iCs/>
          <w:color w:val="1C140C"/>
          <w:sz w:val="22"/>
          <w:szCs w:val="22"/>
        </w:rPr>
        <w:t xml:space="preserve">T</w:t>
      </w:r>
      <w:r>
        <w:rPr>
          <w:rFonts w:ascii="Palatino" w:cs="Palatino" w:eastAsia="Palatino" w:hAnsi="Palatino"/>
          <w:color w:val="1C140C"/>
          <w:sz w:val="22"/>
          <w:szCs w:val="22"/>
        </w:rPr>
        <w:t xml:space="preserve"> the overlay returns a signature </w:t>
      </w:r>
      <w:r>
        <w:rPr>
          <w:rFonts w:ascii="Palatino" w:cs="Palatino" w:eastAsia="Palatino" w:hAnsi="Palatino"/>
          <w:i/>
          <w:iCs/>
          <w:color w:val="1C140C"/>
          <w:sz w:val="22"/>
          <w:szCs w:val="22"/>
        </w:rPr>
        <w:t xml:space="preserve">σ</w:t>
      </w:r>
      <w:r>
        <w:rPr>
          <w:rFonts w:ascii="Palatino" w:cs="Palatino" w:eastAsia="Palatino" w:hAnsi="Palatino"/>
          <w:color w:val="1C140C"/>
          <w:sz w:val="22"/>
          <w:szCs w:val="22"/>
          <w:vertAlign w:val="subscript"/>
        </w:rPr>
        <w:t xml:space="preserve">I</w:t>
      </w:r>
      <w:r>
        <w:rPr>
          <w:rFonts w:ascii="Palatino" w:cs="Palatino" w:eastAsia="Palatino" w:hAnsi="Palatino"/>
          <w:color w:val="1C140C"/>
          <w:sz w:val="22"/>
          <w:szCs w:val="22"/>
        </w:rPr>
        <w:t xml:space="preserve"> under the live issuer key on </w:t>
      </w:r>
      <w:r>
        <w:rPr>
          <w:rFonts w:ascii="Palatino" w:cs="Palatino" w:eastAsia="Palatino" w:hAnsi="Palatino"/>
          <w:i/>
          <w:iCs/>
          <w:color w:val="1C140C"/>
          <w:sz w:val="22"/>
          <w:szCs w:val="22"/>
        </w:rPr>
        <w:t xml:space="preserve">m</w:t>
      </w:r>
      <w:r>
        <w:rPr>
          <w:rFonts w:ascii="Palatino" w:cs="Palatino" w:eastAsia="Palatino" w:hAnsi="Palatino"/>
          <w:color w:val="1C140C"/>
          <w:sz w:val="22"/>
          <w:szCs w:val="22"/>
          <w:vertAlign w:val="subscript"/>
        </w:rPr>
        <w:t xml:space="preserve">acc</w:t>
      </w:r>
      <w:r>
        <w:rPr>
          <w:rFonts w:ascii="Palatino" w:cs="Palatino" w:eastAsia="Palatino" w:hAnsi="Palatino"/>
          <w:color w:val="1C140C"/>
          <w:sz w:val="22"/>
          <w:szCs w:val="22"/>
        </w:rPr>
        <w:t xml:space="preserve"> = txid(</w:t>
      </w:r>
      <w:r>
        <w:rPr>
          <w:rFonts w:ascii="Palatino" w:cs="Palatino" w:eastAsia="Palatino" w:hAnsi="Palatino"/>
          <w:i/>
          <w:iCs/>
          <w:color w:val="1C140C"/>
          <w:sz w:val="22"/>
          <w:szCs w:val="22"/>
        </w:rPr>
        <w:t xml:space="preserve">T</w:t>
      </w:r>
      <w:r>
        <w:rPr>
          <w:rFonts w:ascii="Palatino" w:cs="Palatino" w:eastAsia="Palatino" w:hAnsi="Palatino"/>
          <w:color w:val="1C140C"/>
          <w:sz w:val="22"/>
          <w:szCs w:val="22"/>
        </w:rPr>
        <w:t xml:space="preserve">). It does not enumerate output indices. If any output in </w:t>
      </w:r>
      <w:r>
        <w:rPr>
          <w:rFonts w:ascii="Palatino" w:cs="Palatino" w:eastAsia="Palatino" w:hAnsi="Palatino"/>
          <w:i/>
          <w:iCs/>
          <w:color w:val="1C140C"/>
          <w:sz w:val="22"/>
          <w:szCs w:val="22"/>
        </w:rPr>
        <w:t xml:space="preserve">T</w:t>
      </w:r>
      <w:r>
        <w:rPr>
          <w:rFonts w:ascii="Palatino" w:cs="Palatino" w:eastAsia="Palatino" w:hAnsi="Palatino"/>
          <w:color w:val="1C140C"/>
          <w:sz w:val="22"/>
          <w:szCs w:val="22"/>
        </w:rPr>
        <w:t xml:space="preserve"> were not a genuine token, </w:t>
      </w:r>
      <w:r>
        <w:rPr>
          <w:rFonts w:ascii="Palatino" w:cs="Palatino" w:eastAsia="Palatino" w:hAnsi="Palatino"/>
          <w:i/>
          <w:iCs/>
          <w:color w:val="1C140C"/>
          <w:sz w:val="22"/>
          <w:szCs w:val="22"/>
        </w:rPr>
        <w:t xml:space="preserve">T</w:t>
      </w:r>
      <w:r>
        <w:rPr>
          <w:rFonts w:ascii="Palatino" w:cs="Palatino" w:eastAsia="Palatino" w:hAnsi="Palatino"/>
          <w:color w:val="1C140C"/>
          <w:sz w:val="22"/>
          <w:szCs w:val="22"/>
        </w:rPr>
        <w:t xml:space="preserve"> would not have been signed. Acceptance of the identifier is acceptance of every spendable token output in that transaction. The signature attests to validity at acceptance time, not to the absence of a later spend.</w:t>
      </w:r>
    </w:p>
    <w:p>
      <w:pPr>
        <w:pStyle w:val="Heading1"/>
        <w:pBdr>
          <w:bottom w:val="single" w:color="C4A35A" w:sz="6" w:space="4"/>
        </w:pBdr>
        <w:spacing w:before="280" w:after="140"/>
      </w:pPr>
      <w:r>
        <w:rPr>
          <w:rFonts w:ascii="Palatino" w:cs="Palatino" w:eastAsia="Palatino" w:hAnsi="Palatino"/>
          <w:b/>
          <w:bCs/>
          <w:color w:val="8A6A2A"/>
          <w:sz w:val="28"/>
          <w:szCs w:val="28"/>
        </w:rPr>
        <w:t xml:space="preserve">7.  Offline settlement</w:t>
      </w:r>
    </w:p>
    <w:p>
      <w:pPr>
        <w:spacing w:after="160" w:line="276"/>
      </w:pPr>
      <w:r>
        <w:rPr>
          <w:rFonts w:ascii="Palatino" w:cs="Palatino" w:eastAsia="Palatino" w:hAnsi="Palatino"/>
          <w:color w:val="1C140C"/>
          <w:sz w:val="22"/>
          <w:szCs w:val="22"/>
        </w:rPr>
        <w:t xml:space="preserve">Offline mode is a convenience path for short disconnects. Sender blinding still applies.</w:t>
      </w:r>
    </w:p>
    <w:p>
      <w:pPr>
        <w:spacing w:after="160" w:line="276"/>
      </w:pPr>
      <w:r>
        <w:rPr>
          <w:rFonts w:ascii="Palatino" w:cs="Palatino" w:eastAsia="Palatino" w:hAnsi="Palatino"/>
          <w:color w:val="1C140C"/>
          <w:sz w:val="22"/>
          <w:szCs w:val="22"/>
        </w:rPr>
        <w:t xml:space="preserve">A receiver with cached headers verifies that an offered native input is a mined output by checking a Merkle path</w:t>
      </w:r>
      <w:hyperlink w:history="1" w:anchor="ref10">
        <w:r>
          <w:rPr>
            <w:rFonts w:ascii="Palatino" w:cs="Palatino" w:eastAsia="Palatino" w:hAnsi="Palatino"/>
            <w:color w:val="8A6A2A"/>
            <w:sz w:val="15"/>
            <w:szCs w:val="15"/>
            <w:vertAlign w:val="superscript"/>
          </w:rPr>
          <w:t xml:space="preserve">[10]</w:t>
        </w:r>
      </w:hyperlink>
      <w:r>
        <w:rPr>
          <w:rFonts w:ascii="Palatino" w:cs="Palatino" w:eastAsia="Palatino" w:hAnsi="Palatino"/>
          <w:sz w:val="16"/>
          <w:szCs w:val="16"/>
        </w:rPr>
        <w:t xml:space="preserve"> </w:t>
      </w:r>
      <w:hyperlink w:history="1" w:anchor="ref14">
        <w:r>
          <w:rPr>
            <w:rFonts w:ascii="Palatino" w:cs="Palatino" w:eastAsia="Palatino" w:hAnsi="Palatino"/>
            <w:color w:val="8A6A2A"/>
            <w:sz w:val="15"/>
            <w:szCs w:val="15"/>
            <w:vertAlign w:val="superscript"/>
          </w:rPr>
          <w:t xml:space="preserve">[14]</w:t>
        </w:r>
      </w:hyperlink>
      <w:r>
        <w:rPr>
          <w:rFonts w:ascii="Palatino" w:cs="Palatino" w:eastAsia="Palatino" w:hAnsi="Palatino"/>
          <w:color w:val="1C140C"/>
          <w:sz w:val="22"/>
          <w:szCs w:val="22"/>
        </w:rPr>
        <w:t xml:space="preserve">. What cannot be known offline is whether that output has already been spent. The signed transaction is handed across. On reconnect, Arcade reports whether the inputs are unspent</w:t>
      </w:r>
      <w:hyperlink w:history="1" w:anchor="ref11">
        <w:r>
          <w:rPr>
            <w:rFonts w:ascii="Palatino" w:cs="Palatino" w:eastAsia="Palatino" w:hAnsi="Palatino"/>
            <w:color w:val="8A6A2A"/>
            <w:sz w:val="15"/>
            <w:szCs w:val="15"/>
            <w:vertAlign w:val="superscript"/>
          </w:rPr>
          <w:t xml:space="preserve">[11]</w:t>
        </w:r>
      </w:hyperlink>
      <w:r>
        <w:rPr>
          <w:rFonts w:ascii="Palatino" w:cs="Palatino" w:eastAsia="Palatino" w:hAnsi="Palatino"/>
          <w:color w:val="1C140C"/>
          <w:sz w:val="22"/>
          <w:szCs w:val="22"/>
        </w:rPr>
        <w:t xml:space="preserve">. Arcade is a relay. The fraud window is the offline interval. The signature already held is evidence.</w:t>
      </w:r>
    </w:p>
    <w:p>
      <w:pPr>
        <w:spacing w:after="160" w:line="276"/>
      </w:pPr>
      <w:r>
        <w:rPr>
          <w:rFonts w:ascii="Palatino" w:cs="Palatino" w:eastAsia="Palatino" w:hAnsi="Palatino"/>
          <w:color w:val="1C140C"/>
          <w:sz w:val="22"/>
          <w:szCs w:val="22"/>
        </w:rPr>
        <w:t xml:space="preserve">Token transfers need one extra object: </w:t>
      </w:r>
      <w:r>
        <w:rPr>
          <w:rFonts w:ascii="Palatino" w:cs="Palatino" w:eastAsia="Palatino" w:hAnsi="Palatino"/>
          <w:i/>
          <w:iCs/>
          <w:color w:val="1C140C"/>
          <w:sz w:val="22"/>
          <w:szCs w:val="22"/>
        </w:rPr>
        <w:t xml:space="preserve">σ</w:t>
      </w:r>
      <w:r>
        <w:rPr>
          <w:rFonts w:ascii="Palatino" w:cs="Palatino" w:eastAsia="Palatino" w:hAnsi="Palatino"/>
          <w:color w:val="1C140C"/>
          <w:sz w:val="22"/>
          <w:szCs w:val="22"/>
          <w:vertAlign w:val="subscript"/>
        </w:rPr>
        <w:t xml:space="preserve">I</w:t>
      </w:r>
      <w:r>
        <w:rPr>
          <w:rFonts w:ascii="Palatino" w:cs="Palatino" w:eastAsia="Palatino" w:hAnsi="Palatino"/>
          <w:color w:val="1C140C"/>
          <w:sz w:val="22"/>
          <w:szCs w:val="22"/>
        </w:rPr>
        <w:t xml:space="preserve"> on each unique input txid, verified against the issuer key that was live at the height of the corresponding Merkle path, or the current key for unconfirmed inputs. The recipient then has the same existence proof a native transfer has, plus assurance that the issuer accepted those inputs as tokens and already knows who they belong to. Double-spend protection is the same window. On reconnect the overlay performs the live spend check, conservation, and identity predicates.</w:t>
      </w:r>
    </w:p>
    <w:p>
      <w:pPr>
        <w:spacing w:after="160" w:line="276"/>
      </w:pPr>
      <w:r>
        <w:rPr>
          <w:rFonts w:ascii="Palatino" w:cs="Palatino" w:eastAsia="Palatino" w:hAnsi="Palatino"/>
          <w:color w:val="1C140C"/>
          <w:sz w:val="22"/>
          <w:szCs w:val="22"/>
        </w:rPr>
        <w:t xml:space="preserve">If a fraudulent offline double-spend is alleged, an appropriate authority (court order or police inquiry) asks the issuer to open the identity already bound to those inputs.</w:t>
      </w:r>
    </w:p>
    <w:p>
      <w:pPr>
        <w:pStyle w:val="Heading1"/>
        <w:pBdr>
          <w:bottom w:val="single" w:color="C4A35A" w:sz="6" w:space="4"/>
        </w:pBdr>
        <w:spacing w:before="280" w:after="140"/>
      </w:pPr>
      <w:r>
        <w:rPr>
          <w:rFonts w:ascii="Palatino" w:cs="Palatino" w:eastAsia="Palatino" w:hAnsi="Palatino"/>
          <w:b/>
          <w:bCs/>
          <w:color w:val="8A6A2A"/>
          <w:sz w:val="28"/>
          <w:szCs w:val="28"/>
        </w:rPr>
        <w:t xml:space="preserve">8.  Security</w:t>
      </w:r>
    </w:p>
    <w:p>
      <w:pPr>
        <w:spacing w:after="160" w:line="276"/>
      </w:pPr>
      <w:r>
        <w:rPr>
          <w:rFonts w:ascii="Palatino" w:cs="Palatino" w:eastAsia="Palatino" w:hAnsi="Palatino"/>
          <w:color w:val="1C140C"/>
          <w:sz w:val="22"/>
          <w:szCs w:val="22"/>
        </w:rPr>
        <w:t xml:space="preserve">Threshold scripts fail closed if a required key is lost; that is why a recovery key exists and stays off-site. A lying overlay can refuse valid transfers. It cannot create tokens without an issuance-chain spend. Holders mitigate by running a replica and by demanding </w:t>
      </w:r>
      <w:r>
        <w:rPr>
          <w:rFonts w:ascii="Palatino" w:cs="Palatino" w:eastAsia="Palatino" w:hAnsi="Palatino"/>
          <w:i/>
          <w:iCs/>
          <w:color w:val="1C140C"/>
          <w:sz w:val="22"/>
          <w:szCs w:val="22"/>
        </w:rPr>
        <w:t xml:space="preserve">σ</w:t>
      </w:r>
      <w:r>
        <w:rPr>
          <w:rFonts w:ascii="Palatino" w:cs="Palatino" w:eastAsia="Palatino" w:hAnsi="Palatino"/>
          <w:color w:val="1C140C"/>
          <w:sz w:val="22"/>
          <w:szCs w:val="22"/>
          <w:vertAlign w:val="subscript"/>
        </w:rPr>
        <w:t xml:space="preserve">I</w:t>
      </w:r>
      <w:r>
        <w:rPr>
          <w:rFonts w:ascii="Palatino" w:cs="Palatino" w:eastAsia="Palatino" w:hAnsi="Palatino"/>
          <w:color w:val="1C140C"/>
          <w:sz w:val="22"/>
          <w:szCs w:val="22"/>
        </w:rPr>
        <w:t xml:space="preserve"> at receipt. Compromise of the overlay private key discloses the identity graph. It does not disclose long-term ECDH secrets between users: those secrets are </w:t>
      </w:r>
      <w:r>
        <w:rPr>
          <w:rFonts w:ascii="Palatino" w:cs="Palatino" w:eastAsia="Palatino" w:hAnsi="Palatino"/>
          <w:i/>
          <w:iCs/>
          <w:color w:val="1C140C"/>
          <w:sz w:val="22"/>
          <w:szCs w:val="22"/>
        </w:rPr>
        <w:t xml:space="preserve">aB</w:t>
      </w:r>
      <w:r>
        <w:rPr>
          <w:rFonts w:ascii="Palatino" w:cs="Palatino" w:eastAsia="Palatino" w:hAnsi="Palatino"/>
          <w:color w:val="1C140C"/>
          <w:sz w:val="22"/>
          <w:szCs w:val="22"/>
        </w:rPr>
        <w:t xml:space="preserve">, and the overlay was given </w:t>
      </w:r>
      <w:r>
        <w:rPr>
          <w:rFonts w:ascii="Palatino" w:cs="Palatino" w:eastAsia="Palatino" w:hAnsi="Palatino"/>
          <w:i/>
          <w:iCs/>
          <w:color w:val="1C140C"/>
          <w:sz w:val="22"/>
          <w:szCs w:val="22"/>
        </w:rPr>
        <w:t xml:space="preserve">k</w:t>
      </w:r>
      <w:r>
        <w:rPr>
          <w:rFonts w:ascii="Palatino" w:cs="Palatino" w:eastAsia="Palatino" w:hAnsi="Palatino"/>
          <w:color w:val="1C140C"/>
          <w:sz w:val="22"/>
          <w:szCs w:val="22"/>
        </w:rPr>
        <w:t xml:space="preserve">, not </w:t>
      </w:r>
      <w:r>
        <w:rPr>
          <w:rFonts w:ascii="Palatino" w:cs="Palatino" w:eastAsia="Palatino" w:hAnsi="Palatino"/>
          <w:i/>
          <w:iCs/>
          <w:color w:val="1C140C"/>
          <w:sz w:val="22"/>
          <w:szCs w:val="22"/>
        </w:rPr>
        <w:t xml:space="preserve">S</w:t>
      </w:r>
      <w:r>
        <w:rPr>
          <w:rFonts w:ascii="Palatino" w:cs="Palatino" w:eastAsia="Palatino" w:hAnsi="Palatino"/>
          <w:color w:val="1C140C"/>
          <w:sz w:val="22"/>
          <w:szCs w:val="22"/>
        </w:rPr>
        <w:t xml:space="preserve">. </w:t>
      </w:r>
      <w:r>
        <w:rPr>
          <w:rFonts w:ascii="Palatino" w:cs="Palatino" w:eastAsia="Palatino" w:hAnsi="Palatino"/>
          <w:i/>
          <w:iCs/>
          <w:color w:val="1C140C"/>
          <w:sz w:val="22"/>
          <w:szCs w:val="22"/>
        </w:rPr>
        <w:t xml:space="preserve">A′</w:t>
      </w:r>
      <w:r>
        <w:rPr>
          <w:rFonts w:ascii="Palatino" w:cs="Palatino" w:eastAsia="Palatino" w:hAnsi="Palatino"/>
          <w:color w:val="1C140C"/>
          <w:sz w:val="22"/>
          <w:szCs w:val="22"/>
        </w:rPr>
        <w:t xml:space="preserve"> is uniform when </w:t>
      </w:r>
      <w:r>
        <w:rPr>
          <w:rFonts w:ascii="Palatino" w:cs="Palatino" w:eastAsia="Palatino" w:hAnsi="Palatino"/>
          <w:i/>
          <w:iCs/>
          <w:color w:val="1C140C"/>
          <w:sz w:val="22"/>
          <w:szCs w:val="22"/>
        </w:rPr>
        <w:t xml:space="preserve">r</w:t>
      </w:r>
      <w:r>
        <w:rPr>
          <w:rFonts w:ascii="Palatino" w:cs="Palatino" w:eastAsia="Palatino" w:hAnsi="Palatino"/>
          <w:color w:val="1C140C"/>
          <w:sz w:val="22"/>
          <w:szCs w:val="22"/>
        </w:rPr>
        <w:t xml:space="preserve"> is. Two offline receivers can both accept spends of the same input; exactly one spend survives contact with the network.</w:t>
      </w:r>
    </w:p>
    <w:p>
      <w:pPr>
        <w:pStyle w:val="Heading1"/>
        <w:pBdr>
          <w:bottom w:val="single" w:color="C4A35A" w:sz="6" w:space="4"/>
        </w:pBdr>
        <w:spacing w:before="280" w:after="140"/>
      </w:pPr>
      <w:r>
        <w:rPr>
          <w:rFonts w:ascii="Palatino" w:cs="Palatino" w:eastAsia="Palatino" w:hAnsi="Palatino"/>
          <w:b/>
          <w:bCs/>
          <w:color w:val="8A6A2A"/>
          <w:sz w:val="28"/>
          <w:szCs w:val="28"/>
        </w:rPr>
        <w:t xml:space="preserve">9.  Conclusion</w:t>
      </w:r>
    </w:p>
    <w:p>
      <w:pPr>
        <w:spacing w:after="160" w:line="276"/>
      </w:pPr>
      <w:r>
        <w:rPr>
          <w:rFonts w:ascii="Palatino" w:cs="Palatino" w:eastAsia="Palatino" w:hAnsi="Palatino"/>
          <w:color w:val="1C140C"/>
          <w:sz w:val="22"/>
          <w:szCs w:val="22"/>
        </w:rPr>
        <w:t xml:space="preserve">Supply is a public function of the issuance chain. Membership is a public function of the registration chain, opened only when required. Movement conserves amount, pays a single-use key, and carries a linkage the overlay alone can open. The sender is blinded from the recipient in every mode. Offline, a token payment carries native existence proofs plus an issuer signature over each input transaction identifier. The remaining risk is the double-spend window Bitcoin has always had when the network cannot be queried.</w:t>
      </w:r>
    </w:p>
    <w:p>
      <w:pPr>
        <w:pStyle w:val="Heading1"/>
        <w:pageBreakBefore/>
        <w:pBdr>
          <w:bottom w:val="single" w:color="C4A35A" w:sz="6" w:space="4"/>
        </w:pBdr>
        <w:spacing w:before="280" w:after="140"/>
      </w:pPr>
      <w:bookmarkStart w:name="refs" w:id="1"/>
      <w:r>
        <w:rPr>
          <w:rFonts w:ascii="Palatino" w:cs="Palatino" w:eastAsia="Palatino" w:hAnsi="Palatino"/>
          <w:b/>
          <w:bCs/>
          <w:color w:val="8A6A2A"/>
          <w:sz w:val="28"/>
          <w:szCs w:val="28"/>
        </w:rPr>
        <w:t xml:space="preserve">References</w:t>
      </w:r>
      <w:bookmarkEnd w:id="1"/>
    </w:p>
    <w:p>
      <w:pPr>
        <w:spacing w:after="100" w:line="260"/>
        <w:ind w:left="360" w:hanging="360"/>
      </w:pPr>
      <w:bookmarkStart w:name="ref1" w:id="1"/>
      <w:r>
        <w:rPr>
          <w:rFonts w:ascii="Palatino" w:cs="Palatino" w:eastAsia="Palatino" w:hAnsi="Palatino"/>
          <w:b/>
          <w:bCs/>
          <w:color w:val="1C140C"/>
          <w:sz w:val="20"/>
          <w:szCs w:val="20"/>
        </w:rPr>
        <w:t xml:space="preserve">[1]  </w:t>
      </w:r>
      <w:bookmarkEnd w:id="1"/>
      <w:r>
        <w:rPr>
          <w:rFonts w:ascii="Palatino" w:cs="Palatino" w:eastAsia="Palatino" w:hAnsi="Palatino"/>
          <w:color w:val="1C140C"/>
          <w:sz w:val="20"/>
          <w:szCs w:val="20"/>
        </w:rPr>
        <w:t xml:space="preserve">C. P. Schnorr, “Efficient identification and signatures for smart cards,” in Advances in Cryptology — CRYPTO ’89. See also Schnorr signature, Grokipedia.</w:t>
      </w:r>
      <w:r>
        <w:rPr>
          <w:rFonts w:ascii="Palatino" w:cs="Palatino" w:eastAsia="Palatino" w:hAnsi="Palatino"/>
          <w:color w:val="1C140C"/>
          <w:sz w:val="20"/>
          <w:szCs w:val="20"/>
        </w:rPr>
        <w:t xml:space="preserve">  </w:t>
      </w:r>
      <w:hyperlink w:history="1" r:id="rIdhifmgaufsescso_x1z_4v">
        <w:r>
          <w:rPr>
            <w:rFonts w:ascii="Palatino" w:cs="Palatino" w:eastAsia="Palatino" w:hAnsi="Palatino"/>
            <w:color w:val="8A6A2A"/>
            <w:sz w:val="18"/>
            <w:szCs w:val="18"/>
            <w:u w:val="single"/>
          </w:rPr>
          <w:t xml:space="preserve">https://grokipedia.com/page/Schnorr_signature</w:t>
        </w:r>
      </w:hyperlink>
    </w:p>
    <w:p>
      <w:pPr>
        <w:spacing w:after="100" w:line="260"/>
        <w:ind w:left="360" w:hanging="360"/>
      </w:pPr>
      <w:bookmarkStart w:name="ref2" w:id="1"/>
      <w:r>
        <w:rPr>
          <w:rFonts w:ascii="Palatino" w:cs="Palatino" w:eastAsia="Palatino" w:hAnsi="Palatino"/>
          <w:b/>
          <w:bCs/>
          <w:color w:val="1C140C"/>
          <w:sz w:val="20"/>
          <w:szCs w:val="20"/>
        </w:rPr>
        <w:t xml:space="preserve">[2]  </w:t>
      </w:r>
      <w:bookmarkEnd w:id="1"/>
      <w:r>
        <w:rPr>
          <w:rFonts w:ascii="Palatino" w:cs="Palatino" w:eastAsia="Palatino" w:hAnsi="Palatino"/>
          <w:color w:val="1C140C"/>
          <w:sz w:val="20"/>
          <w:szCs w:val="20"/>
        </w:rPr>
        <w:t xml:space="preserve">Deggen, “Mandala Token Protocol,” Bitcoin Request for Comments, tokens/0092.</w:t>
      </w:r>
      <w:r>
        <w:rPr>
          <w:rFonts w:ascii="Palatino" w:cs="Palatino" w:eastAsia="Palatino" w:hAnsi="Palatino"/>
          <w:color w:val="1C140C"/>
          <w:sz w:val="20"/>
          <w:szCs w:val="20"/>
        </w:rPr>
        <w:t xml:space="preserve">  </w:t>
      </w:r>
      <w:hyperlink w:history="1" r:id="rIdhyjz_efqetmmkdkcg8wko">
        <w:r>
          <w:rPr>
            <w:rFonts w:ascii="Palatino" w:cs="Palatino" w:eastAsia="Palatino" w:hAnsi="Palatino"/>
            <w:color w:val="8A6A2A"/>
            <w:sz w:val="18"/>
            <w:szCs w:val="18"/>
            <w:u w:val="single"/>
          </w:rPr>
          <w:t xml:space="preserve">https://bsv.brc.dev/tokens/0092</w:t>
        </w:r>
      </w:hyperlink>
    </w:p>
    <w:p>
      <w:pPr>
        <w:spacing w:after="100" w:line="260"/>
        <w:ind w:left="360" w:hanging="360"/>
      </w:pPr>
      <w:bookmarkStart w:name="ref3" w:id="1"/>
      <w:r>
        <w:rPr>
          <w:rFonts w:ascii="Palatino" w:cs="Palatino" w:eastAsia="Palatino" w:hAnsi="Palatino"/>
          <w:b/>
          <w:bCs/>
          <w:color w:val="1C140C"/>
          <w:sz w:val="20"/>
          <w:szCs w:val="20"/>
        </w:rPr>
        <w:t xml:space="preserve">[3]  </w:t>
      </w:r>
      <w:bookmarkEnd w:id="1"/>
      <w:r>
        <w:rPr>
          <w:rFonts w:ascii="Palatino" w:cs="Palatino" w:eastAsia="Palatino" w:hAnsi="Palatino"/>
          <w:color w:val="1C140C"/>
          <w:sz w:val="20"/>
          <w:szCs w:val="20"/>
        </w:rPr>
        <w:t xml:space="preserve">T. Everett, “BSV Key Derivation Scheme (BKDS),” Bitcoin Request for Comments, key-derivation/0042.</w:t>
      </w:r>
      <w:r>
        <w:rPr>
          <w:rFonts w:ascii="Palatino" w:cs="Palatino" w:eastAsia="Palatino" w:hAnsi="Palatino"/>
          <w:color w:val="1C140C"/>
          <w:sz w:val="20"/>
          <w:szCs w:val="20"/>
        </w:rPr>
        <w:t xml:space="preserve">  </w:t>
      </w:r>
      <w:hyperlink w:history="1" r:id="rIdxplgioltc03ger5nyvgvc">
        <w:r>
          <w:rPr>
            <w:rFonts w:ascii="Palatino" w:cs="Palatino" w:eastAsia="Palatino" w:hAnsi="Palatino"/>
            <w:color w:val="8A6A2A"/>
            <w:sz w:val="18"/>
            <w:szCs w:val="18"/>
            <w:u w:val="single"/>
          </w:rPr>
          <w:t xml:space="preserve">https://bsv.brc.dev/key-derivation/0042</w:t>
        </w:r>
      </w:hyperlink>
    </w:p>
    <w:p>
      <w:pPr>
        <w:spacing w:after="100" w:line="260"/>
        <w:ind w:left="360" w:hanging="360"/>
      </w:pPr>
      <w:bookmarkStart w:name="ref4" w:id="1"/>
      <w:r>
        <w:rPr>
          <w:rFonts w:ascii="Palatino" w:cs="Palatino" w:eastAsia="Palatino" w:hAnsi="Palatino"/>
          <w:b/>
          <w:bCs/>
          <w:color w:val="1C140C"/>
          <w:sz w:val="20"/>
          <w:szCs w:val="20"/>
        </w:rPr>
        <w:t xml:space="preserve">[4]  </w:t>
      </w:r>
      <w:bookmarkEnd w:id="1"/>
      <w:r>
        <w:rPr>
          <w:rFonts w:ascii="Palatino" w:cs="Palatino" w:eastAsia="Palatino" w:hAnsi="Palatino"/>
          <w:color w:val="1C140C"/>
          <w:sz w:val="20"/>
          <w:szCs w:val="20"/>
        </w:rPr>
        <w:t xml:space="preserve">T. Everett, “Simple Authenticated BSV P2PKH Payment Protocol,” Bitcoin Request for Comments, payments/0029.</w:t>
      </w:r>
      <w:r>
        <w:rPr>
          <w:rFonts w:ascii="Palatino" w:cs="Palatino" w:eastAsia="Palatino" w:hAnsi="Palatino"/>
          <w:color w:val="1C140C"/>
          <w:sz w:val="20"/>
          <w:szCs w:val="20"/>
        </w:rPr>
        <w:t xml:space="preserve">  </w:t>
      </w:r>
      <w:hyperlink w:history="1" r:id="rIdya6qusozes5ect4yn6bab">
        <w:r>
          <w:rPr>
            <w:rFonts w:ascii="Palatino" w:cs="Palatino" w:eastAsia="Palatino" w:hAnsi="Palatino"/>
            <w:color w:val="8A6A2A"/>
            <w:sz w:val="18"/>
            <w:szCs w:val="18"/>
            <w:u w:val="single"/>
          </w:rPr>
          <w:t xml:space="preserve">https://bsv.brc.dev/payments/0029</w:t>
        </w:r>
      </w:hyperlink>
    </w:p>
    <w:p>
      <w:pPr>
        <w:spacing w:after="100" w:line="260"/>
        <w:ind w:left="360" w:hanging="360"/>
      </w:pPr>
      <w:bookmarkStart w:name="ref5" w:id="1"/>
      <w:r>
        <w:rPr>
          <w:rFonts w:ascii="Palatino" w:cs="Palatino" w:eastAsia="Palatino" w:hAnsi="Palatino"/>
          <w:b/>
          <w:bCs/>
          <w:color w:val="1C140C"/>
          <w:sz w:val="20"/>
          <w:szCs w:val="20"/>
        </w:rPr>
        <w:t xml:space="preserve">[5]  </w:t>
      </w:r>
      <w:bookmarkEnd w:id="1"/>
      <w:r>
        <w:rPr>
          <w:rFonts w:ascii="Palatino" w:cs="Palatino" w:eastAsia="Palatino" w:hAnsi="Palatino"/>
          <w:color w:val="1C140C"/>
          <w:sz w:val="20"/>
          <w:szCs w:val="20"/>
        </w:rPr>
        <w:t xml:space="preserve">T. Everett, “Revealing Key Linkages,” Bitcoin Request for Comments, key-derivation/0069.</w:t>
      </w:r>
      <w:r>
        <w:rPr>
          <w:rFonts w:ascii="Palatino" w:cs="Palatino" w:eastAsia="Palatino" w:hAnsi="Palatino"/>
          <w:color w:val="1C140C"/>
          <w:sz w:val="20"/>
          <w:szCs w:val="20"/>
        </w:rPr>
        <w:t xml:space="preserve">  </w:t>
      </w:r>
      <w:hyperlink w:history="1" r:id="rId7pijrojoignkfucnelbyy">
        <w:r>
          <w:rPr>
            <w:rFonts w:ascii="Palatino" w:cs="Palatino" w:eastAsia="Palatino" w:hAnsi="Palatino"/>
            <w:color w:val="8A6A2A"/>
            <w:sz w:val="18"/>
            <w:szCs w:val="18"/>
            <w:u w:val="single"/>
          </w:rPr>
          <w:t xml:space="preserve">https://bsv.brc.dev/key-derivation/0069</w:t>
        </w:r>
      </w:hyperlink>
    </w:p>
    <w:p>
      <w:pPr>
        <w:spacing w:after="100" w:line="260"/>
        <w:ind w:left="360" w:hanging="360"/>
      </w:pPr>
      <w:bookmarkStart w:name="ref6" w:id="1"/>
      <w:r>
        <w:rPr>
          <w:rFonts w:ascii="Palatino" w:cs="Palatino" w:eastAsia="Palatino" w:hAnsi="Palatino"/>
          <w:b/>
          <w:bCs/>
          <w:color w:val="1C140C"/>
          <w:sz w:val="20"/>
          <w:szCs w:val="20"/>
        </w:rPr>
        <w:t xml:space="preserve">[6]  </w:t>
      </w:r>
      <w:bookmarkEnd w:id="1"/>
      <w:r>
        <w:rPr>
          <w:rFonts w:ascii="Palatino" w:cs="Palatino" w:eastAsia="Palatino" w:hAnsi="Palatino"/>
          <w:color w:val="1C140C"/>
          <w:sz w:val="20"/>
          <w:szCs w:val="20"/>
        </w:rPr>
        <w:t xml:space="preserve">T. Everett, “Protecting BRC-69 Key Linkage Information in Transit,” Bitcoin Request for Comments, key-derivation/0072.</w:t>
      </w:r>
      <w:r>
        <w:rPr>
          <w:rFonts w:ascii="Palatino" w:cs="Palatino" w:eastAsia="Palatino" w:hAnsi="Palatino"/>
          <w:color w:val="1C140C"/>
          <w:sz w:val="20"/>
          <w:szCs w:val="20"/>
        </w:rPr>
        <w:t xml:space="preserve">  </w:t>
      </w:r>
      <w:hyperlink w:history="1" r:id="rId-8th3md3l6aglxevhwsok">
        <w:r>
          <w:rPr>
            <w:rFonts w:ascii="Palatino" w:cs="Palatino" w:eastAsia="Palatino" w:hAnsi="Palatino"/>
            <w:color w:val="8A6A2A"/>
            <w:sz w:val="18"/>
            <w:szCs w:val="18"/>
            <w:u w:val="single"/>
          </w:rPr>
          <w:t xml:space="preserve">https://bsv.brc.dev/key-derivation/0072</w:t>
        </w:r>
      </w:hyperlink>
    </w:p>
    <w:p>
      <w:pPr>
        <w:spacing w:after="100" w:line="260"/>
        <w:ind w:left="360" w:hanging="360"/>
      </w:pPr>
      <w:bookmarkStart w:name="ref7" w:id="1"/>
      <w:r>
        <w:rPr>
          <w:rFonts w:ascii="Palatino" w:cs="Palatino" w:eastAsia="Palatino" w:hAnsi="Palatino"/>
          <w:b/>
          <w:bCs/>
          <w:color w:val="1C140C"/>
          <w:sz w:val="20"/>
          <w:szCs w:val="20"/>
        </w:rPr>
        <w:t xml:space="preserve">[7]  </w:t>
      </w:r>
      <w:bookmarkEnd w:id="1"/>
      <w:r>
        <w:rPr>
          <w:rFonts w:ascii="Palatino" w:cs="Palatino" w:eastAsia="Palatino" w:hAnsi="Palatino"/>
          <w:color w:val="1C140C"/>
          <w:sz w:val="20"/>
          <w:szCs w:val="20"/>
        </w:rPr>
        <w:t xml:space="preserve">T. Everett, “Verifiable Revelation of Shared Secrets Using Schnorr Protocol,” Bitcoin Request for Comments, key-derivation/0094.</w:t>
      </w:r>
      <w:r>
        <w:rPr>
          <w:rFonts w:ascii="Palatino" w:cs="Palatino" w:eastAsia="Palatino" w:hAnsi="Palatino"/>
          <w:color w:val="1C140C"/>
          <w:sz w:val="20"/>
          <w:szCs w:val="20"/>
        </w:rPr>
        <w:t xml:space="preserve">  </w:t>
      </w:r>
      <w:hyperlink w:history="1" r:id="rIdam_hwxmhjfn2xmpkojkf6">
        <w:r>
          <w:rPr>
            <w:rFonts w:ascii="Palatino" w:cs="Palatino" w:eastAsia="Palatino" w:hAnsi="Palatino"/>
            <w:color w:val="8A6A2A"/>
            <w:sz w:val="18"/>
            <w:szCs w:val="18"/>
            <w:u w:val="single"/>
          </w:rPr>
          <w:t xml:space="preserve">https://bsv.brc.dev/key-derivation/0094</w:t>
        </w:r>
      </w:hyperlink>
    </w:p>
    <w:p>
      <w:pPr>
        <w:spacing w:after="100" w:line="260"/>
        <w:ind w:left="360" w:hanging="360"/>
      </w:pPr>
      <w:bookmarkStart w:name="ref8" w:id="1"/>
      <w:r>
        <w:rPr>
          <w:rFonts w:ascii="Palatino" w:cs="Palatino" w:eastAsia="Palatino" w:hAnsi="Palatino"/>
          <w:b/>
          <w:bCs/>
          <w:color w:val="1C140C"/>
          <w:sz w:val="20"/>
          <w:szCs w:val="20"/>
        </w:rPr>
        <w:t xml:space="preserve">[8]  </w:t>
      </w:r>
      <w:bookmarkEnd w:id="1"/>
      <w:r>
        <w:rPr>
          <w:rFonts w:ascii="Palatino" w:cs="Palatino" w:eastAsia="Palatino" w:hAnsi="Palatino"/>
          <w:color w:val="1C140C"/>
          <w:sz w:val="20"/>
          <w:szCs w:val="20"/>
        </w:rPr>
        <w:t xml:space="preserve">F. Hao, “Schnorr Non-interactive Zero-Knowledge Proof,” RFC 8235, IETF, Sep. 2017.</w:t>
      </w:r>
      <w:r>
        <w:rPr>
          <w:rFonts w:ascii="Palatino" w:cs="Palatino" w:eastAsia="Palatino" w:hAnsi="Palatino"/>
          <w:color w:val="1C140C"/>
          <w:sz w:val="20"/>
          <w:szCs w:val="20"/>
        </w:rPr>
        <w:t xml:space="preserve">  </w:t>
      </w:r>
      <w:hyperlink w:history="1" r:id="rId8jzadqotjjats6radzwlg">
        <w:r>
          <w:rPr>
            <w:rFonts w:ascii="Palatino" w:cs="Palatino" w:eastAsia="Palatino" w:hAnsi="Palatino"/>
            <w:color w:val="8A6A2A"/>
            <w:sz w:val="18"/>
            <w:szCs w:val="18"/>
            <w:u w:val="single"/>
          </w:rPr>
          <w:t xml:space="preserve">https://datatracker.ietf.org/doc/rfc8235/</w:t>
        </w:r>
      </w:hyperlink>
    </w:p>
    <w:p>
      <w:pPr>
        <w:spacing w:after="100" w:line="260"/>
        <w:ind w:left="360" w:hanging="360"/>
      </w:pPr>
      <w:bookmarkStart w:name="ref9" w:id="1"/>
      <w:r>
        <w:rPr>
          <w:rFonts w:ascii="Palatino" w:cs="Palatino" w:eastAsia="Palatino" w:hAnsi="Palatino"/>
          <w:b/>
          <w:bCs/>
          <w:color w:val="1C140C"/>
          <w:sz w:val="20"/>
          <w:szCs w:val="20"/>
        </w:rPr>
        <w:t xml:space="preserve">[9]  </w:t>
      </w:r>
      <w:bookmarkEnd w:id="1"/>
      <w:r>
        <w:rPr>
          <w:rFonts w:ascii="Palatino" w:cs="Palatino" w:eastAsia="Palatino" w:hAnsi="Palatino"/>
          <w:color w:val="1C140C"/>
          <w:sz w:val="20"/>
          <w:szCs w:val="20"/>
        </w:rPr>
        <w:t xml:space="preserve">H. Krawczyk, M. Bellare, and R. Canetti, “HMAC: Keyed-Hashing for Message Authentication,” RFC 2104, IETF, Feb. 1997.</w:t>
      </w:r>
      <w:r>
        <w:rPr>
          <w:rFonts w:ascii="Palatino" w:cs="Palatino" w:eastAsia="Palatino" w:hAnsi="Palatino"/>
          <w:color w:val="1C140C"/>
          <w:sz w:val="20"/>
          <w:szCs w:val="20"/>
        </w:rPr>
        <w:t xml:space="preserve">  </w:t>
      </w:r>
      <w:hyperlink w:history="1" r:id="rId0nhynvgfr1omabaa9c7yy">
        <w:r>
          <w:rPr>
            <w:rFonts w:ascii="Palatino" w:cs="Palatino" w:eastAsia="Palatino" w:hAnsi="Palatino"/>
            <w:color w:val="8A6A2A"/>
            <w:sz w:val="18"/>
            <w:szCs w:val="18"/>
            <w:u w:val="single"/>
          </w:rPr>
          <w:t xml:space="preserve">https://datatracker.ietf.org/doc/rfc2104/</w:t>
        </w:r>
      </w:hyperlink>
    </w:p>
    <w:p>
      <w:pPr>
        <w:spacing w:after="100" w:line="260"/>
        <w:ind w:left="360" w:hanging="360"/>
      </w:pPr>
      <w:bookmarkStart w:name="ref10" w:id="1"/>
      <w:r>
        <w:rPr>
          <w:rFonts w:ascii="Palatino" w:cs="Palatino" w:eastAsia="Palatino" w:hAnsi="Palatino"/>
          <w:b/>
          <w:bCs/>
          <w:color w:val="1C140C"/>
          <w:sz w:val="20"/>
          <w:szCs w:val="20"/>
        </w:rPr>
        <w:t xml:space="preserve">[10]  </w:t>
      </w:r>
      <w:bookmarkEnd w:id="1"/>
      <w:r>
        <w:rPr>
          <w:rFonts w:ascii="Palatino" w:cs="Palatino" w:eastAsia="Palatino" w:hAnsi="Palatino"/>
          <w:color w:val="1C140C"/>
          <w:sz w:val="20"/>
          <w:szCs w:val="20"/>
        </w:rPr>
        <w:t xml:space="preserve">S. Nakamoto, “Bitcoin: A Peer-to-Peer Electronic Cash System,” 2008.</w:t>
      </w:r>
      <w:r>
        <w:rPr>
          <w:rFonts w:ascii="Palatino" w:cs="Palatino" w:eastAsia="Palatino" w:hAnsi="Palatino"/>
          <w:color w:val="1C140C"/>
          <w:sz w:val="20"/>
          <w:szCs w:val="20"/>
        </w:rPr>
        <w:t xml:space="preserve">  </w:t>
      </w:r>
      <w:hyperlink w:history="1" r:id="rIdi7pq-lbnjtjx42kyjpqe5">
        <w:r>
          <w:rPr>
            <w:rFonts w:ascii="Palatino" w:cs="Palatino" w:eastAsia="Palatino" w:hAnsi="Palatino"/>
            <w:color w:val="8A6A2A"/>
            <w:sz w:val="18"/>
            <w:szCs w:val="18"/>
            <w:u w:val="single"/>
          </w:rPr>
          <w:t xml:space="preserve">https://bitcoin.org/bitcoin.pdf</w:t>
        </w:r>
      </w:hyperlink>
    </w:p>
    <w:p>
      <w:pPr>
        <w:spacing w:after="100" w:line="260"/>
        <w:ind w:left="360" w:hanging="360"/>
      </w:pPr>
      <w:bookmarkStart w:name="ref11" w:id="1"/>
      <w:r>
        <w:rPr>
          <w:rFonts w:ascii="Palatino" w:cs="Palatino" w:eastAsia="Palatino" w:hAnsi="Palatino"/>
          <w:b/>
          <w:bCs/>
          <w:color w:val="1C140C"/>
          <w:sz w:val="20"/>
          <w:szCs w:val="20"/>
        </w:rPr>
        <w:t xml:space="preserve">[11]  </w:t>
      </w:r>
      <w:bookmarkEnd w:id="1"/>
      <w:r>
        <w:rPr>
          <w:rFonts w:ascii="Palatino" w:cs="Palatino" w:eastAsia="Palatino" w:hAnsi="Palatino"/>
          <w:color w:val="1C140C"/>
          <w:sz w:val="20"/>
          <w:szCs w:val="20"/>
        </w:rPr>
        <w:t xml:space="preserve">BSV Association, “Arcade.”</w:t>
      </w:r>
      <w:r>
        <w:rPr>
          <w:rFonts w:ascii="Palatino" w:cs="Palatino" w:eastAsia="Palatino" w:hAnsi="Palatino"/>
          <w:color w:val="1C140C"/>
          <w:sz w:val="20"/>
          <w:szCs w:val="20"/>
        </w:rPr>
        <w:t xml:space="preserve">  </w:t>
      </w:r>
      <w:hyperlink w:history="1" r:id="rIdxvior0unvqefage5jvno1">
        <w:r>
          <w:rPr>
            <w:rFonts w:ascii="Palatino" w:cs="Palatino" w:eastAsia="Palatino" w:hAnsi="Palatino"/>
            <w:color w:val="8A6A2A"/>
            <w:sz w:val="18"/>
            <w:szCs w:val="18"/>
            <w:u w:val="single"/>
          </w:rPr>
          <w:t xml:space="preserve">https://github.com/bsv-blockchain/arcade</w:t>
        </w:r>
      </w:hyperlink>
    </w:p>
    <w:p>
      <w:pPr>
        <w:spacing w:after="100" w:line="260"/>
        <w:ind w:left="360" w:hanging="360"/>
      </w:pPr>
      <w:bookmarkStart w:name="ref12" w:id="1"/>
      <w:r>
        <w:rPr>
          <w:rFonts w:ascii="Palatino" w:cs="Palatino" w:eastAsia="Palatino" w:hAnsi="Palatino"/>
          <w:b/>
          <w:bCs/>
          <w:color w:val="1C140C"/>
          <w:sz w:val="20"/>
          <w:szCs w:val="20"/>
        </w:rPr>
        <w:t xml:space="preserve">[12]  </w:t>
      </w:r>
      <w:bookmarkEnd w:id="1"/>
      <w:r>
        <w:rPr>
          <w:rFonts w:ascii="Palatino" w:cs="Palatino" w:eastAsia="Palatino" w:hAnsi="Palatino"/>
          <w:color w:val="1C140C"/>
          <w:sz w:val="20"/>
          <w:szCs w:val="20"/>
        </w:rPr>
        <w:t xml:space="preserve">T. Everett, “Thoughts on the Mandala Network,” Bitcoin Request for Comments, opinions/0090.</w:t>
      </w:r>
      <w:r>
        <w:rPr>
          <w:rFonts w:ascii="Palatino" w:cs="Palatino" w:eastAsia="Palatino" w:hAnsi="Palatino"/>
          <w:color w:val="1C140C"/>
          <w:sz w:val="20"/>
          <w:szCs w:val="20"/>
        </w:rPr>
        <w:t xml:space="preserve">  </w:t>
      </w:r>
      <w:hyperlink w:history="1" r:id="rId4ufnxemmsobt3vkiv2fpg">
        <w:r>
          <w:rPr>
            <w:rFonts w:ascii="Palatino" w:cs="Palatino" w:eastAsia="Palatino" w:hAnsi="Palatino"/>
            <w:color w:val="8A6A2A"/>
            <w:sz w:val="18"/>
            <w:szCs w:val="18"/>
            <w:u w:val="single"/>
          </w:rPr>
          <w:t xml:space="preserve">https://bsv.brc.dev/opinions/0090</w:t>
        </w:r>
      </w:hyperlink>
    </w:p>
    <w:p>
      <w:pPr>
        <w:spacing w:after="100" w:line="260"/>
        <w:ind w:left="360" w:hanging="360"/>
      </w:pPr>
      <w:bookmarkStart w:name="ref13" w:id="1"/>
      <w:r>
        <w:rPr>
          <w:rFonts w:ascii="Palatino" w:cs="Palatino" w:eastAsia="Palatino" w:hAnsi="Palatino"/>
          <w:b/>
          <w:bCs/>
          <w:color w:val="1C140C"/>
          <w:sz w:val="20"/>
          <w:szCs w:val="20"/>
        </w:rPr>
        <w:t xml:space="preserve">[13]  </w:t>
      </w:r>
      <w:bookmarkEnd w:id="1"/>
      <w:r>
        <w:rPr>
          <w:rFonts w:ascii="Palatino" w:cs="Palatino" w:eastAsia="Palatino" w:hAnsi="Palatino"/>
          <w:color w:val="1C140C"/>
          <w:sz w:val="20"/>
          <w:szCs w:val="20"/>
        </w:rPr>
        <w:t xml:space="preserve">Certicom Research, “SEC 2: Recommended Elliptic Curve Domain Parameters,” secp256k1.</w:t>
      </w:r>
      <w:r>
        <w:rPr>
          <w:rFonts w:ascii="Palatino" w:cs="Palatino" w:eastAsia="Palatino" w:hAnsi="Palatino"/>
          <w:color w:val="1C140C"/>
          <w:sz w:val="20"/>
          <w:szCs w:val="20"/>
        </w:rPr>
        <w:t xml:space="preserve">  </w:t>
      </w:r>
      <w:hyperlink w:history="1" r:id="rIdayi8sb_bm5g0xdbmf_uia">
        <w:r>
          <w:rPr>
            <w:rFonts w:ascii="Palatino" w:cs="Palatino" w:eastAsia="Palatino" w:hAnsi="Palatino"/>
            <w:color w:val="8A6A2A"/>
            <w:sz w:val="18"/>
            <w:szCs w:val="18"/>
            <w:u w:val="single"/>
          </w:rPr>
          <w:t xml:space="preserve">https://www.secg.org/sec2-v2.pdf</w:t>
        </w:r>
      </w:hyperlink>
    </w:p>
    <w:p>
      <w:pPr>
        <w:spacing w:after="100" w:line="260"/>
        <w:ind w:left="360" w:hanging="360"/>
      </w:pPr>
      <w:bookmarkStart w:name="ref14" w:id="1"/>
      <w:r>
        <w:rPr>
          <w:rFonts w:ascii="Palatino" w:cs="Palatino" w:eastAsia="Palatino" w:hAnsi="Palatino"/>
          <w:b/>
          <w:bCs/>
          <w:color w:val="1C140C"/>
          <w:sz w:val="20"/>
          <w:szCs w:val="20"/>
        </w:rPr>
        <w:t xml:space="preserve">[14]  </w:t>
      </w:r>
      <w:bookmarkEnd w:id="1"/>
      <w:r>
        <w:rPr>
          <w:rFonts w:ascii="Palatino" w:cs="Palatino" w:eastAsia="Palatino" w:hAnsi="Palatino"/>
          <w:color w:val="1C140C"/>
          <w:sz w:val="20"/>
          <w:szCs w:val="20"/>
        </w:rPr>
        <w:t xml:space="preserve">Bitcoin SV BRCs, Simplified Payment Verification and unified Merkle path formats, transactions/0067 and transactions/0074.</w:t>
      </w:r>
      <w:r>
        <w:rPr>
          <w:rFonts w:ascii="Palatino" w:cs="Palatino" w:eastAsia="Palatino" w:hAnsi="Palatino"/>
          <w:color w:val="1C140C"/>
          <w:sz w:val="20"/>
          <w:szCs w:val="20"/>
        </w:rPr>
        <w:t xml:space="preserve">  </w:t>
      </w:r>
      <w:hyperlink w:history="1" r:id="rIdqpw_vohioxtzyf3e0mk4_">
        <w:r>
          <w:rPr>
            <w:rFonts w:ascii="Palatino" w:cs="Palatino" w:eastAsia="Palatino" w:hAnsi="Palatino"/>
            <w:color w:val="8A6A2A"/>
            <w:sz w:val="18"/>
            <w:szCs w:val="18"/>
            <w:u w:val="single"/>
          </w:rPr>
          <w:t xml:space="preserve">https://bsv.brc.dev/transactions/0067</w:t>
        </w:r>
      </w:hyperlink>
    </w:p>
    <w:p>
      <w:pPr>
        <w:spacing w:after="100" w:line="260"/>
        <w:ind w:left="360" w:hanging="360"/>
      </w:pPr>
      <w:bookmarkStart w:name="ref15" w:id="1"/>
      <w:r>
        <w:rPr>
          <w:rFonts w:ascii="Palatino" w:cs="Palatino" w:eastAsia="Palatino" w:hAnsi="Palatino"/>
          <w:b/>
          <w:bCs/>
          <w:color w:val="1C140C"/>
          <w:sz w:val="20"/>
          <w:szCs w:val="20"/>
        </w:rPr>
        <w:t xml:space="preserve">[15]  </w:t>
      </w:r>
      <w:bookmarkEnd w:id="1"/>
      <w:r>
        <w:rPr>
          <w:rFonts w:ascii="Palatino" w:cs="Palatino" w:eastAsia="Palatino" w:hAnsi="Palatino"/>
          <w:color w:val="1C140C"/>
          <w:sz w:val="20"/>
          <w:szCs w:val="20"/>
        </w:rPr>
        <w:t xml:space="preserve">T. Everett, “Identity Certificates,” Bitcoin Request for Comments, peer-to-peer/0052.</w:t>
      </w:r>
      <w:r>
        <w:rPr>
          <w:rFonts w:ascii="Palatino" w:cs="Palatino" w:eastAsia="Palatino" w:hAnsi="Palatino"/>
          <w:color w:val="1C140C"/>
          <w:sz w:val="20"/>
          <w:szCs w:val="20"/>
        </w:rPr>
        <w:t xml:space="preserve">  </w:t>
      </w:r>
      <w:hyperlink w:history="1" r:id="rIds2tnvfnin5pf6uxzj-3v_">
        <w:r>
          <w:rPr>
            <w:rFonts w:ascii="Palatino" w:cs="Palatino" w:eastAsia="Palatino" w:hAnsi="Palatino"/>
            <w:color w:val="8A6A2A"/>
            <w:sz w:val="18"/>
            <w:szCs w:val="18"/>
            <w:u w:val="single"/>
          </w:rPr>
          <w:t xml:space="preserve">https://bsv.brc.dev/peer-to-peer/0052</w:t>
        </w:r>
      </w:hyperlink>
    </w:p>
    <w:p>
      <w:pPr>
        <w:spacing w:after="100" w:line="260"/>
        <w:ind w:left="360" w:hanging="360"/>
      </w:pPr>
      <w:bookmarkStart w:name="ref16" w:id="1"/>
      <w:r>
        <w:rPr>
          <w:rFonts w:ascii="Palatino" w:cs="Palatino" w:eastAsia="Palatino" w:hAnsi="Palatino"/>
          <w:b/>
          <w:bCs/>
          <w:color w:val="1C140C"/>
          <w:sz w:val="20"/>
          <w:szCs w:val="20"/>
        </w:rPr>
        <w:t xml:space="preserve">[16]  </w:t>
      </w:r>
      <w:bookmarkEnd w:id="1"/>
      <w:r>
        <w:rPr>
          <w:rFonts w:ascii="Palatino" w:cs="Palatino" w:eastAsia="Palatino" w:hAnsi="Palatino"/>
          <w:color w:val="1C140C"/>
          <w:sz w:val="20"/>
          <w:szCs w:val="20"/>
        </w:rPr>
        <w:t xml:space="preserve">BSV Association, “Mandala.”</w:t>
      </w:r>
      <w:r>
        <w:rPr>
          <w:rFonts w:ascii="Palatino" w:cs="Palatino" w:eastAsia="Palatino" w:hAnsi="Palatino"/>
          <w:color w:val="1C140C"/>
          <w:sz w:val="20"/>
          <w:szCs w:val="20"/>
        </w:rPr>
        <w:t xml:space="preserve">  </w:t>
      </w:r>
      <w:hyperlink w:history="1" r:id="rId489hrtbumo6pprfm6j3zs">
        <w:r>
          <w:rPr>
            <w:rFonts w:ascii="Palatino" w:cs="Palatino" w:eastAsia="Palatino" w:hAnsi="Palatino"/>
            <w:color w:val="8A6A2A"/>
            <w:sz w:val="18"/>
            <w:szCs w:val="18"/>
            <w:u w:val="single"/>
          </w:rPr>
          <w:t xml:space="preserve">https://github.com/bsv-blockchain/mandala</w:t>
        </w:r>
      </w:hyperlink>
    </w:p>
    <w:p>
      <w:pPr>
        <w:spacing w:after="100" w:line="260"/>
        <w:ind w:left="360" w:hanging="360"/>
      </w:pPr>
      <w:bookmarkStart w:name="ref17" w:id="1"/>
      <w:r>
        <w:rPr>
          <w:rFonts w:ascii="Palatino" w:cs="Palatino" w:eastAsia="Palatino" w:hAnsi="Palatino"/>
          <w:b/>
          <w:bCs/>
          <w:color w:val="1C140C"/>
          <w:sz w:val="20"/>
          <w:szCs w:val="20"/>
        </w:rPr>
        <w:t xml:space="preserve">[17]  </w:t>
      </w:r>
      <w:bookmarkEnd w:id="1"/>
      <w:r>
        <w:rPr>
          <w:rFonts w:ascii="Palatino" w:cs="Palatino" w:eastAsia="Palatino" w:hAnsi="Palatino"/>
          <w:color w:val="1C140C"/>
          <w:sz w:val="20"/>
          <w:szCs w:val="20"/>
        </w:rPr>
        <w:t xml:space="preserve">Bitcoin SV BRCs, “Unlinkable Payments under the Identity Paradigm,” payments/0228.</w:t>
      </w:r>
      <w:r>
        <w:rPr>
          <w:rFonts w:ascii="Palatino" w:cs="Palatino" w:eastAsia="Palatino" w:hAnsi="Palatino"/>
          <w:color w:val="1C140C"/>
          <w:sz w:val="20"/>
          <w:szCs w:val="20"/>
        </w:rPr>
        <w:t xml:space="preserve">  </w:t>
      </w:r>
      <w:hyperlink w:history="1" r:id="rIdwdo_vwpwv-ujnxuigjxbn">
        <w:r>
          <w:rPr>
            <w:rFonts w:ascii="Palatino" w:cs="Palatino" w:eastAsia="Palatino" w:hAnsi="Palatino"/>
            <w:color w:val="8A6A2A"/>
            <w:sz w:val="18"/>
            <w:szCs w:val="18"/>
            <w:u w:val="single"/>
          </w:rPr>
          <w:t xml:space="preserve">https://bsv.brc.dev/payments/0228</w:t>
        </w:r>
      </w:hyperlink>
    </w:p>
    <w:p>
      <w:pPr>
        <w:spacing w:after="100" w:line="260"/>
        <w:ind w:left="360" w:hanging="360"/>
      </w:pPr>
      <w:bookmarkStart w:name="ref18" w:id="1"/>
      <w:r>
        <w:rPr>
          <w:rFonts w:ascii="Palatino" w:cs="Palatino" w:eastAsia="Palatino" w:hAnsi="Palatino"/>
          <w:b/>
          <w:bCs/>
          <w:color w:val="1C140C"/>
          <w:sz w:val="20"/>
          <w:szCs w:val="20"/>
        </w:rPr>
        <w:t xml:space="preserve">[18]  </w:t>
      </w:r>
      <w:bookmarkEnd w:id="1"/>
      <w:r>
        <w:rPr>
          <w:rFonts w:ascii="Palatino" w:cs="Palatino" w:eastAsia="Palatino" w:hAnsi="Palatino"/>
          <w:color w:val="1C140C"/>
          <w:sz w:val="20"/>
          <w:szCs w:val="20"/>
        </w:rPr>
        <w:t xml:space="preserve">BSV Association, “ts-templates,” including P2MKH.</w:t>
      </w:r>
      <w:r>
        <w:rPr>
          <w:rFonts w:ascii="Palatino" w:cs="Palatino" w:eastAsia="Palatino" w:hAnsi="Palatino"/>
          <w:color w:val="1C140C"/>
          <w:sz w:val="20"/>
          <w:szCs w:val="20"/>
        </w:rPr>
        <w:t xml:space="preserve">  </w:t>
      </w:r>
      <w:hyperlink w:history="1" r:id="rIdhwxlmr6fi_tlm7whgp_yx">
        <w:r>
          <w:rPr>
            <w:rFonts w:ascii="Palatino" w:cs="Palatino" w:eastAsia="Palatino" w:hAnsi="Palatino"/>
            <w:color w:val="8A6A2A"/>
            <w:sz w:val="18"/>
            <w:szCs w:val="18"/>
            <w:u w:val="single"/>
          </w:rPr>
          <w:t xml:space="preserve">https://github.com/bsv-blockchain/ts-templates</w:t>
        </w:r>
      </w:hyperlink>
    </w:p>
    <w:p>
      <w:pPr>
        <w:spacing w:after="100" w:line="260"/>
        <w:ind w:left="360" w:hanging="360"/>
      </w:pPr>
      <w:bookmarkStart w:name="ref19" w:id="1"/>
      <w:r>
        <w:rPr>
          <w:rFonts w:ascii="Palatino" w:cs="Palatino" w:eastAsia="Palatino" w:hAnsi="Palatino"/>
          <w:b/>
          <w:bCs/>
          <w:color w:val="1C140C"/>
          <w:sz w:val="20"/>
          <w:szCs w:val="20"/>
        </w:rPr>
        <w:t xml:space="preserve">[19]  </w:t>
      </w:r>
      <w:bookmarkEnd w:id="1"/>
      <w:r>
        <w:rPr>
          <w:rFonts w:ascii="Palatino" w:cs="Palatino" w:eastAsia="Palatino" w:hAnsi="Palatino"/>
          <w:color w:val="1C140C"/>
          <w:sz w:val="20"/>
          <w:szCs w:val="20"/>
        </w:rPr>
        <w:t xml:space="preserve">T. Everett, “Security Levels, Protocol IDs, Key IDs and Counterparties,” Bitcoin Request for Comments, key-derivation/0043.</w:t>
      </w:r>
      <w:r>
        <w:rPr>
          <w:rFonts w:ascii="Palatino" w:cs="Palatino" w:eastAsia="Palatino" w:hAnsi="Palatino"/>
          <w:color w:val="1C140C"/>
          <w:sz w:val="20"/>
          <w:szCs w:val="20"/>
        </w:rPr>
        <w:t xml:space="preserve">  </w:t>
      </w:r>
      <w:hyperlink w:history="1" r:id="rIdxn47np_-xhaj4cfhmpffr">
        <w:r>
          <w:rPr>
            <w:rFonts w:ascii="Palatino" w:cs="Palatino" w:eastAsia="Palatino" w:hAnsi="Palatino"/>
            <w:color w:val="8A6A2A"/>
            <w:sz w:val="18"/>
            <w:szCs w:val="18"/>
            <w:u w:val="single"/>
          </w:rPr>
          <w:t xml:space="preserve">https://bsv.brc.dev/key-derivation/0043</w:t>
        </w:r>
      </w:hyperlink>
    </w:p>
    <w:sectPr>
      <w:headerReference w:type="default" r:id="rId6"/>
      <w:footerReference w:type="default" r:id="rId7"/>
      <w:pgSz w:w="12240" w:h="15840" w:orient="portrait"/>
      <w:pgMar w:top="1080" w:right="1152" w:bottom="1008" w:left="1152" w:header="576" w:footer="576"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A35A" w:sz="6" w:space="4"/>
      </w:pBdr>
      <w:tabs>
        <w:tab w:val="right" w:pos="9026"/>
      </w:tabs>
      <w:spacing w:before="60"/>
    </w:pPr>
    <w:r>
      <w:rPr>
        <w:rFonts w:ascii="Palatino" w:cs="Palatino" w:eastAsia="Palatino" w:hAnsi="Palatino"/>
        <w:color w:val="5C4E3E"/>
        <w:sz w:val="16"/>
        <w:szCs w:val="16"/>
      </w:rPr>
      <w:t xml:space="preserve">github.com/bsv-blockchain/mandala</w:t>
    </w:r>
    <w:r>
      <w:rPr>
        <w:rFonts w:ascii="Palatino" w:cs="Palatino" w:eastAsia="Palatino" w:hAnsi="Palatino"/>
        <w:sz w:val="16"/>
        <w:szCs w:val="16"/>
      </w:rPr>
      <w:t xml:space="preserve">	</w:t>
    </w:r>
    <w:r>
      <w:rPr>
        <w:rFonts w:ascii="Palatino" w:cs="Palatino" w:eastAsia="Palatino" w:hAnsi="Palatino"/>
        <w:color w:val="1C140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A35A" w:sz="6" w:space="4"/>
      </w:pBdr>
      <w:tabs>
        <w:tab w:val="right" w:pos="9026"/>
      </w:tabs>
      <w:spacing w:after="80"/>
    </w:pPr>
    <w:r>
      <w:drawing>
        <wp:inline distT="0" distB="0" distL="0" distR="0">
          <wp:extent cx="152400" cy="152400"/>
          <wp:effectExtent t="0" r="0" b="0" l="0"/>
          <wp:docPr id="1" name="Mandala mark" descr="Concentric mandala emblem" title="Manda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52400" cy="152400"/>
                  </a:xfrm>
                  <a:prstGeom prst="rect">
                    <a:avLst/>
                  </a:prstGeom>
                </pic:spPr>
              </pic:pic>
            </a:graphicData>
          </a:graphic>
        </wp:inline>
      </w:drawing>
    </w:r>
    <w:r>
      <w:rPr>
        <w:rFonts w:ascii="Palatino" w:cs="Palatino" w:eastAsia="Palatino" w:hAnsi="Palatino"/>
        <w:b/>
        <w:bCs/>
        <w:color w:val="8A6A2A"/>
        <w:sz w:val="16"/>
        <w:szCs w:val="16"/>
      </w:rPr>
      <w:t xml:space="preserve">   MANDALA</w:t>
    </w:r>
    <w:r>
      <w:rPr>
        <w:rFonts w:ascii="Palatino" w:cs="Palatino" w:eastAsia="Palatino" w:hAnsi="Palatino"/>
        <w:color w:val="5C4E3E"/>
        <w:sz w:val="16"/>
        <w:szCs w:val="16"/>
      </w:rPr>
      <w:t xml:space="preserve">  ·  Auditable fiat-backed tokens on Bitcoin SV</w:t>
    </w:r>
    <w:r>
      <w:rPr>
        <w:rFonts w:ascii="Palatino" w:cs="Palatino" w:eastAsia="Palatino" w:hAnsi="Palatino"/>
        <w:color w:val="8A6A2A"/>
        <w:sz w:val="16"/>
        <w:szCs w:val="16"/>
      </w:rPr>
      <w:t xml:space="preserve">	September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w:cs="Palatino" w:eastAsia="Palatino" w:hAnsi="Palatino"/>
        <w:color w:val="1C140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Palatino" w:cs="Palatino" w:eastAsia="Palatino" w:hAnsi="Palatino"/>
      <w:b/>
      <w:bCs/>
      <w:color w:val="8A6A2A"/>
      <w:sz w:val="28"/>
      <w:szCs w:val="28"/>
    </w:rPr>
  </w:style>
  <w:style w:type="paragraph" w:styleId="Heading2">
    <w:name w:val="Heading 2"/>
    <w:basedOn w:val="Normal"/>
    <w:next w:val="Normal"/>
    <w:qFormat/>
    <w:pPr>
      <w:spacing w:before="200" w:after="100"/>
      <w:outlineLvl w:val="1"/>
    </w:pPr>
    <w:rPr>
      <w:rFonts w:ascii="Palatino" w:cs="Palatino" w:eastAsia="Palatino" w:hAnsi="Palatino"/>
      <w:b/>
      <w:bCs/>
      <w:i/>
      <w:iCs/>
      <w:color w:val="1C140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hifmgaufsescso_x1z_4v" Type="http://schemas.openxmlformats.org/officeDocument/2006/relationships/hyperlink" Target="https://grokipedia.com/page/Schnorr_signature" TargetMode="External"/><Relationship Id="rIdhyjz_efqetmmkdkcg8wko" Type="http://schemas.openxmlformats.org/officeDocument/2006/relationships/hyperlink" Target="https://bsv.brc.dev/tokens/0092" TargetMode="External"/><Relationship Id="rIdxplgioltc03ger5nyvgvc" Type="http://schemas.openxmlformats.org/officeDocument/2006/relationships/hyperlink" Target="https://bsv.brc.dev/key-derivation/0042" TargetMode="External"/><Relationship Id="rIdya6qusozes5ect4yn6bab" Type="http://schemas.openxmlformats.org/officeDocument/2006/relationships/hyperlink" Target="https://bsv.brc.dev/payments/0029" TargetMode="External"/><Relationship Id="rId7pijrojoignkfucnelbyy" Type="http://schemas.openxmlformats.org/officeDocument/2006/relationships/hyperlink" Target="https://bsv.brc.dev/key-derivation/0069" TargetMode="External"/><Relationship Id="rId-8th3md3l6aglxevhwsok" Type="http://schemas.openxmlformats.org/officeDocument/2006/relationships/hyperlink" Target="https://bsv.brc.dev/key-derivation/0072" TargetMode="External"/><Relationship Id="rIdam_hwxmhjfn2xmpkojkf6" Type="http://schemas.openxmlformats.org/officeDocument/2006/relationships/hyperlink" Target="https://bsv.brc.dev/key-derivation/0094" TargetMode="External"/><Relationship Id="rId8jzadqotjjats6radzwlg" Type="http://schemas.openxmlformats.org/officeDocument/2006/relationships/hyperlink" Target="https://datatracker.ietf.org/doc/rfc8235/" TargetMode="External"/><Relationship Id="rId0nhynvgfr1omabaa9c7yy" Type="http://schemas.openxmlformats.org/officeDocument/2006/relationships/hyperlink" Target="https://datatracker.ietf.org/doc/rfc2104/" TargetMode="External"/><Relationship Id="rIdi7pq-lbnjtjx42kyjpqe5" Type="http://schemas.openxmlformats.org/officeDocument/2006/relationships/hyperlink" Target="https://bitcoin.org/bitcoin.pdf" TargetMode="External"/><Relationship Id="rIdxvior0unvqefage5jvno1" Type="http://schemas.openxmlformats.org/officeDocument/2006/relationships/hyperlink" Target="https://github.com/bsv-blockchain/arcade" TargetMode="External"/><Relationship Id="rId4ufnxemmsobt3vkiv2fpg" Type="http://schemas.openxmlformats.org/officeDocument/2006/relationships/hyperlink" Target="https://bsv.brc.dev/opinions/0090" TargetMode="External"/><Relationship Id="rIdayi8sb_bm5g0xdbmf_uia" Type="http://schemas.openxmlformats.org/officeDocument/2006/relationships/hyperlink" Target="https://www.secg.org/sec2-v2.pdf" TargetMode="External"/><Relationship Id="rIdqpw_vohioxtzyf3e0mk4_" Type="http://schemas.openxmlformats.org/officeDocument/2006/relationships/hyperlink" Target="https://bsv.brc.dev/transactions/0067" TargetMode="External"/><Relationship Id="rIds2tnvfnin5pf6uxzj-3v_" Type="http://schemas.openxmlformats.org/officeDocument/2006/relationships/hyperlink" Target="https://bsv.brc.dev/peer-to-peer/0052" TargetMode="External"/><Relationship Id="rId489hrtbumo6pprfm6j3zs" Type="http://schemas.openxmlformats.org/officeDocument/2006/relationships/hyperlink" Target="https://github.com/bsv-blockchain/mandala" TargetMode="External"/><Relationship Id="rIdwdo_vwpwv-ujnxuigjxbn" Type="http://schemas.openxmlformats.org/officeDocument/2006/relationships/hyperlink" Target="https://bsv.brc.dev/payments/0228" TargetMode="External"/><Relationship Id="rIdhwxlmr6fi_tlm7whgp_yx" Type="http://schemas.openxmlformats.org/officeDocument/2006/relationships/hyperlink" Target="https://github.com/bsv-blockchain/ts-templates" TargetMode="External"/><Relationship Id="rIdxn47np_-xhaj4cfhmpffr" Type="http://schemas.openxmlformats.org/officeDocument/2006/relationships/hyperlink" Target="https://bsv.brc.dev/key-derivation/0043" TargetMode="External"/><Relationship Id="rId8" Type="http://schemas.openxmlformats.org/officeDocument/2006/relationships/image" Target="media/5050ce80df5d94944c600e64bbaf645a98ce38cf.png"/><Relationship Id="rId9" Type="http://schemas.openxmlformats.org/officeDocument/2006/relationships/image" Target="media/6e73054bb742a397340cbff9b45f13bd017dbf69.png"/><Relationship Id="rId10" Type="http://schemas.openxmlformats.org/officeDocument/2006/relationships/image" Target="media/5468f7dc0349459e7dc3316df529895821d2480a.png"/><Relationship Id="rId3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050ce80df5d94944c600e64bbaf645a98ce38cf.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Mandala: Auditable Fiat-Backed Tokens on Bitcoin SV</dc:title>
  <dc:creator>Darren Kellenschwiler</dc:creator>
  <dc:description>A protocol for issuance, overlay admission, transfer, and offline settlement on Bitcoin SV.</dc:description>
  <cp:lastModifiedBy>Un-named</cp:lastModifiedBy>
  <cp:revision>1</cp:revision>
  <dcterms:created xsi:type="dcterms:W3CDTF">2026-09-10T03:15:22.828Z</dcterms:created>
  <dcterms:modified xsi:type="dcterms:W3CDTF">2026-09-10T03:15:22.833Z</dcterms:modified>
</cp:coreProperties>
</file>

<file path=docProps/custom.xml><?xml version="1.0" encoding="utf-8"?>
<Properties xmlns="http://schemas.openxmlformats.org/officeDocument/2006/custom-properties" xmlns:vt="http://schemas.openxmlformats.org/officeDocument/2006/docPropsVTypes"/>
</file>