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40"/>
        </w:rPr>
        <w:t xml:space="preserve">Incentive annex</w:t>
      </w:r>
    </w:p>
    <w:p>
      <w:r>
        <w:rPr>
          <w:sz w:val="20"/>
        </w:rPr>
        <w:t xml:space="preserve">Cities Leading Food Production — draft 4</w:t>
      </w:r>
    </w:p>
    <w:p>
      <w:r>
        <w:t xml:space="preserve"/>
      </w:r>
    </w:p>
    <w:p>
      <w:r>
        <w:t xml:space="preserve">Value flows to the growers and connectors who create it. The short chain becomes the default rather than a niche.</w:t>
      </w:r>
    </w:p>
    <w:p>
      <w:r>
        <w:t xml:space="preserve"/>
      </w:r>
    </w:p>
    <w:p>
      <w:r>
        <w:t xml:space="preserve">This is mock content for the Nexus prototype. It exists so that an attachment in the Messages app downloads to a file that opens.</w:t>
      </w:r>
    </w:p>
    <w:sectPr>
      <w:pgSz w:w="11906" w:h="16838"/>
    </w:sectPr>
  </w:body>
</w:document>
</file>