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mm87k1h5f0t" w:id="0"/>
      <w:bookmarkEnd w:id="0"/>
      <w:r w:rsidDel="00000000" w:rsidR="00000000" w:rsidRPr="00000000">
        <w:rPr>
          <w:rtl w:val="0"/>
        </w:rPr>
        <w:t xml:space="preserve">Benton County Market-Calibrated Cost Modeling: Official Methodology &amp; Governance Guide</w:t>
      </w:r>
    </w:p>
    <w:p w:rsidR="00000000" w:rsidDel="00000000" w:rsidP="00000000" w:rsidRDefault="00000000" w:rsidRPr="00000000" w14:paraId="00000002">
      <w:pPr>
        <w:pStyle w:val="Heading4"/>
        <w:rPr/>
      </w:pPr>
      <w:bookmarkStart w:colFirst="0" w:colLast="0" w:name="_ypedfkrqgf43" w:id="1"/>
      <w:bookmarkEnd w:id="1"/>
      <w:r w:rsidDel="00000000" w:rsidR="00000000" w:rsidRPr="00000000">
        <w:rPr>
          <w:rtl w:val="0"/>
        </w:rPr>
        <w:t xml:space="preserve">Introduction: The Benton County Approach</w:t>
      </w:r>
    </w:p>
    <w:p w:rsidR="00000000" w:rsidDel="00000000" w:rsidP="00000000" w:rsidRDefault="00000000" w:rsidRPr="00000000" w14:paraId="00000003">
      <w:pPr>
        <w:rPr/>
      </w:pPr>
      <w:r w:rsidDel="00000000" w:rsidR="00000000" w:rsidRPr="00000000">
        <w:rPr>
          <w:rtl w:val="0"/>
        </w:rPr>
        <w:t xml:space="preserve">This document is the authoritative internal reference for Benton County’s market-calibrated cost modeling workflow. It provides a comprehensive guide to the principles, processes, and governance protocols that define our approach to property valuation.The primary goal of this methodology is not to replicate theoretical replacement costs from a vendor manual. Instead, our objective is to produce  </w:t>
      </w:r>
      <w:r w:rsidDel="00000000" w:rsidR="00000000" w:rsidRPr="00000000">
        <w:rPr>
          <w:b w:val="1"/>
          <w:bCs w:val="1"/>
          <w:rtl w:val="0"/>
        </w:rPr>
        <w:t xml:space="preserve">defensible contributory values</w:t>
      </w:r>
      <w:r w:rsidDel="00000000" w:rsidR="00000000" w:rsidRPr="00000000">
        <w:rPr>
          <w:rtl w:val="0"/>
        </w:rPr>
        <w:t xml:space="preserve">  that accurately track the local market while structurally ensuring fairness and equity across all property types and value tiers. Our system is built upon three foundational pillars:</w:t>
      </w:r>
    </w:p>
    <w:p w:rsidR="00000000" w:rsidDel="00000000" w:rsidP="00000000" w:rsidRDefault="00000000" w:rsidRPr="00000000" w14:paraId="00000004">
      <w:pPr>
        <w:numPr>
          <w:ilvl w:val="0"/>
          <w:numId w:val="10"/>
        </w:numPr>
        <w:ind w:left="720" w:hanging="360"/>
        <w:rPr>
          <w:u w:val="none"/>
        </w:rPr>
      </w:pPr>
      <w:r w:rsidDel="00000000" w:rsidR="00000000" w:rsidRPr="00000000">
        <w:rPr>
          <w:b w:val="1"/>
          <w:bCs w:val="1"/>
          <w:rtl w:val="0"/>
        </w:rPr>
        <w:t xml:space="preserve">Market Alignment:</w:t>
      </w:r>
      <w:r w:rsidDel="00000000" w:rsidR="00000000" w:rsidRPr="00000000">
        <w:rPr>
          <w:rtl w:val="0"/>
        </w:rPr>
        <w:t xml:space="preserve">  All valuation parameters are calibrated using verified, arms-length market sales. The market itself is the ultimate source of truth for determining value.</w:t>
      </w:r>
    </w:p>
    <w:p w:rsidR="00000000" w:rsidDel="00000000" w:rsidP="00000000" w:rsidRDefault="00000000" w:rsidRPr="00000000" w14:paraId="00000005">
      <w:pPr>
        <w:numPr>
          <w:ilvl w:val="0"/>
          <w:numId w:val="10"/>
        </w:numPr>
        <w:ind w:left="720" w:hanging="360"/>
        <w:rPr>
          <w:u w:val="none"/>
        </w:rPr>
      </w:pPr>
      <w:r w:rsidDel="00000000" w:rsidR="00000000" w:rsidRPr="00000000">
        <w:rPr>
          <w:b w:val="1"/>
          <w:bCs w:val="1"/>
          <w:rtl w:val="0"/>
        </w:rPr>
        <w:t xml:space="preserve">Equity Protection:</w:t>
      </w:r>
      <w:r w:rsidDel="00000000" w:rsidR="00000000" w:rsidRPr="00000000">
        <w:rPr>
          <w:rtl w:val="0"/>
        </w:rPr>
        <w:t xml:space="preserve">  We employ scale-sensitive components (the “% of Base” method) and conduct explicit, mandatory vertical equity testing to prevent the systemic over-assessment of low-value properties and under-assessment of high-value properties.</w:t>
      </w:r>
    </w:p>
    <w:p w:rsidR="00000000" w:rsidDel="00000000" w:rsidP="00000000" w:rsidRDefault="00000000" w:rsidRPr="00000000" w14:paraId="00000006">
      <w:pPr>
        <w:numPr>
          <w:ilvl w:val="0"/>
          <w:numId w:val="10"/>
        </w:numPr>
        <w:ind w:left="720" w:hanging="360"/>
        <w:rPr>
          <w:u w:val="none"/>
        </w:rPr>
      </w:pPr>
      <w:r w:rsidDel="00000000" w:rsidR="00000000" w:rsidRPr="00000000">
        <w:rPr>
          <w:b w:val="1"/>
          <w:bCs w:val="1"/>
          <w:rtl w:val="0"/>
        </w:rPr>
        <w:t xml:space="preserve">Governance &amp; Stability:</w:t>
      </w:r>
      <w:r w:rsidDel="00000000" w:rsidR="00000000" w:rsidRPr="00000000">
        <w:rPr>
          <w:rtl w:val="0"/>
        </w:rPr>
        <w:t xml:space="preserve">  The entire system is managed through standardized scoring for inputs, a disciplined process for modeling only "true drivers" of value, and a clear audit trail for all model parameters, ensuring repeatability and defensibility.Our methodology operates as a continuous, disciplined cycle designed for constant improvement and market relevance.</w:t>
      </w:r>
      <w:r w:rsidDel="00000000" w:rsidR="00000000" w:rsidRPr="00000000">
        <w:rPr>
          <w:rFonts w:ascii="Arial Unicode MS" w:cs="Arial Unicode MS" w:eastAsia="Arial Unicode MS" w:hAnsi="Arial Unicode MS"/>
          <w:b w:val="1"/>
          <w:bCs w:val="1"/>
          <w:rtl w:val="0"/>
        </w:rPr>
        <w:t xml:space="preserve">Build → Calibrate → Validate → Govern → Publish (internally) → Monitor → Recalibrate</w:t>
      </w:r>
      <w:r w:rsidDel="00000000" w:rsidR="00000000" w:rsidRPr="00000000">
        <w:rPr>
          <w:rtl w:val="0"/>
        </w:rPr>
        <w:t xml:space="preserve">Mastering this process is essential for every member of our team. It ensures consistency in our work, protects the integrity of our models, and guarantees the defensibility of every assessment we produce.</w:t>
      </w:r>
    </w:p>
    <w:p w:rsidR="00000000" w:rsidDel="00000000" w:rsidP="00000000" w:rsidRDefault="00000000" w:rsidRPr="00000000" w14:paraId="00000007">
      <w:pPr>
        <w:pStyle w:val="Heading4"/>
        <w:rPr/>
      </w:pPr>
      <w:bookmarkStart w:colFirst="0" w:colLast="0" w:name="_9q750ypd3t8v" w:id="2"/>
      <w:bookmarkEnd w:id="2"/>
      <w:r w:rsidDel="00000000" w:rsidR="00000000" w:rsidRPr="00000000">
        <w:rPr>
          <w:rtl w:val="0"/>
        </w:rPr>
        <w:t xml:space="preserve">1.0 Foundational Principles: Why We Model This Way</w:t>
      </w:r>
    </w:p>
    <w:p w:rsidR="00000000" w:rsidDel="00000000" w:rsidP="00000000" w:rsidRDefault="00000000" w:rsidRPr="00000000" w14:paraId="00000008">
      <w:pPr>
        <w:rPr/>
      </w:pPr>
      <w:r w:rsidDel="00000000" w:rsidR="00000000" w:rsidRPr="00000000">
        <w:rPr>
          <w:rtl w:val="0"/>
        </w:rPr>
        <w:t xml:space="preserve">Understanding the core philosophy behind our methodology is critical to its successful application. This section details the "why" behind our specific choices, focusing on how our approach is deliberately designed to correct common failures in mass appraisal and achieve structural fairness.</w:t>
      </w:r>
    </w:p>
    <w:p w:rsidR="00000000" w:rsidDel="00000000" w:rsidP="00000000" w:rsidRDefault="00000000" w:rsidRPr="00000000" w14:paraId="00000009">
      <w:pPr>
        <w:pStyle w:val="Heading6"/>
        <w:rPr/>
      </w:pPr>
      <w:bookmarkStart w:colFirst="0" w:colLast="0" w:name="_2xl0sxwlusk7" w:id="3"/>
      <w:bookmarkEnd w:id="3"/>
      <w:r w:rsidDel="00000000" w:rsidR="00000000" w:rsidRPr="00000000">
        <w:rPr>
          <w:rtl w:val="0"/>
        </w:rPr>
        <w:t xml:space="preserve">The Problem of "The Lump-Sum Fallacy"</w:t>
      </w:r>
    </w:p>
    <w:p w:rsidR="00000000" w:rsidDel="00000000" w:rsidP="00000000" w:rsidRDefault="00000000" w:rsidRPr="00000000" w14:paraId="0000000A">
      <w:pPr>
        <w:rPr/>
      </w:pPr>
      <w:r w:rsidDel="00000000" w:rsidR="00000000" w:rsidRPr="00000000">
        <w:rPr>
          <w:rtl w:val="0"/>
        </w:rPr>
        <w:t xml:space="preserve">Many cost systems fail to achieve vertical equity because they treat property components as flat, lump-sum add-ons. This creates a predictable and regressive pattern of unfairness. For example, applying a flat $6,000 value for a "covered patio" might seem reasonable, but it creates  </w:t>
      </w:r>
      <w:r w:rsidDel="00000000" w:rsidR="00000000" w:rsidRPr="00000000">
        <w:rPr>
          <w:b w:val="1"/>
          <w:bCs w:val="1"/>
          <w:rtl w:val="0"/>
        </w:rPr>
        <w:t xml:space="preserve">over-assessment pressure</w:t>
      </w:r>
      <w:r w:rsidDel="00000000" w:rsidR="00000000" w:rsidRPr="00000000">
        <w:rPr>
          <w:rtl w:val="0"/>
        </w:rPr>
        <w:t xml:space="preserve">  at the low end of the market and  </w:t>
      </w:r>
      <w:r w:rsidDel="00000000" w:rsidR="00000000" w:rsidRPr="00000000">
        <w:rPr>
          <w:b w:val="1"/>
          <w:bCs w:val="1"/>
          <w:rtl w:val="0"/>
        </w:rPr>
        <w:t xml:space="preserve">under-assessment pressure</w:t>
      </w:r>
      <w:r w:rsidDel="00000000" w:rsidR="00000000" w:rsidRPr="00000000">
        <w:rPr>
          <w:rtl w:val="0"/>
        </w:rPr>
        <w:t xml:space="preserve">  at the high end. This systemic mismatch is a primary driver of vertical inequity, where assessment accuracy varies systematically by property value.</w:t>
      </w:r>
    </w:p>
    <w:p w:rsidR="00000000" w:rsidDel="00000000" w:rsidP="00000000" w:rsidRDefault="00000000" w:rsidRPr="00000000" w14:paraId="0000000B">
      <w:pPr>
        <w:pStyle w:val="Heading6"/>
        <w:rPr/>
      </w:pPr>
      <w:bookmarkStart w:colFirst="0" w:colLast="0" w:name="_4bcy2enjmwt6" w:id="4"/>
      <w:bookmarkEnd w:id="4"/>
      <w:r w:rsidDel="00000000" w:rsidR="00000000" w:rsidRPr="00000000">
        <w:rPr>
          <w:rtl w:val="0"/>
        </w:rPr>
        <w:t xml:space="preserve">The Solution: The "% of Base" Scaling Principle</w:t>
      </w:r>
    </w:p>
    <w:p w:rsidR="00000000" w:rsidDel="00000000" w:rsidP="00000000" w:rsidRDefault="00000000" w:rsidRPr="00000000" w14:paraId="0000000C">
      <w:pPr>
        <w:rPr/>
      </w:pPr>
      <w:r w:rsidDel="00000000" w:rsidR="00000000" w:rsidRPr="00000000">
        <w:rPr>
          <w:rtl w:val="0"/>
        </w:rPr>
        <w:t xml:space="preserve">Our core idea is a fundamental departure from traditional costing. For Benton County,  </w:t>
      </w:r>
      <w:r w:rsidDel="00000000" w:rsidR="00000000" w:rsidRPr="00000000">
        <w:rPr>
          <w:b w:val="1"/>
          <w:bCs w:val="1"/>
          <w:rtl w:val="0"/>
        </w:rPr>
        <w:t xml:space="preserve">cost is not "what it costs," cost is "what the market recognizes."</w:t>
      </w:r>
      <w:r w:rsidDel="00000000" w:rsidR="00000000" w:rsidRPr="00000000">
        <w:rPr>
          <w:rtl w:val="0"/>
        </w:rPr>
        <w:t xml:space="preserve">  To encode this principle, we follow a simple but powerful rule: components that buyers value  </w:t>
      </w:r>
      <w:r w:rsidDel="00000000" w:rsidR="00000000" w:rsidRPr="00000000">
        <w:rPr>
          <w:i w:val="1"/>
          <w:iCs w:val="1"/>
          <w:rtl w:val="0"/>
        </w:rPr>
        <w:t xml:space="preserve">in proportion to the overall home</w:t>
      </w:r>
      <w:r w:rsidDel="00000000" w:rsidR="00000000" w:rsidRPr="00000000">
        <w:rPr>
          <w:rtl w:val="0"/>
        </w:rPr>
        <w:t xml:space="preserve">  must be encoded as a  </w:t>
      </w:r>
      <w:r w:rsidDel="00000000" w:rsidR="00000000" w:rsidRPr="00000000">
        <w:rPr>
          <w:b w:val="1"/>
          <w:bCs w:val="1"/>
          <w:rtl w:val="0"/>
        </w:rPr>
        <w:t xml:space="preserve">% of base</w:t>
      </w:r>
      <w:r w:rsidDel="00000000" w:rsidR="00000000" w:rsidRPr="00000000">
        <w:rPr>
          <w:rtl w:val="0"/>
        </w:rPr>
        <w:t xml:space="preserve">  value, not a flat dollar amount.This method is designed to structurally fix three classic equity traps:</w:t>
      </w:r>
    </w:p>
    <w:p w:rsidR="00000000" w:rsidDel="00000000" w:rsidP="00000000" w:rsidRDefault="00000000" w:rsidRPr="00000000" w14:paraId="0000000D">
      <w:pPr>
        <w:numPr>
          <w:ilvl w:val="0"/>
          <w:numId w:val="7"/>
        </w:numPr>
        <w:ind w:left="720" w:hanging="360"/>
        <w:rPr>
          <w:u w:val="none"/>
        </w:rPr>
      </w:pPr>
      <w:r w:rsidDel="00000000" w:rsidR="00000000" w:rsidRPr="00000000">
        <w:rPr>
          <w:b w:val="1"/>
          <w:bCs w:val="1"/>
          <w:rtl w:val="0"/>
        </w:rPr>
        <w:t xml:space="preserve">It prevents low-end over-assessment.</w:t>
      </w:r>
      <w:r w:rsidDel="00000000" w:rsidR="00000000" w:rsidRPr="00000000">
        <w:rPr>
          <w:rtl w:val="0"/>
        </w:rPr>
        <w:t xml:space="preserve">  By scaling down automatically for smaller or lower-cost homes, it ensures component values are proportional and fair.</w:t>
      </w:r>
    </w:p>
    <w:p w:rsidR="00000000" w:rsidDel="00000000" w:rsidP="00000000" w:rsidRDefault="00000000" w:rsidRPr="00000000" w14:paraId="0000000E">
      <w:pPr>
        <w:numPr>
          <w:ilvl w:val="0"/>
          <w:numId w:val="7"/>
        </w:numPr>
        <w:ind w:left="720" w:hanging="360"/>
        <w:rPr>
          <w:u w:val="none"/>
        </w:rPr>
      </w:pPr>
      <w:r w:rsidDel="00000000" w:rsidR="00000000" w:rsidRPr="00000000">
        <w:rPr>
          <w:b w:val="1"/>
          <w:bCs w:val="1"/>
          <w:rtl w:val="0"/>
        </w:rPr>
        <w:t xml:space="preserve">It prevents high-end under-assessment.</w:t>
      </w:r>
      <w:r w:rsidDel="00000000" w:rsidR="00000000" w:rsidRPr="00000000">
        <w:rPr>
          <w:rtl w:val="0"/>
        </w:rPr>
        <w:t xml:space="preserve">  It scales up for higher-cost homes, accurately reflecting the market’s willingness to pay more for features on premium properties.</w:t>
      </w:r>
    </w:p>
    <w:p w:rsidR="00000000" w:rsidDel="00000000" w:rsidP="00000000" w:rsidRDefault="00000000" w:rsidRPr="00000000" w14:paraId="0000000F">
      <w:pPr>
        <w:numPr>
          <w:ilvl w:val="0"/>
          <w:numId w:val="7"/>
        </w:numPr>
        <w:ind w:left="720" w:hanging="360"/>
        <w:rPr>
          <w:u w:val="none"/>
        </w:rPr>
      </w:pPr>
      <w:r w:rsidDel="00000000" w:rsidR="00000000" w:rsidRPr="00000000">
        <w:rPr>
          <w:b w:val="1"/>
          <w:bCs w:val="1"/>
          <w:rtl w:val="0"/>
        </w:rPr>
        <w:t xml:space="preserve">It forces internal consistency.</w:t>
      </w:r>
      <w:r w:rsidDel="00000000" w:rsidR="00000000" w:rsidRPr="00000000">
        <w:rPr>
          <w:rtl w:val="0"/>
        </w:rPr>
        <w:t xml:space="preserve">  The model maintains its structural integrity across different neighborhoods and vintages, making it more stable and easier to adjust as markets move.</w:t>
      </w:r>
    </w:p>
    <w:p w:rsidR="00000000" w:rsidDel="00000000" w:rsidP="00000000" w:rsidRDefault="00000000" w:rsidRPr="00000000" w14:paraId="00000010">
      <w:pPr>
        <w:pStyle w:val="Heading6"/>
        <w:rPr/>
      </w:pPr>
      <w:bookmarkStart w:colFirst="0" w:colLast="0" w:name="_e3hun0klc56z" w:id="5"/>
      <w:bookmarkEnd w:id="5"/>
      <w:r w:rsidDel="00000000" w:rsidR="00000000" w:rsidRPr="00000000">
        <w:rPr>
          <w:rtl w:val="0"/>
        </w:rPr>
        <w:t xml:space="preserve">Objective Scoring: A Critical Enabler</w:t>
      </w:r>
    </w:p>
    <w:p w:rsidR="00000000" w:rsidDel="00000000" w:rsidP="00000000" w:rsidRDefault="00000000" w:rsidRPr="00000000" w14:paraId="00000011">
      <w:pPr>
        <w:rPr/>
      </w:pPr>
      <w:r w:rsidDel="00000000" w:rsidR="00000000" w:rsidRPr="00000000">
        <w:rPr>
          <w:rtl w:val="0"/>
        </w:rPr>
        <w:t xml:space="preserve">One of our system's "quiet superpowers" is the use of objective scoring calculators to determine Quality and Condition grades. A %-of-base system only works if the base is scaled correctly, and many jurisdictions fail because they keep subjective grading practices that inject noise right where precision is needed. Moving away from subjective judgments provides three critical benefits:</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Repeatability:</w:t>
      </w:r>
      <w:r w:rsidDel="00000000" w:rsidR="00000000" w:rsidRPr="00000000">
        <w:rPr>
          <w:rtl w:val="0"/>
        </w:rPr>
        <w:t xml:space="preserve">  Different appraisers are far more likely to arrive at the same score for the same property.</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Auditability:</w:t>
      </w:r>
      <w:r w:rsidDel="00000000" w:rsidR="00000000" w:rsidRPr="00000000">
        <w:rPr>
          <w:rtl w:val="0"/>
        </w:rPr>
        <w:t xml:space="preserve">  The derivation of every score can be documented and explained.</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Model Stability:</w:t>
      </w:r>
      <w:r w:rsidDel="00000000" w:rsidR="00000000" w:rsidRPr="00000000">
        <w:rPr>
          <w:rtl w:val="0"/>
        </w:rPr>
        <w:t xml:space="preserve">  It eliminates the noise and "category boundary chaos" that subjective grading injects, which often distorts value tiers and creates artificial vertical inequity.</w:t>
      </w:r>
    </w:p>
    <w:p w:rsidR="00000000" w:rsidDel="00000000" w:rsidP="00000000" w:rsidRDefault="00000000" w:rsidRPr="00000000" w14:paraId="00000015">
      <w:pPr>
        <w:pStyle w:val="Heading6"/>
        <w:rPr/>
      </w:pPr>
      <w:bookmarkStart w:colFirst="0" w:colLast="0" w:name="_g02uwqg50ntp" w:id="6"/>
      <w:bookmarkEnd w:id="6"/>
      <w:r w:rsidDel="00000000" w:rsidR="00000000" w:rsidRPr="00000000">
        <w:rPr>
          <w:rtl w:val="0"/>
        </w:rPr>
        <w:t xml:space="preserve">Market Calibration vs. "Chasing the Ratio"</w:t>
      </w:r>
    </w:p>
    <w:p w:rsidR="00000000" w:rsidDel="00000000" w:rsidP="00000000" w:rsidRDefault="00000000" w:rsidRPr="00000000" w14:paraId="00000016">
      <w:pPr>
        <w:rPr/>
      </w:pPr>
      <w:r w:rsidDel="00000000" w:rsidR="00000000" w:rsidRPr="00000000">
        <w:rPr>
          <w:rtl w:val="0"/>
        </w:rPr>
        <w:t xml:space="preserve">The most important distinction to make is this: our approach is not the superficial practice of "chasing the ratio."</w:t>
      </w:r>
    </w:p>
    <w:p w:rsidR="00000000" w:rsidDel="00000000" w:rsidP="00000000" w:rsidRDefault="00000000" w:rsidRPr="00000000" w14:paraId="00000017">
      <w:pPr>
        <w:numPr>
          <w:ilvl w:val="0"/>
          <w:numId w:val="11"/>
        </w:numPr>
        <w:ind w:left="720" w:hanging="360"/>
        <w:rPr>
          <w:u w:val="none"/>
        </w:rPr>
      </w:pPr>
      <w:r w:rsidDel="00000000" w:rsidR="00000000" w:rsidRPr="00000000">
        <w:rPr>
          <w:b w:val="1"/>
          <w:bCs w:val="1"/>
          <w:rtl w:val="0"/>
        </w:rPr>
        <w:t xml:space="preserve">Chasing the ratio</w:t>
      </w:r>
      <w:r w:rsidDel="00000000" w:rsidR="00000000" w:rsidRPr="00000000">
        <w:rPr>
          <w:rtl w:val="0"/>
        </w:rPr>
        <w:t xml:space="preserve">  is the reactive process of adjusting values just to make the overall median assessment level look correct.</w:t>
      </w:r>
    </w:p>
    <w:p w:rsidR="00000000" w:rsidDel="00000000" w:rsidP="00000000" w:rsidRDefault="00000000" w:rsidRPr="00000000" w14:paraId="00000018">
      <w:pPr>
        <w:numPr>
          <w:ilvl w:val="0"/>
          <w:numId w:val="11"/>
        </w:numPr>
        <w:ind w:left="720" w:hanging="360"/>
        <w:rPr>
          <w:u w:val="none"/>
        </w:rPr>
      </w:pPr>
      <w:r w:rsidDel="00000000" w:rsidR="00000000" w:rsidRPr="00000000">
        <w:rPr>
          <w:b w:val="1"/>
          <w:bCs w:val="1"/>
          <w:rtl w:val="0"/>
        </w:rPr>
        <w:t xml:space="preserve">Market calibration</w:t>
      </w:r>
      <w:r w:rsidDel="00000000" w:rsidR="00000000" w:rsidRPr="00000000">
        <w:rPr>
          <w:rtl w:val="0"/>
        </w:rPr>
        <w:t xml:space="preserve"> , our method, is the disciplined process of adjusting the  </w:t>
      </w:r>
      <w:r w:rsidDel="00000000" w:rsidR="00000000" w:rsidRPr="00000000">
        <w:rPr>
          <w:i w:val="1"/>
          <w:iCs w:val="1"/>
          <w:rtl w:val="0"/>
        </w:rPr>
        <w:t xml:space="preserve">entire value distribution</w:t>
      </w:r>
      <w:r w:rsidDel="00000000" w:rsidR="00000000" w:rsidRPr="00000000">
        <w:rPr>
          <w:rtl w:val="0"/>
        </w:rPr>
        <w:t xml:space="preserve">  to ensure it behaves correctly and fairly across all neighborhoods, property types, and price levels.These foundational principles are not merely technical choices; they represent a deliberate and unwavering commitment to an equitable, explainable, and defensible assessment system.</w:t>
      </w:r>
    </w:p>
    <w:p w:rsidR="00000000" w:rsidDel="00000000" w:rsidP="00000000" w:rsidRDefault="00000000" w:rsidRPr="00000000" w14:paraId="00000019">
      <w:pPr>
        <w:pStyle w:val="Heading4"/>
        <w:rPr/>
      </w:pPr>
      <w:bookmarkStart w:colFirst="0" w:colLast="0" w:name="_refzqaqnnjii" w:id="7"/>
      <w:bookmarkEnd w:id="7"/>
      <w:r w:rsidDel="00000000" w:rsidR="00000000" w:rsidRPr="00000000">
        <w:rPr>
          <w:rtl w:val="0"/>
        </w:rPr>
        <w:t xml:space="preserve">2.0 The Calibration Workflow: A Step-by-Step Guide</w:t>
      </w:r>
    </w:p>
    <w:p w:rsidR="00000000" w:rsidDel="00000000" w:rsidP="00000000" w:rsidRDefault="00000000" w:rsidRPr="00000000" w14:paraId="0000001A">
      <w:pPr>
        <w:rPr/>
      </w:pPr>
      <w:r w:rsidDel="00000000" w:rsidR="00000000" w:rsidRPr="00000000">
        <w:rPr>
          <w:rtl w:val="0"/>
        </w:rPr>
        <w:t xml:space="preserve">This section is the operational core of this guide. The following steps provide a detailed, sequential walkthrough of the entire market-calibrated cost modeling process, from initial data intake to final governance. Consistent and rigorous execution of this workflow is mandatory for all analysts.</w:t>
      </w:r>
    </w:p>
    <w:p w:rsidR="00000000" w:rsidDel="00000000" w:rsidP="00000000" w:rsidRDefault="00000000" w:rsidRPr="00000000" w14:paraId="0000001B">
      <w:pPr>
        <w:pStyle w:val="Heading5"/>
        <w:rPr/>
      </w:pPr>
      <w:bookmarkStart w:colFirst="0" w:colLast="0" w:name="_6q2zgakrv60x" w:id="8"/>
      <w:bookmarkEnd w:id="8"/>
      <w:r w:rsidDel="00000000" w:rsidR="00000000" w:rsidRPr="00000000">
        <w:rPr>
          <w:rtl w:val="0"/>
        </w:rPr>
        <w:t xml:space="preserve">2.1 Phase I: Foundation and Data Preparation</w:t>
      </w:r>
    </w:p>
    <w:p w:rsidR="00000000" w:rsidDel="00000000" w:rsidP="00000000" w:rsidRDefault="00000000" w:rsidRPr="00000000" w14:paraId="0000001C">
      <w:pPr>
        <w:rPr/>
      </w:pPr>
      <w:r w:rsidDel="00000000" w:rsidR="00000000" w:rsidRPr="00000000">
        <w:rPr>
          <w:rtl w:val="0"/>
        </w:rPr>
        <w:t xml:space="preserve">The integrity of our model depends entirely on the quality of the sales data used for calibration. This phase ensures our foundation is solid, representative, and free of non-market noise.</w:t>
      </w:r>
    </w:p>
    <w:p w:rsidR="00000000" w:rsidDel="00000000" w:rsidP="00000000" w:rsidRDefault="00000000" w:rsidRPr="00000000" w14:paraId="0000001D">
      <w:pPr>
        <w:pStyle w:val="Heading6"/>
        <w:rPr/>
      </w:pPr>
      <w:bookmarkStart w:colFirst="0" w:colLast="0" w:name="_pt8jg6i9p8xz" w:id="9"/>
      <w:bookmarkEnd w:id="9"/>
      <w:r w:rsidDel="00000000" w:rsidR="00000000" w:rsidRPr="00000000">
        <w:rPr>
          <w:rtl w:val="0"/>
        </w:rPr>
        <w:t xml:space="preserve">Building a "Trusted Sales" Calibration Set</w:t>
      </w:r>
    </w:p>
    <w:p w:rsidR="00000000" w:rsidDel="00000000" w:rsidP="00000000" w:rsidRDefault="00000000" w:rsidRPr="00000000" w14:paraId="0000001E">
      <w:pPr>
        <w:numPr>
          <w:ilvl w:val="0"/>
          <w:numId w:val="9"/>
        </w:numPr>
        <w:ind w:left="720" w:hanging="360"/>
        <w:rPr>
          <w:u w:val="none"/>
        </w:rPr>
      </w:pPr>
      <w:r w:rsidDel="00000000" w:rsidR="00000000" w:rsidRPr="00000000">
        <w:rPr>
          <w:b w:val="1"/>
          <w:bCs w:val="1"/>
          <w:rtl w:val="0"/>
        </w:rPr>
        <w:t xml:space="preserve">Sales Intake:</w:t>
      </w:r>
      <w:r w:rsidDel="00000000" w:rsidR="00000000" w:rsidRPr="00000000">
        <w:rPr>
          <w:rtl w:val="0"/>
        </w:rPr>
        <w:t xml:space="preserve">  Import all arms-length sale records. Each record must include key data linkages: the parcel ID, sale date, sale price, and a complete snapshot of the property's physical characteristics as they existed at the time of sale.</w:t>
      </w:r>
    </w:p>
    <w:p w:rsidR="00000000" w:rsidDel="00000000" w:rsidP="00000000" w:rsidRDefault="00000000" w:rsidRPr="00000000" w14:paraId="0000001F">
      <w:pPr>
        <w:numPr>
          <w:ilvl w:val="0"/>
          <w:numId w:val="9"/>
        </w:numPr>
        <w:ind w:left="720" w:hanging="360"/>
        <w:rPr>
          <w:u w:val="none"/>
        </w:rPr>
      </w:pPr>
      <w:r w:rsidDel="00000000" w:rsidR="00000000" w:rsidRPr="00000000">
        <w:rPr>
          <w:b w:val="1"/>
          <w:bCs w:val="1"/>
          <w:rtl w:val="0"/>
        </w:rPr>
        <w:t xml:space="preserve">Sales Qualification:</w:t>
      </w:r>
      <w:r w:rsidDel="00000000" w:rsidR="00000000" w:rsidRPr="00000000">
        <w:rPr>
          <w:rtl w:val="0"/>
        </w:rPr>
        <w:t xml:space="preserve">  Apply a standard set of disqualification rules to filter out transactions that do not reflect true market behavior. This includes:</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Non-arms-length transfers (e.g., family sales, estate settlements)</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Partial interest sales</w:t>
      </w:r>
    </w:p>
    <w:p w:rsidR="00000000" w:rsidDel="00000000" w:rsidP="00000000" w:rsidRDefault="00000000" w:rsidRPr="00000000" w14:paraId="00000022">
      <w:pPr>
        <w:numPr>
          <w:ilvl w:val="0"/>
          <w:numId w:val="9"/>
        </w:numPr>
        <w:ind w:left="720" w:hanging="360"/>
        <w:rPr>
          <w:u w:val="none"/>
        </w:rPr>
      </w:pPr>
      <w:r w:rsidDel="00000000" w:rsidR="00000000" w:rsidRPr="00000000">
        <w:rPr>
          <w:rtl w:val="0"/>
        </w:rPr>
        <w:t xml:space="preserve">Distressed sales and transactions with extreme concessions</w:t>
      </w:r>
    </w:p>
    <w:p w:rsidR="00000000" w:rsidDel="00000000" w:rsidP="00000000" w:rsidRDefault="00000000" w:rsidRPr="00000000" w14:paraId="00000023">
      <w:pPr>
        <w:numPr>
          <w:ilvl w:val="0"/>
          <w:numId w:val="9"/>
        </w:numPr>
        <w:ind w:left="720" w:hanging="360"/>
        <w:rPr>
          <w:u w:val="none"/>
        </w:rPr>
      </w:pPr>
      <w:r w:rsidDel="00000000" w:rsidR="00000000" w:rsidRPr="00000000">
        <w:rPr>
          <w:rtl w:val="0"/>
        </w:rPr>
        <w:t xml:space="preserve">Multiple-parcel sales where value cannot be clearly allocated</w:t>
      </w:r>
    </w:p>
    <w:p w:rsidR="00000000" w:rsidDel="00000000" w:rsidP="00000000" w:rsidRDefault="00000000" w:rsidRPr="00000000" w14:paraId="00000024">
      <w:pPr>
        <w:numPr>
          <w:ilvl w:val="0"/>
          <w:numId w:val="9"/>
        </w:numPr>
        <w:ind w:left="720" w:hanging="360"/>
        <w:rPr>
          <w:u w:val="none"/>
        </w:rPr>
      </w:pPr>
      <w:r w:rsidDel="00000000" w:rsidR="00000000" w:rsidRPr="00000000">
        <w:rPr>
          <w:b w:val="1"/>
          <w:bCs w:val="1"/>
          <w:rtl w:val="0"/>
        </w:rPr>
        <w:t xml:space="preserve">Stratified Representativeness Check:</w:t>
      </w:r>
      <w:r w:rsidDel="00000000" w:rsidR="00000000" w:rsidRPr="00000000">
        <w:rPr>
          <w:rtl w:val="0"/>
        </w:rPr>
        <w:t xml:space="preserve">  Before calibration begins, we must verify that the qualified sales sample is representative of the overall property population. This check prevents sample bias and ensures the model is valid across all key market segments. The sample must adequately cover:</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Neighborhoods and defined market areas</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Value Tiers (lower, middle, upper)</w:t>
      </w:r>
    </w:p>
    <w:p w:rsidR="00000000" w:rsidDel="00000000" w:rsidP="00000000" w:rsidRDefault="00000000" w:rsidRPr="00000000" w14:paraId="00000027">
      <w:pPr>
        <w:numPr>
          <w:ilvl w:val="0"/>
          <w:numId w:val="9"/>
        </w:numPr>
        <w:ind w:left="720" w:hanging="360"/>
        <w:rPr>
          <w:u w:val="none"/>
        </w:rPr>
      </w:pPr>
      <w:r w:rsidDel="00000000" w:rsidR="00000000" w:rsidRPr="00000000">
        <w:rPr>
          <w:rtl w:val="0"/>
        </w:rPr>
        <w:t xml:space="preserve">Property Types (e.g., urban residential, rural residential)</w:t>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Vintage Bands (by year built)</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Size Bands (by square footage)</w:t>
      </w:r>
      <w:r w:rsidDel="00000000" w:rsidR="00000000" w:rsidRPr="00000000">
        <w:rPr>
          <w:b w:val="1"/>
          <w:bCs w:val="1"/>
          <w:rtl w:val="0"/>
        </w:rPr>
        <w:t xml:space="preserve">Defensibility Outcome:</w:t>
      </w:r>
      <w:r w:rsidDel="00000000" w:rsidR="00000000" w:rsidRPr="00000000">
        <w:rPr>
          <w:rtl w:val="0"/>
        </w:rPr>
        <w:t xml:space="preserve">  This rigorous process ensures our sales data is not cherry-picked and provides a crucial, documented defense against any external claims of sample bias.</w:t>
      </w:r>
    </w:p>
    <w:p w:rsidR="00000000" w:rsidDel="00000000" w:rsidP="00000000" w:rsidRDefault="00000000" w:rsidRPr="00000000" w14:paraId="0000002A">
      <w:pPr>
        <w:pStyle w:val="Heading5"/>
        <w:rPr/>
      </w:pPr>
      <w:bookmarkStart w:colFirst="0" w:colLast="0" w:name="_pr8yitfcoqnk" w:id="10"/>
      <w:bookmarkEnd w:id="10"/>
      <w:r w:rsidDel="00000000" w:rsidR="00000000" w:rsidRPr="00000000">
        <w:rPr>
          <w:rtl w:val="0"/>
        </w:rPr>
        <w:t xml:space="preserve">2.2 Phase II: Model Construction and Calibration</w:t>
      </w:r>
    </w:p>
    <w:p w:rsidR="00000000" w:rsidDel="00000000" w:rsidP="00000000" w:rsidRDefault="00000000" w:rsidRPr="00000000" w14:paraId="0000002B">
      <w:pPr>
        <w:rPr/>
      </w:pPr>
      <w:r w:rsidDel="00000000" w:rsidR="00000000" w:rsidRPr="00000000">
        <w:rPr>
          <w:rtl w:val="0"/>
        </w:rPr>
        <w:t xml:space="preserve">With a trusted sales set established, we proceed to build and calibrate the valuation model itself.</w:t>
      </w:r>
    </w:p>
    <w:p w:rsidR="00000000" w:rsidDel="00000000" w:rsidP="00000000" w:rsidRDefault="00000000" w:rsidRPr="00000000" w14:paraId="0000002C">
      <w:pPr>
        <w:pStyle w:val="Heading6"/>
        <w:rPr/>
      </w:pPr>
      <w:bookmarkStart w:colFirst="0" w:colLast="0" w:name="_u6vr87gpo8yc" w:id="11"/>
      <w:bookmarkEnd w:id="11"/>
      <w:r w:rsidDel="00000000" w:rsidR="00000000" w:rsidRPr="00000000">
        <w:rPr>
          <w:rtl w:val="0"/>
        </w:rPr>
        <w:t xml:space="preserve">Establishing the Base Model</w:t>
      </w:r>
    </w:p>
    <w:p w:rsidR="00000000" w:rsidDel="00000000" w:rsidP="00000000" w:rsidRDefault="00000000" w:rsidRPr="00000000" w14:paraId="0000002D">
      <w:pPr>
        <w:rPr/>
      </w:pPr>
      <w:r w:rsidDel="00000000" w:rsidR="00000000" w:rsidRPr="00000000">
        <w:rPr>
          <w:rtl w:val="0"/>
        </w:rPr>
        <w:t xml:space="preserve">The base model is the  </w:t>
      </w:r>
      <w:r w:rsidDel="00000000" w:rsidR="00000000" w:rsidRPr="00000000">
        <w:rPr>
          <w:b w:val="1"/>
          <w:bCs w:val="1"/>
          <w:rtl w:val="0"/>
        </w:rPr>
        <w:t xml:space="preserve">anchor</w:t>
      </w:r>
      <w:r w:rsidDel="00000000" w:rsidR="00000000" w:rsidRPr="00000000">
        <w:rPr>
          <w:rtl w:val="0"/>
        </w:rPr>
        <w:t xml:space="preserve">  of our entire valuation system. It typically represents the value function for the primary structure and serves as the foundation to which all other scaled components are attached. It is built from measurable, objective attributes:  </w:t>
      </w:r>
      <w:r w:rsidDel="00000000" w:rsidR="00000000" w:rsidRPr="00000000">
        <w:rPr>
          <w:b w:val="1"/>
          <w:bCs w:val="1"/>
          <w:rtl w:val="0"/>
        </w:rPr>
        <w:t xml:space="preserve">size, age/effective age, location, quality score, and condition score.</w:t>
      </w:r>
      <w:r w:rsidDel="00000000" w:rsidR="00000000" w:rsidRPr="00000000">
        <w:rPr>
          <w:rtl w:val="0"/>
        </w:rPr>
        <w:t xml:space="preserve">  The initial base value tables are formed using evidence from stratified ratio patterns and regression-supported contribution testing. Because any errors in the base model can be magnified by the "% of Base" scaling, the base model is treated as the  </w:t>
      </w:r>
      <w:r w:rsidDel="00000000" w:rsidR="00000000" w:rsidRPr="00000000">
        <w:rPr>
          <w:b w:val="1"/>
          <w:bCs w:val="1"/>
          <w:rtl w:val="0"/>
        </w:rPr>
        <w:t xml:space="preserve">highest-governance component</w:t>
      </w:r>
      <w:r w:rsidDel="00000000" w:rsidR="00000000" w:rsidRPr="00000000">
        <w:rPr>
          <w:rtl w:val="0"/>
        </w:rPr>
        <w:t xml:space="preserve">  in our system.</w:t>
      </w:r>
    </w:p>
    <w:p w:rsidR="00000000" w:rsidDel="00000000" w:rsidP="00000000" w:rsidRDefault="00000000" w:rsidRPr="00000000" w14:paraId="0000002E">
      <w:pPr>
        <w:pStyle w:val="Heading6"/>
        <w:rPr/>
      </w:pPr>
      <w:bookmarkStart w:colFirst="0" w:colLast="0" w:name="_5nr1p5izdrun" w:id="12"/>
      <w:bookmarkEnd w:id="12"/>
      <w:r w:rsidDel="00000000" w:rsidR="00000000" w:rsidRPr="00000000">
        <w:rPr>
          <w:rtl w:val="0"/>
        </w:rPr>
        <w:t xml:space="preserve">Identifying and Pricing "True Drivers"</w:t>
      </w:r>
    </w:p>
    <w:p w:rsidR="00000000" w:rsidDel="00000000" w:rsidP="00000000" w:rsidRDefault="00000000" w:rsidRPr="00000000" w14:paraId="0000002F">
      <w:pPr>
        <w:rPr/>
      </w:pPr>
      <w:r w:rsidDel="00000000" w:rsidR="00000000" w:rsidRPr="00000000">
        <w:rPr>
          <w:rtl w:val="0"/>
        </w:rPr>
        <w:t xml:space="preserve">To keep our model tight, explainable, and stable, we only price characteristics that are proven to drive value in the market. This discipline makes the model resistant to "junk variables" and reduces inequity driven by data noise. A property characteristic is only included in the model if it passes Benton’s four-part feature selection test:</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It is  </w:t>
      </w:r>
      <w:r w:rsidDel="00000000" w:rsidR="00000000" w:rsidRPr="00000000">
        <w:rPr>
          <w:b w:val="1"/>
          <w:bCs w:val="1"/>
          <w:rtl w:val="0"/>
        </w:rPr>
        <w:t xml:space="preserve">measurable and consistently captured</w:t>
      </w:r>
      <w:r w:rsidDel="00000000" w:rsidR="00000000" w:rsidRPr="00000000">
        <w:rPr>
          <w:rtl w:val="0"/>
        </w:rPr>
        <w:t xml:space="preserve">  in our data.</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It is  </w:t>
      </w:r>
      <w:r w:rsidDel="00000000" w:rsidR="00000000" w:rsidRPr="00000000">
        <w:rPr>
          <w:b w:val="1"/>
          <w:bCs w:val="1"/>
          <w:rtl w:val="0"/>
        </w:rPr>
        <w:t xml:space="preserve">statistically meaningful</w:t>
      </w:r>
      <w:r w:rsidDel="00000000" w:rsidR="00000000" w:rsidRPr="00000000">
        <w:rPr>
          <w:rtl w:val="0"/>
        </w:rPr>
        <w:t xml:space="preserve">  in explaining sale price variations.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It is  </w:t>
      </w:r>
      <w:r w:rsidDel="00000000" w:rsidR="00000000" w:rsidRPr="00000000">
        <w:rPr>
          <w:b w:val="1"/>
          <w:bCs w:val="1"/>
          <w:rtl w:val="0"/>
        </w:rPr>
        <w:t xml:space="preserve">operationally defendable</w:t>
      </w:r>
      <w:r w:rsidDel="00000000" w:rsidR="00000000" w:rsidRPr="00000000">
        <w:rPr>
          <w:rtl w:val="0"/>
        </w:rPr>
        <w:t xml:space="preserve"> , meaning staff can explain its function clearly and without handwaving.</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It is  </w:t>
      </w:r>
      <w:r w:rsidDel="00000000" w:rsidR="00000000" w:rsidRPr="00000000">
        <w:rPr>
          <w:b w:val="1"/>
          <w:bCs w:val="1"/>
          <w:rtl w:val="0"/>
        </w:rPr>
        <w:t xml:space="preserve">stable across time</w:t>
      </w:r>
      <w:r w:rsidDel="00000000" w:rsidR="00000000" w:rsidRPr="00000000">
        <w:rPr>
          <w:rtl w:val="0"/>
        </w:rPr>
        <w:t xml:space="preserve">  and does not produce inconsistent results.Variables that are inconsistent, highly subjective, or weakly correlated to value are removed, absorbed into quality/condition scoring, or handled through broader market segmentation.</w:t>
      </w:r>
    </w:p>
    <w:p w:rsidR="00000000" w:rsidDel="00000000" w:rsidP="00000000" w:rsidRDefault="00000000" w:rsidRPr="00000000" w14:paraId="00000034">
      <w:pPr>
        <w:pStyle w:val="Heading6"/>
        <w:rPr/>
      </w:pPr>
      <w:bookmarkStart w:colFirst="0" w:colLast="0" w:name="_xgcsgbdsr7zl" w:id="13"/>
      <w:bookmarkEnd w:id="13"/>
      <w:r w:rsidDel="00000000" w:rsidR="00000000" w:rsidRPr="00000000">
        <w:rPr>
          <w:rtl w:val="0"/>
        </w:rPr>
        <w:t xml:space="preserve">The Calibration Engine: A Dual-Tool Approach</w:t>
      </w:r>
    </w:p>
    <w:p w:rsidR="00000000" w:rsidDel="00000000" w:rsidP="00000000" w:rsidRDefault="00000000" w:rsidRPr="00000000" w14:paraId="00000035">
      <w:pPr>
        <w:rPr/>
      </w:pPr>
      <w:r w:rsidDel="00000000" w:rsidR="00000000" w:rsidRPr="00000000">
        <w:rPr>
          <w:rtl w:val="0"/>
        </w:rPr>
        <w:t xml:space="preserve">This is the  </w:t>
      </w:r>
      <w:r w:rsidDel="00000000" w:rsidR="00000000" w:rsidRPr="00000000">
        <w:rPr>
          <w:b w:val="1"/>
          <w:bCs w:val="1"/>
          <w:rtl w:val="0"/>
        </w:rPr>
        <w:t xml:space="preserve">market-implied calibration</w:t>
      </w:r>
      <w:r w:rsidDel="00000000" w:rsidR="00000000" w:rsidRPr="00000000">
        <w:rPr>
          <w:rtl w:val="0"/>
        </w:rPr>
        <w:t xml:space="preserve">  step, where we use sales to infer contributory relationships and then encode them into our tables. We are using the market as the measurement device and our cost tables as the operational encoding. To ensure accuracy and robustness, we employ a complementary, "belt and suspenders" framework.</w:t>
      </w:r>
    </w:p>
    <w:p w:rsidR="00000000" w:rsidDel="00000000" w:rsidP="00000000" w:rsidRDefault="00000000" w:rsidRPr="00000000" w14:paraId="00000036">
      <w:pPr>
        <w:numPr>
          <w:ilvl w:val="0"/>
          <w:numId w:val="8"/>
        </w:numPr>
        <w:ind w:left="720" w:hanging="360"/>
        <w:rPr>
          <w:u w:val="none"/>
        </w:rPr>
      </w:pPr>
      <w:r w:rsidDel="00000000" w:rsidR="00000000" w:rsidRPr="00000000">
        <w:rPr>
          <w:b w:val="1"/>
          <w:bCs w:val="1"/>
          <w:rtl w:val="0"/>
        </w:rPr>
        <w:t xml:space="preserve">Regression-Supported Contribution Testing:</w:t>
      </w:r>
      <w:r w:rsidDel="00000000" w:rsidR="00000000" w:rsidRPr="00000000">
        <w:rPr>
          <w:rtl w:val="0"/>
        </w:rPr>
        <w:t xml:space="preserve">  We use regression analysis to confirm the directionality of a feature's impact on value, estimate the magnitude of its contribution, and detect complex interactions between variables.</w:t>
      </w:r>
    </w:p>
    <w:p w:rsidR="00000000" w:rsidDel="00000000" w:rsidP="00000000" w:rsidRDefault="00000000" w:rsidRPr="00000000" w14:paraId="00000037">
      <w:pPr>
        <w:numPr>
          <w:ilvl w:val="0"/>
          <w:numId w:val="8"/>
        </w:numPr>
        <w:ind w:left="720" w:hanging="360"/>
        <w:rPr>
          <w:u w:val="none"/>
        </w:rPr>
      </w:pPr>
      <w:r w:rsidDel="00000000" w:rsidR="00000000" w:rsidRPr="00000000">
        <w:rPr>
          <w:b w:val="1"/>
          <w:bCs w:val="1"/>
          <w:rtl w:val="0"/>
        </w:rPr>
        <w:t xml:space="preserve">Ratio Dashboards and Stratified Diagnostics:</w:t>
      </w:r>
      <w:r w:rsidDel="00000000" w:rsidR="00000000" w:rsidRPr="00000000">
        <w:rPr>
          <w:rtl w:val="0"/>
        </w:rPr>
        <w:t xml:space="preserve">  We use comprehensive ratio study dashboards to verify model performance. These are essential for catching "real world" failures that regression alone can miss, such as neighborhood drift, segment-specific bias, and vertical inequity.Requiring both tools is a professional best practice. Regression can mislead if a sample is narrow or misspecified, while ratio diagnostics ground our statistical estimates in real-world performance across the entire distribution.</w:t>
      </w:r>
    </w:p>
    <w:p w:rsidR="00000000" w:rsidDel="00000000" w:rsidP="00000000" w:rsidRDefault="00000000" w:rsidRPr="00000000" w14:paraId="00000038">
      <w:pPr>
        <w:pStyle w:val="Heading5"/>
        <w:rPr/>
      </w:pPr>
      <w:bookmarkStart w:colFirst="0" w:colLast="0" w:name="_a9lzihgq0zzg" w:id="14"/>
      <w:bookmarkEnd w:id="14"/>
      <w:r w:rsidDel="00000000" w:rsidR="00000000" w:rsidRPr="00000000">
        <w:rPr>
          <w:rtl w:val="0"/>
        </w:rPr>
        <w:t xml:space="preserve">2.3 Phase III: Equity Validation and Audits</w:t>
      </w:r>
    </w:p>
    <w:p w:rsidR="00000000" w:rsidDel="00000000" w:rsidP="00000000" w:rsidRDefault="00000000" w:rsidRPr="00000000" w14:paraId="00000039">
      <w:pPr>
        <w:rPr/>
      </w:pPr>
      <w:r w:rsidDel="00000000" w:rsidR="00000000" w:rsidRPr="00000000">
        <w:rPr>
          <w:rtl w:val="0"/>
        </w:rPr>
        <w:t xml:space="preserve">Once a model is calibrated, it must undergo a mandatory and rigorous fairness audit before it can be approved. This is the part legislators and critics care about, and our documentation must be impeccable.</w:t>
      </w:r>
    </w:p>
    <w:p w:rsidR="00000000" w:rsidDel="00000000" w:rsidP="00000000" w:rsidRDefault="00000000" w:rsidRPr="00000000" w14:paraId="0000003A">
      <w:pPr>
        <w:pStyle w:val="Heading6"/>
        <w:rPr/>
      </w:pPr>
      <w:bookmarkStart w:colFirst="0" w:colLast="0" w:name="_alj5x523fs96" w:id="15"/>
      <w:bookmarkEnd w:id="15"/>
      <w:r w:rsidDel="00000000" w:rsidR="00000000" w:rsidRPr="00000000">
        <w:rPr>
          <w:rtl w:val="0"/>
        </w:rPr>
        <w:t xml:space="preserve">Mandatory Vertical Equity Controls</w:t>
      </w:r>
    </w:p>
    <w:p w:rsidR="00000000" w:rsidDel="00000000" w:rsidP="00000000" w:rsidRDefault="00000000" w:rsidRPr="00000000" w14:paraId="0000003B">
      <w:pPr>
        <w:rPr/>
      </w:pPr>
      <w:r w:rsidDel="00000000" w:rsidR="00000000" w:rsidRPr="00000000">
        <w:rPr>
          <w:rtl w:val="0"/>
        </w:rPr>
        <w:t xml:space="preserve">This is a required fairness audit, not an optional step. We actively test the model to prove it is not regressive or progressive across different price tiers.</w:t>
      </w:r>
    </w:p>
    <w:p w:rsidR="00000000" w:rsidDel="00000000" w:rsidP="00000000" w:rsidRDefault="00000000" w:rsidRPr="00000000" w14:paraId="0000003C">
      <w:pPr>
        <w:numPr>
          <w:ilvl w:val="0"/>
          <w:numId w:val="2"/>
        </w:numPr>
        <w:ind w:left="720" w:hanging="360"/>
        <w:rPr>
          <w:u w:val="none"/>
        </w:rPr>
      </w:pPr>
      <w:r w:rsidDel="00000000" w:rsidR="00000000" w:rsidRPr="00000000">
        <w:rPr>
          <w:b w:val="1"/>
          <w:bCs w:val="1"/>
          <w:rtl w:val="0"/>
        </w:rPr>
        <w:t xml:space="preserve">Primary Tests:</w:t>
      </w:r>
      <w:r w:rsidDel="00000000" w:rsidR="00000000" w:rsidRPr="00000000">
        <w:rPr>
          <w:rtl w:val="0"/>
        </w:rPr>
        <w:t xml:space="preserve">  Our audit relies on a standard set of diagnostics: Price-Related Differential (PRD) and Price-Related Bias (PRB) statistics, ratio vs. price plots to visually check for systematic slope, and value-decile median analysis.</w:t>
      </w:r>
    </w:p>
    <w:p w:rsidR="00000000" w:rsidDel="00000000" w:rsidP="00000000" w:rsidRDefault="00000000" w:rsidRPr="00000000" w14:paraId="0000003D">
      <w:pPr>
        <w:numPr>
          <w:ilvl w:val="0"/>
          <w:numId w:val="2"/>
        </w:numPr>
        <w:ind w:left="720" w:hanging="360"/>
        <w:rPr>
          <w:u w:val="none"/>
        </w:rPr>
      </w:pPr>
      <w:r w:rsidDel="00000000" w:rsidR="00000000" w:rsidRPr="00000000">
        <w:rPr>
          <w:b w:val="1"/>
          <w:bCs w:val="1"/>
          <w:rtl w:val="0"/>
        </w:rPr>
        <w:t xml:space="preserve">Corrective Action Principle:</w:t>
      </w:r>
      <w:r w:rsidDel="00000000" w:rsidR="00000000" w:rsidRPr="00000000">
        <w:rPr>
          <w:rtl w:val="0"/>
        </w:rPr>
        <w:t xml:space="preserve">  If a vertical equity issue is detected, we do  </w:t>
      </w:r>
      <w:r w:rsidDel="00000000" w:rsidR="00000000" w:rsidRPr="00000000">
        <w:rPr>
          <w:b w:val="1"/>
          <w:bCs w:val="1"/>
          <w:rtl w:val="0"/>
        </w:rPr>
        <w:t xml:space="preserve">not</w:t>
      </w:r>
      <w:r w:rsidDel="00000000" w:rsidR="00000000" w:rsidRPr="00000000">
        <w:rPr>
          <w:rtl w:val="0"/>
        </w:rPr>
        <w:t xml:space="preserve">  simply adjust the entire system up or down. We perform a root-cause analysis and correct the specific  </w:t>
      </w:r>
      <w:r w:rsidDel="00000000" w:rsidR="00000000" w:rsidRPr="00000000">
        <w:rPr>
          <w:i w:val="1"/>
          <w:iCs w:val="1"/>
          <w:rtl w:val="0"/>
        </w:rPr>
        <w:t xml:space="preserve">driver</w:t>
      </w:r>
      <w:r w:rsidDel="00000000" w:rsidR="00000000" w:rsidRPr="00000000">
        <w:rPr>
          <w:rFonts w:ascii="Arial Unicode MS" w:cs="Arial Unicode MS" w:eastAsia="Arial Unicode MS" w:hAnsi="Arial Unicode MS"/>
          <w:rtl w:val="0"/>
        </w:rPr>
        <w:t xml:space="preserve">  creating the bias. This can include changes to: scaling specification (lump sum → % base), quality/condition boundaries, depreciation behavior, or segment-specific schedules and trending.</w:t>
      </w:r>
    </w:p>
    <w:p w:rsidR="00000000" w:rsidDel="00000000" w:rsidP="00000000" w:rsidRDefault="00000000" w:rsidRPr="00000000" w14:paraId="0000003E">
      <w:pPr>
        <w:pStyle w:val="Heading6"/>
        <w:rPr/>
      </w:pPr>
      <w:bookmarkStart w:colFirst="0" w:colLast="0" w:name="_pqs8oiou9pp3" w:id="16"/>
      <w:bookmarkEnd w:id="16"/>
      <w:r w:rsidDel="00000000" w:rsidR="00000000" w:rsidRPr="00000000">
        <w:rPr>
          <w:rtl w:val="0"/>
        </w:rPr>
        <w:t xml:space="preserve">Horizontal Equity Controls</w:t>
      </w:r>
    </w:p>
    <w:p w:rsidR="00000000" w:rsidDel="00000000" w:rsidP="00000000" w:rsidRDefault="00000000" w:rsidRPr="00000000" w14:paraId="0000003F">
      <w:pPr>
        <w:rPr/>
      </w:pPr>
      <w:r w:rsidDel="00000000" w:rsidR="00000000" w:rsidRPr="00000000">
        <w:rPr>
          <w:rtl w:val="0"/>
        </w:rPr>
        <w:t xml:space="preserve">We also test to ensure that similar properties are treated uniformly. Our key metrics include the Coefficient of Dispersion (COD), median ratios by neighborhood, and GIS-based hotspot maps. These diagnostics serve as a powerful triage tool, helping us identify data coding problems, model segments that require adjustment, and specific areas that need targeted field review.</w:t>
      </w:r>
    </w:p>
    <w:p w:rsidR="00000000" w:rsidDel="00000000" w:rsidP="00000000" w:rsidRDefault="00000000" w:rsidRPr="00000000" w14:paraId="00000040">
      <w:pPr>
        <w:pStyle w:val="Heading5"/>
        <w:rPr/>
      </w:pPr>
      <w:bookmarkStart w:colFirst="0" w:colLast="0" w:name="_xhj05hhh4a6m" w:id="17"/>
      <w:bookmarkEnd w:id="17"/>
      <w:r w:rsidDel="00000000" w:rsidR="00000000" w:rsidRPr="00000000">
        <w:rPr>
          <w:rtl w:val="0"/>
        </w:rPr>
        <w:t xml:space="preserve">2.4 Phase IV: System Maintenance and Governance</w:t>
      </w:r>
    </w:p>
    <w:p w:rsidR="00000000" w:rsidDel="00000000" w:rsidP="00000000" w:rsidRDefault="00000000" w:rsidRPr="00000000" w14:paraId="00000041">
      <w:pPr>
        <w:rPr/>
      </w:pPr>
      <w:r w:rsidDel="00000000" w:rsidR="00000000" w:rsidRPr="00000000">
        <w:rPr>
          <w:rtl w:val="0"/>
        </w:rPr>
        <w:t xml:space="preserve">A valuation model is a living system that requires disciplined maintenance to remain defensible. Our governance protocol is a strategic asset that makes our work resilient to legislative critique and proves it is scientific administration, not politics.</w:t>
      </w:r>
    </w:p>
    <w:p w:rsidR="00000000" w:rsidDel="00000000" w:rsidP="00000000" w:rsidRDefault="00000000" w:rsidRPr="00000000" w14:paraId="00000042">
      <w:pPr>
        <w:pStyle w:val="Heading6"/>
        <w:rPr/>
      </w:pPr>
      <w:bookmarkStart w:colFirst="0" w:colLast="0" w:name="_x55bom8gagpj" w:id="18"/>
      <w:bookmarkEnd w:id="18"/>
      <w:r w:rsidDel="00000000" w:rsidR="00000000" w:rsidRPr="00000000">
        <w:rPr>
          <w:rtl w:val="0"/>
        </w:rPr>
        <w:t xml:space="preserve">Controlled Application of Trending and Time Adjustment</w:t>
      </w:r>
    </w:p>
    <w:p w:rsidR="00000000" w:rsidDel="00000000" w:rsidP="00000000" w:rsidRDefault="00000000" w:rsidRPr="00000000" w14:paraId="00000043">
      <w:pPr>
        <w:rPr/>
      </w:pPr>
      <w:r w:rsidDel="00000000" w:rsidR="00000000" w:rsidRPr="00000000">
        <w:rPr>
          <w:rtl w:val="0"/>
        </w:rPr>
        <w:t xml:space="preserve">To keep our valuations current between full recalibration cycles, we apply market trends in a controlled and documented manner.</w:t>
      </w:r>
    </w:p>
    <w:p w:rsidR="00000000" w:rsidDel="00000000" w:rsidP="00000000" w:rsidRDefault="00000000" w:rsidRPr="00000000" w14:paraId="00000044">
      <w:pPr>
        <w:numPr>
          <w:ilvl w:val="0"/>
          <w:numId w:val="1"/>
        </w:numPr>
        <w:ind w:left="720" w:hanging="360"/>
        <w:rPr>
          <w:u w:val="none"/>
        </w:rPr>
      </w:pPr>
      <w:r w:rsidDel="00000000" w:rsidR="00000000" w:rsidRPr="00000000">
        <w:rPr>
          <w:b w:val="1"/>
          <w:bCs w:val="1"/>
          <w:rtl w:val="0"/>
        </w:rPr>
        <w:t xml:space="preserve">Trend is segmented:</w:t>
      </w:r>
      <w:r w:rsidDel="00000000" w:rsidR="00000000" w:rsidRPr="00000000">
        <w:rPr>
          <w:rtl w:val="0"/>
        </w:rPr>
        <w:t xml:space="preserve">  Trends are never applied uniformly. They are segmented by market area, property cohort, or other factors supported by sales evidence.</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Trend is documented:</w:t>
      </w:r>
      <w:r w:rsidDel="00000000" w:rsidR="00000000" w:rsidRPr="00000000">
        <w:rPr>
          <w:rtl w:val="0"/>
        </w:rPr>
        <w:t xml:space="preserve">  All inputs, outputs, dates, and the rationale for the trend are formally recorded.</w:t>
      </w:r>
    </w:p>
    <w:p w:rsidR="00000000" w:rsidDel="00000000" w:rsidP="00000000" w:rsidRDefault="00000000" w:rsidRPr="00000000" w14:paraId="00000046">
      <w:pPr>
        <w:numPr>
          <w:ilvl w:val="0"/>
          <w:numId w:val="1"/>
        </w:numPr>
        <w:ind w:left="720" w:hanging="360"/>
        <w:rPr>
          <w:u w:val="none"/>
        </w:rPr>
      </w:pPr>
      <w:r w:rsidDel="00000000" w:rsidR="00000000" w:rsidRPr="00000000">
        <w:rPr>
          <w:b w:val="1"/>
          <w:bCs w:val="1"/>
          <w:rtl w:val="0"/>
        </w:rPr>
        <w:t xml:space="preserve">Trend is validated:</w:t>
      </w:r>
      <w:r w:rsidDel="00000000" w:rsidR="00000000" w:rsidRPr="00000000">
        <w:rPr>
          <w:rtl w:val="0"/>
        </w:rPr>
        <w:t xml:space="preserve">  After a trend is applied, we conduct a full suite of ratio checks to validate its performance.</w:t>
      </w:r>
    </w:p>
    <w:p w:rsidR="00000000" w:rsidDel="00000000" w:rsidP="00000000" w:rsidRDefault="00000000" w:rsidRPr="00000000" w14:paraId="00000047">
      <w:pPr>
        <w:pStyle w:val="Heading6"/>
        <w:rPr/>
      </w:pPr>
      <w:bookmarkStart w:colFirst="0" w:colLast="0" w:name="_t5c4just5rpr" w:id="19"/>
      <w:bookmarkEnd w:id="19"/>
      <w:r w:rsidDel="00000000" w:rsidR="00000000" w:rsidRPr="00000000">
        <w:rPr>
          <w:rtl w:val="0"/>
        </w:rPr>
        <w:t xml:space="preserve">Governance and Change Control Protocol</w:t>
      </w:r>
    </w:p>
    <w:p w:rsidR="00000000" w:rsidDel="00000000" w:rsidP="00000000" w:rsidRDefault="00000000" w:rsidRPr="00000000" w14:paraId="00000048">
      <w:pPr>
        <w:rPr/>
      </w:pPr>
      <w:r w:rsidDel="00000000" w:rsidR="00000000" w:rsidRPr="00000000">
        <w:rPr>
          <w:rtl w:val="0"/>
        </w:rPr>
        <w:t xml:space="preserve">Every change to our valuation models must follow this four-part governance process.</w:t>
      </w:r>
    </w:p>
    <w:p w:rsidR="00000000" w:rsidDel="00000000" w:rsidP="00000000" w:rsidRDefault="00000000" w:rsidRPr="00000000" w14:paraId="00000049">
      <w:pPr>
        <w:numPr>
          <w:ilvl w:val="0"/>
          <w:numId w:val="5"/>
        </w:numPr>
        <w:ind w:left="720" w:hanging="360"/>
        <w:rPr>
          <w:u w:val="none"/>
        </w:rPr>
      </w:pPr>
      <w:r w:rsidDel="00000000" w:rsidR="00000000" w:rsidRPr="00000000">
        <w:rPr>
          <w:b w:val="1"/>
          <w:bCs w:val="1"/>
          <w:rtl w:val="0"/>
        </w:rPr>
        <w:t xml:space="preserve">Table Versioning:</w:t>
      </w:r>
      <w:r w:rsidDel="00000000" w:rsidR="00000000" w:rsidRPr="00000000">
        <w:rPr>
          <w:rtl w:val="0"/>
        </w:rPr>
        <w:t xml:space="preserve">  Every version of a value table is stamped with required metadata: its effective date, the segments it affects, a summary of the change, and references to the calibration evidence that supports it.</w:t>
      </w:r>
    </w:p>
    <w:p w:rsidR="00000000" w:rsidDel="00000000" w:rsidP="00000000" w:rsidRDefault="00000000" w:rsidRPr="00000000" w14:paraId="0000004A">
      <w:pPr>
        <w:numPr>
          <w:ilvl w:val="0"/>
          <w:numId w:val="5"/>
        </w:numPr>
        <w:ind w:left="720" w:hanging="360"/>
        <w:rPr>
          <w:u w:val="none"/>
        </w:rPr>
      </w:pPr>
      <w:r w:rsidDel="00000000" w:rsidR="00000000" w:rsidRPr="00000000">
        <w:rPr>
          <w:b w:val="1"/>
          <w:bCs w:val="1"/>
          <w:rtl w:val="0"/>
        </w:rPr>
        <w:t xml:space="preserve">Annual Calibration Memo:</w:t>
      </w:r>
      <w:r w:rsidDel="00000000" w:rsidR="00000000" w:rsidRPr="00000000">
        <w:rPr>
          <w:rtl w:val="0"/>
        </w:rPr>
        <w:t xml:space="preserve">  A concise internal memo is produced annually to answer four key questions: What changed in the model? Why did it change? What equity tests were run? What was the outcome?</w:t>
      </w:r>
    </w:p>
    <w:p w:rsidR="00000000" w:rsidDel="00000000" w:rsidP="00000000" w:rsidRDefault="00000000" w:rsidRPr="00000000" w14:paraId="0000004B">
      <w:pPr>
        <w:numPr>
          <w:ilvl w:val="0"/>
          <w:numId w:val="5"/>
        </w:numPr>
        <w:ind w:left="720" w:hanging="360"/>
        <w:rPr>
          <w:u w:val="none"/>
        </w:rPr>
      </w:pPr>
      <w:r w:rsidDel="00000000" w:rsidR="00000000" w:rsidRPr="00000000">
        <w:rPr>
          <w:b w:val="1"/>
          <w:bCs w:val="1"/>
          <w:rtl w:val="0"/>
        </w:rPr>
        <w:t xml:space="preserve">Separation of Duties:</w:t>
      </w:r>
      <w:r w:rsidDel="00000000" w:rsidR="00000000" w:rsidRPr="00000000">
        <w:rPr>
          <w:rtl w:val="0"/>
        </w:rPr>
        <w:t xml:space="preserve">  We maintain clear role clarity to ensure integrity. Analysts propose changes, Supervisors approve them, and a separate QA function verifies their implementation and impact.</w:t>
      </w:r>
    </w:p>
    <w:p w:rsidR="00000000" w:rsidDel="00000000" w:rsidP="00000000" w:rsidRDefault="00000000" w:rsidRPr="00000000" w14:paraId="0000004C">
      <w:pPr>
        <w:numPr>
          <w:ilvl w:val="0"/>
          <w:numId w:val="5"/>
        </w:numPr>
        <w:ind w:left="720" w:hanging="360"/>
        <w:rPr>
          <w:u w:val="none"/>
        </w:rPr>
      </w:pPr>
      <w:r w:rsidDel="00000000" w:rsidR="00000000" w:rsidRPr="00000000">
        <w:rPr>
          <w:b w:val="1"/>
          <w:bCs w:val="1"/>
          <w:rtl w:val="0"/>
        </w:rPr>
        <w:t xml:space="preserve">QA Sampling:</w:t>
      </w:r>
      <w:r w:rsidDel="00000000" w:rsidR="00000000" w:rsidRPr="00000000">
        <w:rPr>
          <w:rtl w:val="0"/>
        </w:rPr>
        <w:t xml:space="preserve">  We conduct regular quality assurance checks, including inter-rater scoring audits on Quality and Condition, targeted reviews of outliers, and coding audits on key value drivers.This comprehensive workflow ensures our valuations are not only accurate but also transparent, repeatable, and rigorously controlled from start to finish.</w:t>
      </w:r>
    </w:p>
    <w:p w:rsidR="00000000" w:rsidDel="00000000" w:rsidP="00000000" w:rsidRDefault="00000000" w:rsidRPr="00000000" w14:paraId="0000004D">
      <w:pPr>
        <w:pStyle w:val="Heading4"/>
        <w:rPr/>
      </w:pPr>
      <w:bookmarkStart w:colFirst="0" w:colLast="0" w:name="_k8oobai005v" w:id="20"/>
      <w:bookmarkEnd w:id="20"/>
      <w:r w:rsidDel="00000000" w:rsidR="00000000" w:rsidRPr="00000000">
        <w:rPr>
          <w:rtl w:val="0"/>
        </w:rPr>
        <w:t xml:space="preserve">3.0 Communicating Our Method: Defensibility and Transparency</w:t>
      </w:r>
    </w:p>
    <w:p w:rsidR="00000000" w:rsidDel="00000000" w:rsidP="00000000" w:rsidRDefault="00000000" w:rsidRPr="00000000" w14:paraId="0000004E">
      <w:pPr>
        <w:rPr/>
      </w:pPr>
      <w:r w:rsidDel="00000000" w:rsidR="00000000" w:rsidRPr="00000000">
        <w:rPr>
          <w:rtl w:val="0"/>
        </w:rPr>
        <w:t xml:space="preserve">A technically sound model is not enough; we must also be able to communicate its fairness and rigor to external stakeholders. This section provides the official framework for that communication, ensuring we can prove our methodology is sound without exposing sensitive internal mechanics.</w:t>
      </w:r>
    </w:p>
    <w:p w:rsidR="00000000" w:rsidDel="00000000" w:rsidP="00000000" w:rsidRDefault="00000000" w:rsidRPr="00000000" w14:paraId="0000004F">
      <w:pPr>
        <w:pStyle w:val="Heading5"/>
        <w:rPr/>
      </w:pPr>
      <w:bookmarkStart w:colFirst="0" w:colLast="0" w:name="_nxcaupnyoxc4" w:id="21"/>
      <w:bookmarkEnd w:id="21"/>
      <w:r w:rsidDel="00000000" w:rsidR="00000000" w:rsidRPr="00000000">
        <w:rPr>
          <w:rtl w:val="0"/>
        </w:rPr>
        <w:t xml:space="preserve">Public-Facing Defensibility</w:t>
      </w:r>
    </w:p>
    <w:p w:rsidR="00000000" w:rsidDel="00000000" w:rsidP="00000000" w:rsidRDefault="00000000" w:rsidRPr="00000000" w14:paraId="00000050">
      <w:pPr>
        <w:rPr/>
      </w:pPr>
      <w:r w:rsidDel="00000000" w:rsidR="00000000" w:rsidRPr="00000000">
        <w:rPr>
          <w:rtl w:val="0"/>
        </w:rPr>
        <w:t xml:space="preserve">Our core communication principle is simple: we publish the  </w:t>
      </w:r>
      <w:r w:rsidDel="00000000" w:rsidR="00000000" w:rsidRPr="00000000">
        <w:rPr>
          <w:b w:val="1"/>
          <w:bCs w:val="1"/>
          <w:rtl w:val="0"/>
        </w:rPr>
        <w:t xml:space="preserve">method + results</w:t>
      </w:r>
      <w:r w:rsidDel="00000000" w:rsidR="00000000" w:rsidRPr="00000000">
        <w:rPr>
          <w:rtl w:val="0"/>
        </w:rPr>
        <w:t xml:space="preserve"> , not the internal table numbers. This approach demonstrates transparency and proves fairness without compromising model integrity.</w:t>
      </w:r>
    </w:p>
    <w:p w:rsidR="00000000" w:rsidDel="00000000" w:rsidP="00000000" w:rsidRDefault="00000000" w:rsidRPr="00000000" w14:paraId="00000051">
      <w:pPr>
        <w:numPr>
          <w:ilvl w:val="0"/>
          <w:numId w:val="3"/>
        </w:numPr>
        <w:ind w:left="720" w:hanging="360"/>
        <w:rPr>
          <w:u w:val="none"/>
        </w:rPr>
      </w:pPr>
      <w:r w:rsidDel="00000000" w:rsidR="00000000" w:rsidRPr="00000000">
        <w:rPr>
          <w:b w:val="1"/>
          <w:bCs w:val="1"/>
          <w:rtl w:val="0"/>
        </w:rPr>
        <w:t xml:space="preserve">Use Plain-Language Rationale:</w:t>
      </w:r>
      <w:r w:rsidDel="00000000" w:rsidR="00000000" w:rsidRPr="00000000">
        <w:rPr>
          <w:rtl w:val="0"/>
        </w:rPr>
        <w:t xml:space="preserve">  Explain concepts in accessible terms. For example: "Our system is designed so that the value of features like a patio scales with the home's overall value. Assigning a flat dollar amount to features can create unfairness."</w:t>
      </w:r>
    </w:p>
    <w:p w:rsidR="00000000" w:rsidDel="00000000" w:rsidP="00000000" w:rsidRDefault="00000000" w:rsidRPr="00000000" w14:paraId="00000052">
      <w:pPr>
        <w:numPr>
          <w:ilvl w:val="0"/>
          <w:numId w:val="3"/>
        </w:numPr>
        <w:ind w:left="720" w:hanging="360"/>
        <w:rPr>
          <w:u w:val="none"/>
        </w:rPr>
      </w:pPr>
      <w:r w:rsidDel="00000000" w:rsidR="00000000" w:rsidRPr="00000000">
        <w:rPr>
          <w:b w:val="1"/>
          <w:bCs w:val="1"/>
          <w:rtl w:val="0"/>
        </w:rPr>
        <w:t xml:space="preserve">Publish Performance Outcomes:</w:t>
      </w:r>
      <w:r w:rsidDel="00000000" w:rsidR="00000000" w:rsidRPr="00000000">
        <w:rPr>
          <w:rtl w:val="0"/>
        </w:rPr>
        <w:t xml:space="preserve">  Share key performance metrics, such as overall ratio levels, dispersion statistics (COD), and vertical equity indicators (PRD).</w:t>
      </w:r>
    </w:p>
    <w:p w:rsidR="00000000" w:rsidDel="00000000" w:rsidP="00000000" w:rsidRDefault="00000000" w:rsidRPr="00000000" w14:paraId="00000053">
      <w:pPr>
        <w:numPr>
          <w:ilvl w:val="0"/>
          <w:numId w:val="3"/>
        </w:numPr>
        <w:ind w:left="720" w:hanging="360"/>
        <w:rPr>
          <w:u w:val="none"/>
        </w:rPr>
      </w:pPr>
      <w:r w:rsidDel="00000000" w:rsidR="00000000" w:rsidRPr="00000000">
        <w:rPr>
          <w:b w:val="1"/>
          <w:bCs w:val="1"/>
          <w:rtl w:val="0"/>
        </w:rPr>
        <w:t xml:space="preserve">Emphasize Process Transparency:</w:t>
      </w:r>
      <w:r w:rsidDel="00000000" w:rsidR="00000000" w:rsidRPr="00000000">
        <w:rPr>
          <w:rtl w:val="0"/>
        </w:rPr>
        <w:t xml:space="preserve">  Highlight the key pillars of our system: it is calibrated with market sales, uses standardized scoring to remove subjectivity, and is subject to continuous monitoring and equity testing.</w:t>
      </w:r>
    </w:p>
    <w:p w:rsidR="00000000" w:rsidDel="00000000" w:rsidP="00000000" w:rsidRDefault="00000000" w:rsidRPr="00000000" w14:paraId="00000054">
      <w:pPr>
        <w:pStyle w:val="Heading5"/>
        <w:rPr/>
      </w:pPr>
      <w:bookmarkStart w:colFirst="0" w:colLast="0" w:name="_c7bg8bxvgdku" w:id="22"/>
      <w:bookmarkEnd w:id="22"/>
      <w:r w:rsidDel="00000000" w:rsidR="00000000" w:rsidRPr="00000000">
        <w:rPr>
          <w:rtl w:val="0"/>
        </w:rPr>
        <w:t xml:space="preserve">Official Response to "Affordable Housing" Critiques</w:t>
      </w:r>
    </w:p>
    <w:p w:rsidR="00000000" w:rsidDel="00000000" w:rsidP="00000000" w:rsidRDefault="00000000" w:rsidRPr="00000000" w14:paraId="00000055">
      <w:pPr>
        <w:rPr/>
      </w:pPr>
      <w:r w:rsidDel="00000000" w:rsidR="00000000" w:rsidRPr="00000000">
        <w:rPr>
          <w:rtl w:val="0"/>
        </w:rPr>
        <w:t xml:space="preserve">Discussions about property taxes and affordability often confuse three distinct concepts: Tax Incidence (who bears the burden), Tax Policy (rates and levies), and Assessment Equity (fairness of valuations). The Assessor's Office has direct control only over Assessment Equity.When confronted with critiques that our system harms affordability, the following pre-approved statement must be used. It correctly frames our role and highlights the specific technical safeguards we have in place.We designed the valuation engine specifically to avoid systematic overstatement of contributory values in the entry-level stock by replacing lump-sum component pricing with %-of-base scaling, supported by market calibration and objective scoring.</w:t>
      </w:r>
    </w:p>
    <w:p w:rsidR="00000000" w:rsidDel="00000000" w:rsidP="00000000" w:rsidRDefault="00000000" w:rsidRPr="00000000" w14:paraId="00000056">
      <w:pPr>
        <w:pStyle w:val="Heading5"/>
        <w:rPr/>
      </w:pPr>
      <w:bookmarkStart w:colFirst="0" w:colLast="0" w:name="_qb3vx4owufu" w:id="23"/>
      <w:bookmarkEnd w:id="23"/>
      <w:r w:rsidDel="00000000" w:rsidR="00000000" w:rsidRPr="00000000">
        <w:rPr>
          <w:rtl w:val="0"/>
        </w:rPr>
        <w:t xml:space="preserve">Why Our System Withstands Scrutiny</w:t>
      </w:r>
    </w:p>
    <w:p w:rsidR="00000000" w:rsidDel="00000000" w:rsidP="00000000" w:rsidRDefault="00000000" w:rsidRPr="00000000" w14:paraId="00000057">
      <w:pPr>
        <w:rPr/>
      </w:pPr>
      <w:r w:rsidDel="00000000" w:rsidR="00000000" w:rsidRPr="00000000">
        <w:rPr>
          <w:rtl w:val="0"/>
        </w:rPr>
        <w:t xml:space="preserve">The central message for executives, critics, and oversight bodies is clear, direct, and defensible. Our process is not arbitrary; it is a measurement-based system grounded in market facts.Benton is not “inventing values.”Benton is  </w:t>
      </w:r>
      <w:r w:rsidDel="00000000" w:rsidR="00000000" w:rsidRPr="00000000">
        <w:rPr>
          <w:b w:val="1"/>
          <w:bCs w:val="1"/>
          <w:rtl w:val="0"/>
        </w:rPr>
        <w:t xml:space="preserve">measuring the market</w:t>
      </w:r>
      <w:r w:rsidDel="00000000" w:rsidR="00000000" w:rsidRPr="00000000">
        <w:rPr>
          <w:rtl w:val="0"/>
        </w:rPr>
        <w:t xml:space="preserve">  and encoding those measurements into a governed, repeatable cost framework designed specifically to prevent regressivity and preserve fairness across value tiers.By combining market alignment, active equity protection, and rigorous governance, we have built an assessment system that is simultaneously operationally efficient, explainable to the public, defensible under audit, and structurally fair.</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