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 Change, Assessment Systems, and Property-Tax Incidence:</w:t>
        <w:br/>
        <w:t>Evidence from Benton County’s Calibrated Cost Governance</w:t>
      </w:r>
    </w:p>
    <w:p>
      <w:pPr>
        <w:jc w:val="center"/>
      </w:pPr>
      <w:r>
        <w:rPr>
          <w:i/>
        </w:rPr>
        <w:t>Full research paper (filled draft)</w:t>
      </w:r>
    </w:p>
    <w:p>
      <w:pPr>
        <w:jc w:val="center"/>
      </w:pPr>
      <w:r>
        <w:rPr>
          <w:sz w:val="18"/>
        </w:rPr>
        <w:t>Prepared: January 13, 2026</w:t>
      </w:r>
    </w:p>
    <w:p>
      <w:pPr>
        <w:jc w:val="center"/>
      </w:pPr>
      <w:r>
        <w:rPr>
          <w:sz w:val="18"/>
        </w:rPr>
        <w:t>Benton County Assessor’s Office (draft for internal review)</w:t>
      </w:r>
    </w:p>
    <w:p>
      <w:pPr>
        <w:jc w:val="center"/>
      </w:pPr>
      <w:r>
        <w:rPr>
          <w:sz w:val="18"/>
        </w:rPr>
        <w:t>Workfile/Version: [insert internal tag]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paper connects neighborhood change, assessment performance, and tax-bill outcomes using Benton County’s market-calibrated cost approach and governance system. We integrate (i) ratio-study diagnostics (level, uniformity, and vertical equity), (ii) a decomposition of tax-bill change into value and rate components, and (iii) a fail-closed calibration workflow that documents changes via versioned tables/curves and validates deployments with holdout testing. Using the provided Benton County tax-bill extract for 2022 (N=91,876 parcels), the median parcel tax bill is $2,232 (IQR $683–$3,496) and total billed taxes sum to $274,891,498. Separately, using the 2024 “all subsets” tilt diagnostics (35 subsets; 908 qualified sales), 40% of subsets show statistically significant price-related differential (p&lt;0.05) with a median log-price tilt coefficient of -0.459, indicating where vertical equity stress concentrates. We show how Benton’s governance artifacts—gate-based subset targeting, documented change lists, and before/after validation packets—translate these diagnostics into auditable adjustments while maintaining a sales-chasing firewall. Finally, we outline an equity-lens reporting approach that can incorporate area-level demographics descriptively (with suppression) without using protected-class variables as valuation inputs.</w:t>
      </w:r>
    </w:p>
    <w:p>
      <w:pPr>
        <w:pStyle w:val="Heading2"/>
      </w:pPr>
      <w:r>
        <w:t>Keywords</w:t>
      </w:r>
    </w:p>
    <w:p>
      <w:r>
        <w:t>property tax; mass appraisal; vertical equity; reassessment; neighborhood change; tax incidence; governance; sales chasing; calibrated cost approach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Property tax fairness debates often collapse distinct mechanisms into a single complaint: “the assessor raised my taxes.” In practice,</w:t>
        <w:br/>
        <w:t>a taxpayer’s bill can change because taxable value changes, because levy rates change, or because both change simultaneously.</w:t>
        <w:br/>
        <w:t>At the same time, housing market dynamics—turnover, redevelopment, rapid price growth, and shifting demand—can stress any mass appraisal</w:t>
        <w:br/>
        <w:t>system and create systematic patterns in assessment ratios and vertical equity metrics. Those patterns can be perceived as unfairness</w:t>
        <w:br/>
        <w:t>between neighborhoods or price tiers, and they can intensify skepticism about practices such as “sales chasing.”</w:t>
      </w:r>
    </w:p>
    <w:p>
      <w:r>
        <w:t>This paper frames the problem as an engineering-and-governance question: how should an assessor’s office measure market change,</w:t>
        <w:br/>
        <w:t>detect where performance degrades, and then deploy calibrations in a way that is auditable, repeatable, and explicitly fail-closed?</w:t>
        <w:br/>
        <w:t>We develop that frame using Benton County’s market-calibrated cost approach and a set of standardized governance artifacts</w:t>
        <w:br/>
        <w:t>(Top-subset targeting, documented change lists, before/after validation packets, and a sales-chasing firewall attestation).</w:t>
      </w:r>
    </w:p>
    <w:p>
      <w:r>
        <w:t>We also align our work with two complementary research traditions. First, neighborhood-change research emphasizes how dynamics such as</w:t>
        <w:br/>
        <w:t>gentrification and turnover can interact with assessment systems to produce distributional consequences, including racial inequality in</w:t>
        <w:br/>
        <w:t>property tax burdens. Second, reassessment research emphasizes that property tax incidence depends critically on assessment accuracy:</w:t>
        <w:br/>
        <w:t>even an otherwise proportional (ad valorem) tax becomes regressive or unfair when assessments deviate systematically across value tiers</w:t>
        <w:br/>
        <w:t>or neighborhoods.</w:t>
      </w:r>
    </w:p>
    <w:p>
      <w:pPr>
        <w:pStyle w:val="Heading2"/>
      </w:pPr>
      <w:r>
        <w:t>1.1 Research questions</w:t>
      </w:r>
    </w:p>
    <w:p>
      <w:pPr>
        <w:pStyle w:val="ListNumber"/>
      </w:pPr>
      <w:r>
        <w:t>RQ1: Where does assessment performance degrade when neighborhoods change quickly (turnover, price growth, new construction, dispersion)?</w:t>
      </w:r>
    </w:p>
    <w:p>
      <w:pPr>
        <w:pStyle w:val="ListNumber"/>
      </w:pPr>
      <w:r>
        <w:t>RQ2: Do Benton’s calibration gates and versioned interventions reduce vertical equity defects and instability over time?</w:t>
      </w:r>
    </w:p>
    <w:p>
      <w:pPr>
        <w:pStyle w:val="ListNumber"/>
      </w:pPr>
      <w:r>
        <w:t>RQ3: How much of observed tax-bill change is driven by taxable value versus levy/rate (and their interaction), and how does that vary by value tier and exemption status?</w:t>
      </w:r>
    </w:p>
    <w:p>
      <w:pPr>
        <w:pStyle w:val="ListNumber"/>
      </w:pPr>
      <w:r>
        <w:t>RQ4: How can an assessor report distributional patterns with an equity lens—potentially including area-level demographics descriptively—without using protected-class variables as valuation inputs?</w:t>
      </w:r>
    </w:p>
    <w:p>
      <w:pPr>
        <w:pStyle w:val="Heading2"/>
      </w:pPr>
      <w:r>
        <w:t>1.2 Contributions</w:t>
      </w:r>
    </w:p>
    <w:p>
      <w:r>
        <w:t>(1) A tax-bill decomposition that separates bill changes into value and rate components, suitable for public counter use and for</w:t>
        <w:br/>
        <w:t>distributional analysis (Exhibit/Appendix TAX-1). (2) A neighborhood-change and QA clustering framework that produces triage-ready</w:t>
        <w:br/>
        <w:t>hotspots without embedding demographics into valuation (Exhibit/Appendix NC-1). (3) A governance evidence bundle that operationalizes</w:t>
        <w:br/>
        <w:t>a sales-chasing firewall through scope locks, versioned change logs, and holdout validation (Exhibit/Appendix SC-1, plus D/E/F).</w:t>
        <w:br/>
        <w:t>(4) A matched-pair (stratified matching) audit that enables apples-to-apples performance comparisons across groups/areas after</w:t>
        <w:br/>
        <w:t>holding observable property characteristics constant (Exhibit/Appendix MP-1).</w:t>
      </w:r>
    </w:p>
    <w:p>
      <w:pPr>
        <w:pStyle w:val="Heading1"/>
      </w:pPr>
      <w:r>
        <w:t>2. Institutional Background</w:t>
      </w:r>
    </w:p>
    <w:p>
      <w:pPr>
        <w:pStyle w:val="Heading2"/>
      </w:pPr>
      <w:r>
        <w:t>2.1 Benton’s market-calibrated cost system (overview)</w:t>
      </w:r>
    </w:p>
    <w:p>
      <w:r>
        <w:t>Benton’s internal one-page description of the system summarizes the workflow as follows (excerpted from the internal one-pager):</w:t>
      </w:r>
    </w:p>
    <w:p>
      <w:r>
        <w:t>Benton's Market-Calibrated Cost System</w:t>
        <w:br/>
        <w:t>Inputs -&gt; Calibration -&gt; QA -&gt; Governance (and why it prevents sales chasing while improving vertical equity)</w:t>
        <w:br/>
        <w:t>INPUTS -&gt; CALIBRATION -&gt; QUALITY ASSURANCE -&gt; GOVERNANCE</w:t>
        <w:br/>
        <w:t>Sales file (verified arms-length) Percent-of-Base curves + local cost tablesHoldout tests + equity diagnostics (PRD/PRBC/hVaEnIg)e control, audit trail, independent review</w:t>
        <w:br/>
        <w:t>Core idea</w:t>
        <w:br/>
        <w:t>Benton treats the Cost Approach as a market-calibrated measurement system. The cost model (replacement cost new) is not</w:t>
        <w:br/>
        <w:t>a national table applied to local inventory; it is locally estimated from sales evidence, with only the characteristics that actually</w:t>
        <w:br/>
        <w:t>move price retained. Vertical equity is protected by continuously testing for value-tier bias.</w:t>
        <w:br/>
        <w:t>Anti-sales-chasing controls (what makes it defensible)</w:t>
        <w:br/>
        <w:t>Control What it blocks How you prove it</w:t>
        <w:br/>
        <w:t>Temporal separation Adjusting to individual sales Use a defined study period; lock sales cut-off; document effective date and roll date.</w:t>
        <w:br/>
        <w:t>Holdout/out-of-sample Overfitting the sold set Keep a holdout sample; report MR/COD/PRD/PRB on holdout and on unsold proxies (AVM/neighbor tests).</w:t>
        <w:br/>
        <w:t>Model-first, sale-second Manual tuning to 'hit' one sale Apply changes via tables/curves, not parcel edits; keep parcel-level exceptions rare and logged.</w:t>
        <w:br/>
        <w:t>Strata equity tests Regressivity/progressivity PRD + PRB by price quartile; compare before/after; require neutrality or documented policy rationale.</w:t>
        <w:br/>
        <w:t>Change governance Unreviewed tweaks Version tables; require peer review sign-off; keep a calibration memo for every cycle.</w:t>
        <w:br/>
        <w:t>Where it lives in your workbooks (examples)</w:t>
        <w:br/>
        <w:t>SalesDashboard_Ratio Sheets.xlsx: Raw Data -&gt; Charts | Chris Dashboard Test.xlsx: All Parcels, Ratio Sheet, Analytics,</w:t>
        <w:br/>
        <w:t>Statistics, Overall Neighborhood Ratio | Reval trend sheets: NBHDs, Subdivisions, Ratios per NBHD.</w:t>
      </w:r>
    </w:p>
    <w:p>
      <w:pPr>
        <w:pStyle w:val="Heading2"/>
      </w:pPr>
      <w:r>
        <w:t>2.2 Why governance matters: sales chasing versus controlled calibration</w:t>
      </w:r>
    </w:p>
    <w:p>
      <w:r>
        <w:t>A core concern in public discussions is “sales chasing,” typically understood as adjusting assessed values on sold parcels to match</w:t>
        <w:br/>
        <w:t>sales while leaving unsold parcels lagging. Benton’s governance model is designed to avoid that failure mode by enforcing:</w:t>
        <w:br/>
        <w:t>(i) scope locks (sales cutoff and model lock), (ii) segment-level changes applied through tables/curves/matrices rather than parcel-by-parcel overrides,</w:t>
        <w:br/>
        <w:t>(iii) holdout validation with fail-closed deployment rules, and (iv) a complete versioned change log tied to objective diagnostics.</w:t>
        <w:br/>
        <w:t>These controls make the calibration process auditable and reproducible, and they produce a record that can be reviewed internally,</w:t>
        <w:br/>
        <w:t>by auditors, or in an appeals context.</w:t>
      </w:r>
    </w:p>
    <w:p>
      <w:pPr>
        <w:pStyle w:val="Heading2"/>
      </w:pPr>
      <w:r>
        <w:t>2.3 Key diagnostic definitions</w:t>
      </w:r>
    </w:p>
    <w:p>
      <w:r>
        <w:t>We use standard ratio-study and vertical equity diagnostics that are widely referenced in professional practice:</w:t>
        <w:br/>
        <w:t>median assessment ratio (level), coefficient of dispersion (uniformity), and price-related differential metrics (e.g., PRD/PRB).</w:t>
        <w:br/>
        <w:t>To diagnose vertical equity more directly, we also use tier plots and a controlled “tilt” regression that estimates how assessment</w:t>
        <w:br/>
        <w:t>error varies with price (reported as a slope on log price with a p-value). In this paper, these diagnostics are treated as measurement</w:t>
        <w:br/>
        <w:t>outputs that trigger investigation and governance steps; they are not used to target outcomes for any protected class.</w:t>
      </w:r>
    </w:p>
    <w:p>
      <w:pPr>
        <w:pStyle w:val="Heading1"/>
      </w:pPr>
      <w:r>
        <w:t>3. Related Literature</w:t>
      </w:r>
    </w:p>
    <w:p>
      <w:pPr>
        <w:pStyle w:val="Heading2"/>
      </w:pPr>
      <w:r>
        <w:t>3.1 Neighborhood change and racial inequality in property taxes</w:t>
      </w:r>
    </w:p>
    <w:p>
      <w:r>
        <w:t>The RAND dissertation “Neighborhood Change, Housing Market Dynamics, and Racial Inequality in Property Taxes” situates property tax</w:t>
        <w:br/>
        <w:t>inequality within persistent racial wealth inequality and emphasizes the role of neighborhood change, gentrification, and sales volume.</w:t>
        <w:br/>
        <w:t>Its abstract highlights mechanisms through which local assessment practices, market dynamics, and neighborhood amenities can interact,</w:t>
        <w:br/>
        <w:t>and argues for routine, high-quality reassessment as part of the policy response.</w:t>
      </w:r>
    </w:p>
    <w:p>
      <w:r>
        <w:rPr>
          <w:i/>
          <w:sz w:val="18"/>
        </w:rPr>
        <w:t>Note: Internal excerpt (RAND abstract) used for context:</w:t>
      </w:r>
    </w:p>
    <w:p>
      <w:r>
        <w:t>Abstract</w:t>
        <w:br/>
        <w:t>Persistent racial wealth inequality in the United States is closely tied to differences in</w:t>
        <w:br/>
        <w:t>homeownership rates and property values. Racial inequality in property taxes contribute to this</w:t>
        <w:br/>
        <w:t>inequality yet remain an essential source of revenue for local governments.</w:t>
        <w:br/>
        <w:t>This dissertation investigates the mechanisms and extent of racial inequality in property tax burdens.</w:t>
        <w:br/>
        <w:t>It combines national quantitative analyses with interviews from county assessors in Washington</w:t>
        <w:br/>
        <w:t>State. The study uses administrative datasets, including Zillow’s ZTrax, mortgage application data</w:t>
        <w:br/>
        <w:t>sourced from the Home Mortgage Disclosure Act, and the American Community Survey. To</w:t>
        <w:br/>
        <w:t>analyze properties from a wider range of regions, the research imputes homeowner race using</w:t>
        <w:br/>
        <w:t>RAND’s Bayesian Improved First name-Surname Geocoding algorithm. The study also compares</w:t>
        <w:br/>
        <w:t>models that use imputed race with those that use self-reported race to clarify the strengths and</w:t>
        <w:br/>
        <w:t>limitations of each method. By integrating these methods with census-tract-level socioeconomic</w:t>
        <w:br/>
        <w:t>variables, the research estimates racial gaps in property assessment ratios. The analysis examines how</w:t>
        <w:br/>
        <w:t>sales volume, gentrification, and other neighborhood characteristics affect assessment equity for</w:t>
        <w:br/>
        <w:t>Black, Latino, Asian Pacific Islander, and American Indian/Alaska Native homeowners relative to</w:t>
        <w:br/>
        <w:t>White homeowners.</w:t>
        <w:br/>
        <w:t>The key findings show significant racial disparities in property tax assessments, with minority</w:t>
        <w:br/>
        <w:t>homeowners experiencing higher relative tax burdens in areas with lower housing market activity. In</w:t>
        <w:br/>
        <w:t>census tracts with high sales volume, these gaps are smaller or, in some cases, statistically insignificant</w:t>
        <w:br/>
        <w:t>for certain minority groups. This suggests that increased transaction data and market transparency</w:t>
        <w:br/>
        <w:t>can help reduce assessment inequities.</w:t>
        <w:br/>
        <w:t>Policy recommendations include improving local government data collection and analysis, such as</w:t>
        <w:br/>
        <w:t>using GIS for neighborhood amenities, and advocating for routine, high-quality property</w:t>
        <w:br/>
        <w:t>reassessment. The dissertation concludes that, with targeted interventions and more effective</w:t>
        <w:br/>
        <w:t>administrative procedures, property assessment equity is achievable. Future research should leverage</w:t>
        <w:br/>
        <w:t>natural experiments from changes in reassessment schedules and study homogeneous housing</w:t>
        <w:br/>
        <w:t>developments to better isolate the causal mechanisms behind racial disparities in property taxation.</w:t>
        <w:br/>
        <w:t>ii</w:t>
        <w:br/>
        <w:t>Table of Contents</w:t>
        <w:br/>
        <w:t>Abstract ............................................................................................................................................ ii</w:t>
        <w:br/>
        <w:t>Figures ............................................................................................................................................ vi</w:t>
        <w:br/>
        <w:t>Tables ............................................................................................................................................ vii</w:t>
        <w:br/>
        <w:t>Acknowledgments ......................................................................................................................... viii</w:t>
        <w:br/>
        <w:t>Statement on the Use of Artificial Intelligence ................................................................................. ix</w:t>
        <w:br/>
        <w:t>Chapter One – Policy Problem and Background .............................................................................. 1</w:t>
        <w:br/>
        <w:t>Policy Issue ................................................................................................................................................ 1</w:t>
        <w:br/>
        <w:t>Background ........................................................................................................................................... 2</w:t>
        <w:br/>
        <w:t>Literature Review ................................................................................................................................... 8</w:t>
        <w:br/>
        <w:t>Chapter Two – Main Data Sources and Assembly .......................................................................... 12</w:t>
        <w:br/>
        <w:t>ZTrax ....................................................................................................................................................... 12</w:t>
        <w:br/>
        <w:t>Home Mortgage Disclosure Act ............................................................................................................... 13</w:t>
        <w:br/>
        <w:t>Merging Procedure (Self-Reported Race) ................................................................................................. 13</w:t>
        <w:br/>
        <w:t>Imputed Neighborhood Characteristics .................................................................................................... 14</w:t>
        <w:br/>
        <w:t>Bartik Instrument – Background and Applications .............................................................................. 14</w:t>
        <w:br/>
        <w:t>Variable Imputation Steps .................................................................................................................... 16</w:t>
        <w:br/>
        <w:t>Imputed Homeowner Race ...................................................................................................................... 20</w:t>
        <w:br/>
        <w:t>Bayesian Improved First Name Surname and Geocoding Method ....................................................... 20</w:t>
        <w:br/>
        <w:t>Chapter Three – Estimating Baseline Racial Assessment Gaps ........................................................ 22</w:t>
        <w:br/>
        <w:t>Motivation ............................................................................................................................................... 22</w:t>
        <w:br/>
        <w:t>Assessment Ratios .................................................................................................................................... 23</w:t>
        <w:br/>
        <w:t>Analytic Dataset ....................................................................................................................................... 23</w:t>
        <w:br/>
        <w:t>Differences in Observables Between Samples ....................................................................................... 25</w:t>
        <w:br/>
        <w:t>Additional Steps for Imputed Race Data .............................................................................................. 27</w:t>
        <w:br/>
        <w:t>Estimating Equation ................................................................................................................................ 27</w:t>
        <w:br/>
        <w:t>Results ..................................................................................................................................................... 28</w:t>
        <w:br/>
        <w:t>Self-Reported Results ........................................................................................................................... 28</w:t>
        <w:br/>
        <w:t>Imputed Results ................................................................................................................................... 29</w:t>
        <w:br/>
        <w:t>Conclusion .......................................................................................................................................... 30</w:t>
        <w:br/>
        <w:t>Chapter Four – How do Racial Assessment Gaps Covary with Sales Volume and Gentrification? .. 31</w:t>
        <w:br/>
        <w:t>Motivation ............................................................................................................................................... 31</w:t>
        <w:br/>
        <w:t>Conceptual Models .................................................................................................................................. 32</w:t>
        <w:br/>
        <w:t>Sales Volume ....................................................................................................................................... 32</w:t>
        <w:br/>
        <w:t>Gentrification Components ................................................................................................................. 35</w:t>
        <w:br/>
        <w:t>Estimating Equations ............................................................................................................................... 36</w:t>
        <w:br/>
        <w:t>iii</w:t>
      </w:r>
    </w:p>
    <w:p>
      <w:pPr>
        <w:pStyle w:val="Heading2"/>
      </w:pPr>
      <w:r>
        <w:t>3.2 Reassessment and the importance of assessment accuracy</w:t>
      </w:r>
    </w:p>
    <w:p>
      <w:r>
        <w:t>Christopher Berry’s “Reassessing the Property Tax” emphasizes that the property tax is a major revenue source and is often viewed as</w:t>
        <w:br/>
        <w:t>progressive because it taxes property wealth. However, Berry argues that the practical incidence of the tax hinges on assessment accuracy:</w:t>
        <w:br/>
        <w:t>systematic assessment errors can make the tax regressive (e.g., low-priced properties over-assessed relative to market value) and can</w:t>
        <w:br/>
        <w:t>create inequities even when statutory tax rates are uniform.</w:t>
      </w:r>
    </w:p>
    <w:p>
      <w:r>
        <w:rPr>
          <w:i/>
          <w:sz w:val="18"/>
        </w:rPr>
        <w:t>Note: Internal excerpt (Berry abstract) used for context:</w:t>
      </w:r>
    </w:p>
    <w:p>
      <w:r>
        <w:t>Abstract. The property tax is the single largest source of revenue for American local</w:t>
        <w:br/>
        <w:t>governments. It is designed to be an a d valorem tax. The fairness and accuracy of</w:t>
        <w:br/>
        <w:t>the tax hinges on the quality of property valuation by local assessors. Using data</w:t>
        <w:br/>
        <w:t>from millions of residential real estate transactions, this paper shows that</w:t>
        <w:br/>
        <w:t>assessments are typically regressive, with low-priced properties being assessed at a</w:t>
        <w:br/>
        <w:t>higher value, relative to their actual sale price, than are high-priced properties.</w:t>
        <w:br/>
        <w:t>Within a jurisdiction, homes in the bottom decile of sale price face an assessment</w:t>
        <w:br/>
        <w:t>level, as a proportion of price, that is twice as high as that faced by homes in the</w:t>
        <w:br/>
        <w:t>top decile, on average. As a result, the property tax disproportionately burdens</w:t>
        <w:br/>
        <w:t>owners of less valuable homes. Such regressivity is evident throughout the US. This</w:t>
        <w:br/>
        <w:t>result cannot be explained by measurement error in sale prices, or by explicit policy</w:t>
        <w:br/>
        <w:t>choices, such as assessment limits. Rather, regressivity appears to result from</w:t>
        <w:br/>
        <w:t>limitations in the data and methods used in assessment.</w:t>
        <w:br/>
        <w:t>I am grateful for helpful comments from Bernadette Atuahene, Dan Black, Anthony</w:t>
        <w:br/>
        <w:t>Fowler, Alexander Fouirnaies, Joshua Gottleib, Robert Inman, Damon</w:t>
      </w:r>
    </w:p>
    <w:p>
      <w:pPr>
        <w:pStyle w:val="Heading2"/>
      </w:pPr>
      <w:r>
        <w:t>3.3 How this paper differs</w:t>
      </w:r>
    </w:p>
    <w:p>
      <w:r>
        <w:t>Most academic work observes outcomes (effective tax rates, assessment ratios, spatial inequality) but has limited visibility into the</w:t>
        <w:br/>
        <w:t>internal calibration governance that produces those outcomes. Benton’s contribution is an “audit trail” approach: diagnostics are connected</w:t>
        <w:br/>
        <w:t>to explicit gate triggers, versioned changes, and holdout validation. That structure allows research-style claims to be paired with</w:t>
        <w:br/>
        <w:t>hearing-ready evidence about what changed, why, and how deployment was validated.</w:t>
      </w:r>
    </w:p>
    <w:p>
      <w:pPr>
        <w:pStyle w:val="Heading1"/>
      </w:pPr>
      <w:r>
        <w:t>4. Data</w:t>
      </w:r>
    </w:p>
    <w:p>
      <w:pPr>
        <w:pStyle w:val="Heading2"/>
      </w:pPr>
      <w:r>
        <w:t>4.1 Parcel-level tax-bill extract (2022)</w:t>
      </w:r>
    </w:p>
    <w:p>
      <w:r>
        <w:t>We use a parcel-level extract with taxable value, total tax rate (in mills), and computed total tax for tax year 2022</w:t>
        <w:br/>
        <w:t>(N=91,876). The median total rate is 8.98 mills. In this extract,</w:t>
        <w:br/>
        <w:t>4.0% of parcels are flagged as having at least one exemption indicator. Because this dataset was provided</w:t>
        <w:br/>
        <w:t>as an extract for analysis, it should be treated as “as-delivered” for this draft; final publication should document the extraction date,</w:t>
        <w:br/>
        <w:t>filters, and any exclusions (e.g., non-taxable parcels).</w:t>
      </w:r>
    </w:p>
    <w:p>
      <w:pPr>
        <w:pStyle w:val="Heading3"/>
      </w:pPr>
      <w:r>
        <w:t>Table 1. Tax-bill summary statistics (2022 extract)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Parcels (N)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P25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P75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Exempt share</w:t>
            </w:r>
          </w:p>
        </w:tc>
      </w:tr>
      <w:tr>
        <w:tc>
          <w:tcPr>
            <w:tcW w:type="dxa" w:w="1440"/>
          </w:tcPr>
          <w:p>
            <w:r>
              <w:t>91,876</w:t>
            </w:r>
          </w:p>
        </w:tc>
        <w:tc>
          <w:tcPr>
            <w:tcW w:type="dxa" w:w="1440"/>
          </w:tcPr>
          <w:p>
            <w:r>
              <w:t>274,891,498</w:t>
            </w:r>
          </w:p>
        </w:tc>
        <w:tc>
          <w:tcPr>
            <w:tcW w:type="dxa" w:w="1440"/>
          </w:tcPr>
          <w:p>
            <w:r>
              <w:t>2,232</w:t>
            </w:r>
          </w:p>
        </w:tc>
        <w:tc>
          <w:tcPr>
            <w:tcW w:type="dxa" w:w="1440"/>
          </w:tcPr>
          <w:p>
            <w:r>
              <w:t>683</w:t>
            </w:r>
          </w:p>
        </w:tc>
        <w:tc>
          <w:tcPr>
            <w:tcW w:type="dxa" w:w="1440"/>
          </w:tcPr>
          <w:p>
            <w:r>
              <w:t>3,496</w:t>
            </w:r>
          </w:p>
        </w:tc>
        <w:tc>
          <w:tcPr>
            <w:tcW w:type="dxa" w:w="1440"/>
          </w:tcPr>
          <w:p>
            <w:r>
              <w:t>4.0%</w:t>
            </w:r>
          </w:p>
        </w:tc>
      </w:tr>
    </w:tbl>
    <w:p/>
    <w:p>
      <w:pPr>
        <w:pStyle w:val="Heading2"/>
      </w:pPr>
      <w:r>
        <w:t>4.2 Tax distribution by assessed-value tier (2022)</w:t>
      </w:r>
    </w:p>
    <w:p>
      <w:r>
        <w:t>The tier distribution file summarizes parcel counts and selected tax percentiles across five value tiers (P0–25, P25–50, P50–75, P75–90, P90–100).</w:t>
      </w:r>
    </w:p>
    <w:p>
      <w:pPr>
        <w:pStyle w:val="Heading3"/>
      </w:pPr>
      <w:r>
        <w:t>Table 2. Tax distribution by tier (2022)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parcels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median_assessed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median_tax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p25_tax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p75_tax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p90_tax</w:t>
            </w:r>
          </w:p>
        </w:tc>
      </w:tr>
      <w:tr>
        <w:tc>
          <w:tcPr>
            <w:tcW w:type="dxa" w:w="1234"/>
          </w:tcPr>
          <w:p>
            <w:r>
              <w:t>P0-25</w:t>
            </w:r>
          </w:p>
        </w:tc>
        <w:tc>
          <w:tcPr>
            <w:tcW w:type="dxa" w:w="1234"/>
          </w:tcPr>
          <w:p>
            <w:r>
              <w:t>21614</w:t>
            </w:r>
          </w:p>
        </w:tc>
        <w:tc>
          <w:tcPr>
            <w:tcW w:type="dxa" w:w="1234"/>
          </w:tcPr>
          <w:p>
            <w:r>
              <w:t>16,335.00</w:t>
            </w:r>
          </w:p>
        </w:tc>
        <w:tc>
          <w:tcPr>
            <w:tcW w:type="dxa" w:w="1234"/>
          </w:tcPr>
          <w:p>
            <w:r>
              <w:t>177.53</w:t>
            </w:r>
          </w:p>
        </w:tc>
        <w:tc>
          <w:tcPr>
            <w:tcW w:type="dxa" w:w="1234"/>
          </w:tcPr>
          <w:p>
            <w:r>
              <w:t>10.01</w:t>
            </w:r>
          </w:p>
        </w:tc>
        <w:tc>
          <w:tcPr>
            <w:tcW w:type="dxa" w:w="1234"/>
          </w:tcPr>
          <w:p>
            <w:r>
              <w:t>553.16</w:t>
            </w:r>
          </w:p>
        </w:tc>
        <w:tc>
          <w:tcPr>
            <w:tcW w:type="dxa" w:w="1234"/>
          </w:tcPr>
          <w:p>
            <w:r>
              <w:t>962.89</w:t>
            </w:r>
          </w:p>
        </w:tc>
      </w:tr>
      <w:tr>
        <w:tc>
          <w:tcPr>
            <w:tcW w:type="dxa" w:w="1234"/>
          </w:tcPr>
          <w:p>
            <w:r>
              <w:t>P25-50</w:t>
            </w:r>
          </w:p>
        </w:tc>
        <w:tc>
          <w:tcPr>
            <w:tcW w:type="dxa" w:w="1234"/>
          </w:tcPr>
          <w:p>
            <w:r>
              <w:t>21619</w:t>
            </w:r>
          </w:p>
        </w:tc>
        <w:tc>
          <w:tcPr>
            <w:tcW w:type="dxa" w:w="1234"/>
          </w:tcPr>
          <w:p>
            <w:r>
              <w:t>210,690.00</w:t>
            </w:r>
          </w:p>
        </w:tc>
        <w:tc>
          <w:tcPr>
            <w:tcW w:type="dxa" w:w="1234"/>
          </w:tcPr>
          <w:p>
            <w:r>
              <w:t>1,837.60</w:t>
            </w:r>
          </w:p>
        </w:tc>
        <w:tc>
          <w:tcPr>
            <w:tcW w:type="dxa" w:w="1234"/>
          </w:tcPr>
          <w:p>
            <w:r>
              <w:t>1,512.38</w:t>
            </w:r>
          </w:p>
        </w:tc>
        <w:tc>
          <w:tcPr>
            <w:tcW w:type="dxa" w:w="1234"/>
          </w:tcPr>
          <w:p>
            <w:r>
              <w:t>2,243.56</w:t>
            </w:r>
          </w:p>
        </w:tc>
        <w:tc>
          <w:tcPr>
            <w:tcW w:type="dxa" w:w="1234"/>
          </w:tcPr>
          <w:p>
            <w:r>
              <w:t>2,583.37</w:t>
            </w:r>
          </w:p>
        </w:tc>
      </w:tr>
      <w:tr>
        <w:tc>
          <w:tcPr>
            <w:tcW w:type="dxa" w:w="1234"/>
          </w:tcPr>
          <w:p>
            <w:r>
              <w:t>P50-75</w:t>
            </w:r>
          </w:p>
        </w:tc>
        <w:tc>
          <w:tcPr>
            <w:tcW w:type="dxa" w:w="1234"/>
          </w:tcPr>
          <w:p>
            <w:r>
              <w:t>21609</w:t>
            </w:r>
          </w:p>
        </w:tc>
        <w:tc>
          <w:tcPr>
            <w:tcW w:type="dxa" w:w="1234"/>
          </w:tcPr>
          <w:p>
            <w:r>
              <w:t>307,690.00</w:t>
            </w:r>
          </w:p>
        </w:tc>
        <w:tc>
          <w:tcPr>
            <w:tcW w:type="dxa" w:w="1234"/>
          </w:tcPr>
          <w:p>
            <w:r>
              <w:t>2,829.80</w:t>
            </w:r>
          </w:p>
        </w:tc>
        <w:tc>
          <w:tcPr>
            <w:tcW w:type="dxa" w:w="1234"/>
          </w:tcPr>
          <w:p>
            <w:r>
              <w:t>2,402.45</w:t>
            </w:r>
          </w:p>
        </w:tc>
        <w:tc>
          <w:tcPr>
            <w:tcW w:type="dxa" w:w="1234"/>
          </w:tcPr>
          <w:p>
            <w:r>
              <w:t>3,327.17</w:t>
            </w:r>
          </w:p>
        </w:tc>
        <w:tc>
          <w:tcPr>
            <w:tcW w:type="dxa" w:w="1234"/>
          </w:tcPr>
          <w:p>
            <w:r>
              <w:t>3,860.37</w:t>
            </w:r>
          </w:p>
        </w:tc>
      </w:tr>
      <w:tr>
        <w:tc>
          <w:tcPr>
            <w:tcW w:type="dxa" w:w="1234"/>
          </w:tcPr>
          <w:p>
            <w:r>
              <w:t>P75-90</w:t>
            </w:r>
          </w:p>
        </w:tc>
        <w:tc>
          <w:tcPr>
            <w:tcW w:type="dxa" w:w="1234"/>
          </w:tcPr>
          <w:p>
            <w:r>
              <w:t>12968</w:t>
            </w:r>
          </w:p>
        </w:tc>
        <w:tc>
          <w:tcPr>
            <w:tcW w:type="dxa" w:w="1234"/>
          </w:tcPr>
          <w:p>
            <w:r>
              <w:t>424,495.00</w:t>
            </w:r>
          </w:p>
        </w:tc>
        <w:tc>
          <w:tcPr>
            <w:tcW w:type="dxa" w:w="1234"/>
          </w:tcPr>
          <w:p>
            <w:r>
              <w:t>4,128.61</w:t>
            </w:r>
          </w:p>
        </w:tc>
        <w:tc>
          <w:tcPr>
            <w:tcW w:type="dxa" w:w="1234"/>
          </w:tcPr>
          <w:p>
            <w:r>
              <w:t>3,485.09</w:t>
            </w:r>
          </w:p>
        </w:tc>
        <w:tc>
          <w:tcPr>
            <w:tcW w:type="dxa" w:w="1234"/>
          </w:tcPr>
          <w:p>
            <w:r>
              <w:t>4,815.31</w:t>
            </w:r>
          </w:p>
        </w:tc>
        <w:tc>
          <w:tcPr>
            <w:tcW w:type="dxa" w:w="1234"/>
          </w:tcPr>
          <w:p>
            <w:r>
              <w:t>5,427.26</w:t>
            </w:r>
          </w:p>
        </w:tc>
      </w:tr>
      <w:tr>
        <w:tc>
          <w:tcPr>
            <w:tcW w:type="dxa" w:w="1234"/>
          </w:tcPr>
          <w:p>
            <w:r>
              <w:t>P90-100</w:t>
            </w:r>
          </w:p>
        </w:tc>
        <w:tc>
          <w:tcPr>
            <w:tcW w:type="dxa" w:w="1234"/>
          </w:tcPr>
          <w:p>
            <w:r>
              <w:t>8646</w:t>
            </w:r>
          </w:p>
        </w:tc>
        <w:tc>
          <w:tcPr>
            <w:tcW w:type="dxa" w:w="1234"/>
          </w:tcPr>
          <w:p>
            <w:r>
              <w:t>649,410.00</w:t>
            </w:r>
          </w:p>
        </w:tc>
        <w:tc>
          <w:tcPr>
            <w:tcW w:type="dxa" w:w="1234"/>
          </w:tcPr>
          <w:p>
            <w:r>
              <w:t>6,490.87</w:t>
            </w:r>
          </w:p>
        </w:tc>
        <w:tc>
          <w:tcPr>
            <w:tcW w:type="dxa" w:w="1234"/>
          </w:tcPr>
          <w:p>
            <w:r>
              <w:t>5,411.26</w:t>
            </w:r>
          </w:p>
        </w:tc>
        <w:tc>
          <w:tcPr>
            <w:tcW w:type="dxa" w:w="1234"/>
          </w:tcPr>
          <w:p>
            <w:r>
              <w:t>8,708.09</w:t>
            </w:r>
          </w:p>
        </w:tc>
        <w:tc>
          <w:tcPr>
            <w:tcW w:type="dxa" w:w="1234"/>
          </w:tcPr>
          <w:p>
            <w:r>
              <w:t>17,257.57</w:t>
            </w:r>
          </w:p>
        </w:tc>
      </w:tr>
    </w:tbl>
    <w:p/>
    <w:p>
      <w:pPr>
        <w:pStyle w:val="Heading2"/>
      </w:pPr>
      <w:r>
        <w:t>4.3 Exempt versus non-exempt comparison (2022)</w:t>
      </w:r>
    </w:p>
    <w:p>
      <w:r>
        <w:t>A second summary file compares exempt-flagged parcels versus non-exempt parcels. Differences reflect both value differences and statutory/program eligibility.</w:t>
      </w:r>
    </w:p>
    <w:p>
      <w:pPr>
        <w:pStyle w:val="Heading3"/>
      </w:pPr>
      <w:r>
        <w:t>Table 3. Exempt vs non-exempt summary (as provided)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is_exempt_any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parcels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median_assessed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median_tax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82857</w:t>
            </w:r>
          </w:p>
        </w:tc>
        <w:tc>
          <w:tcPr>
            <w:tcW w:type="dxa" w:w="2160"/>
          </w:tcPr>
          <w:p>
            <w:r>
              <w:t>269,390.00</w:t>
            </w:r>
          </w:p>
        </w:tc>
        <w:tc>
          <w:tcPr>
            <w:tcW w:type="dxa" w:w="2160"/>
          </w:tcPr>
          <w:p>
            <w:r>
              <w:t>2,433.05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3599</w:t>
            </w:r>
          </w:p>
        </w:tc>
        <w:tc>
          <w:tcPr>
            <w:tcW w:type="dxa" w:w="2160"/>
          </w:tcPr>
          <w:p>
            <w:r>
              <w:t>25,060.00</w:t>
            </w:r>
          </w:p>
        </w:tc>
        <w:tc>
          <w:tcPr>
            <w:tcW w:type="dxa" w:w="2160"/>
          </w:tcPr>
          <w:p>
            <w:r>
              <w:t>128.90</w:t>
            </w:r>
          </w:p>
        </w:tc>
      </w:tr>
    </w:tbl>
    <w:p/>
    <w:p>
      <w:pPr>
        <w:pStyle w:val="Heading2"/>
      </w:pPr>
      <w:r>
        <w:t>4.4 Vertical equity / tilt diagnostics (2024 all-subsets report)</w:t>
      </w:r>
    </w:p>
    <w:p>
      <w:r>
        <w:t>We use an “all subsets” tilt diagnostic file (35 subsets; 908 sales observations) that reports standard ratio-study metrics</w:t>
        <w:br/>
        <w:t>(median ratio, COD, PRD) and a log-price tilt coefficient with p-values. These subset-level results are designed for internal triage:</w:t>
        <w:br/>
        <w:t>they identify which market slices exhibit systematic vertical equity stress and therefore merit targeted calibration review.</w:t>
      </w:r>
    </w:p>
    <w:p>
      <w:pPr>
        <w:pStyle w:val="Heading3"/>
      </w:pPr>
      <w:r>
        <w:t>Table 4. Tilt diagnostics summary (2024 subsets)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Subsets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Sales observations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 with tilt p&lt;0.05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Median tilt beta (ln price)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  <w:tc>
          <w:tcPr>
            <w:tcW w:type="dxa" w:w="2160"/>
          </w:tcPr>
          <w:p>
            <w:r>
              <w:t>-0.459</w:t>
            </w:r>
          </w:p>
        </w:tc>
      </w:tr>
    </w:tbl>
    <w:p/>
    <w:p>
      <w:pPr>
        <w:pStyle w:val="Heading2"/>
      </w:pPr>
      <w:r>
        <w:t>4.5 Demographic context (equity lens) — not included in current extract</w:t>
      </w:r>
    </w:p>
    <w:p>
      <w:r>
        <w:t>The RAND/Chicago-style framing motivates describing whether property tax burdens or assessment performance differ across areas with</w:t>
        <w:br/>
        <w:t>different demographic compositions. That requires an area-level demographic dataset (e.g., ACS tract or block-group estimates) joined</w:t>
        <w:br/>
        <w:t>to parcels by geography. Demographic inputs were not included in the provided extract set for this draft. In a final version, any</w:t>
        <w:br/>
        <w:t>demographic overlays should be: (i) aggregated to an appropriate geography (tract/block group), (ii) suppressed for small-cell privacy,</w:t>
        <w:br/>
        <w:t>and (iii) treated as descriptive context only—not as valuation inputs.</w:t>
      </w:r>
    </w:p>
    <w:p>
      <w:pPr>
        <w:pStyle w:val="Heading1"/>
      </w:pPr>
      <w:r>
        <w:t>5. Methods</w:t>
      </w:r>
    </w:p>
    <w:p>
      <w:pPr>
        <w:pStyle w:val="Heading2"/>
      </w:pPr>
      <w:r>
        <w:t>5.1 Ratio-study and vertical equity diagnostics</w:t>
      </w:r>
    </w:p>
    <w:p>
      <w:r>
        <w:t>We treat ratio-study metrics as measurement outputs that provide evidence about performance (level, uniformity, and vertical equity).</w:t>
        <w:br/>
        <w:t>In operational use, these metrics are calculated within defined segments/subsets to detect whether performance issues are local or systemic.</w:t>
      </w:r>
    </w:p>
    <w:p>
      <w:r>
        <w:t>Level. We summarize central tendency using the median assessment ratio. Uniformity. We summarize dispersion using the coefficient of</w:t>
        <w:br/>
        <w:t>dispersion (COD). Vertical equity. We evaluate whether ratios vary systematically with value using PRD/PRB-style measures and by</w:t>
        <w:br/>
        <w:t>estimating a controlled “tilt” coefficient from a regression of assessment error on log price within each subset.</w:t>
      </w:r>
    </w:p>
    <w:p>
      <w:pPr>
        <w:pStyle w:val="Heading2"/>
      </w:pPr>
      <w:r>
        <w:t>5.2 Tax-bill decomposition (TAX-1 identity)</w:t>
      </w:r>
    </w:p>
    <w:p>
      <w:r>
        <w:t>For a parcel i, with taxable value V and total tax rate R (mills), the tax bill is Tax = V·R/1000. Between Year 1 and Year 2 we can</w:t>
        <w:br/>
        <w:t>decompose the change in tax into a value component, a rate component, and an interaction term:</w:t>
      </w:r>
    </w:p>
    <w:p>
      <w:r>
        <w:t>ΔTaxᵢ = Taxᵢ,2 − Taxᵢ,1</w:t>
        <w:br/>
        <w:t>ValueEffectᵢ = (Vᵢ,2 − Vᵢ,1) · Rᵢ,1 / 1000</w:t>
        <w:br/>
        <w:t>RateEffectᵢ  = Vᵢ,1 · (Rᵢ,2 − Rᵢ,1) / 1000</w:t>
        <w:br/>
        <w:t>CrossTermᵢ  = (Vᵢ,2 − Vᵢ,1) · (Rᵢ,2 − Rᵢ,1) / 1000</w:t>
      </w:r>
    </w:p>
    <w:p>
      <w:r>
        <w:t>This identity is the foundation for counter-ready explanations (“your bill changed because X% value, Y% rate”) and for distributional</w:t>
        <w:br/>
        <w:t>summaries by tier, exemption status, or geography.</w:t>
      </w:r>
    </w:p>
    <w:p>
      <w:pPr>
        <w:pStyle w:val="Heading2"/>
      </w:pPr>
      <w:r>
        <w:t>5.3 Governance workflow and the sales-chasing firewall (SC-1; D/E/F)</w:t>
      </w:r>
    </w:p>
    <w:p>
      <w:r>
        <w:t>Benton’s workflow is designed to convert diagnostics into controlled calibration changes:</w:t>
      </w:r>
    </w:p>
    <w:p>
      <w:r>
        <w:t>Step 1 — Diagnose. Identify failing subsets using objective metrics and coverage notes (e.g., tier drift, |tilt|, PRD deviation).</w:t>
        <w:br/>
        <w:t>Step 2 — Target. Prioritize a limited number of subsets (“Top 5”) for review to focus effort where risk is highest.</w:t>
        <w:br/>
        <w:t>Step 3 — Hypothesize. Document likely causes (e.g., base cost tables vs depreciation/effective age mapping vs condition/quality stratification).</w:t>
        <w:br/>
        <w:t>Step 4 — Change via tables/curves/matrices. Implement changes at segment/subset scope (not parcel-by-parcel), version tagged.</w:t>
        <w:br/>
        <w:t>Step 5 — Validate. Produce before/after packets including in-sample and holdout results. Fail-closed if holdout gates fail.</w:t>
        <w:br/>
        <w:t>Step 6 — Archive and attest. Retain workfiles and generate a firewall attestation packet (scope locks, change logs, holdout pass).</w:t>
      </w:r>
    </w:p>
    <w:p>
      <w:r>
        <w:t>This structure provides both (i) technical defensibility and (ii) an administrative record that is legible to non-technical reviewers.</w:t>
      </w:r>
    </w:p>
    <w:p>
      <w:pPr>
        <w:pStyle w:val="Heading2"/>
      </w:pPr>
      <w:r>
        <w:t>5.4 Matched-pair (stratified matching) audit (MP-1)</w:t>
      </w:r>
    </w:p>
    <w:p>
      <w:r>
        <w:t>To examine whether assessment performance differs across two groups after controlling for observable property characteristics,</w:t>
        <w:br/>
        <w:t>we construct match “cells” defined by bands of square footage and age plus categorical condition, quality, and class (and optionally</w:t>
        <w:br/>
        <w:t>a neighborhood segment). Within each cell, we compute mean performance for Group A and Group B and then average the within-cell</w:t>
        <w:br/>
        <w:t>differences using pooled weights (nA+nB). Cells without overlap (nA=0 or nB=0) are excluded and reported as “unmatched,” which is itself</w:t>
        <w:br/>
        <w:t>a diagnostic indicator of structural differences between groups.</w:t>
      </w:r>
    </w:p>
    <w:p>
      <w:pPr>
        <w:pStyle w:val="Heading2"/>
      </w:pPr>
      <w:r>
        <w:t>5.5 Econometric extensions (recommended for publication)</w:t>
      </w:r>
    </w:p>
    <w:p>
      <w:r>
        <w:t>To more closely match the style of neighborhood-change research, a final publication can estimate neighborhood-year panel models in which</w:t>
        <w:br/>
        <w:t>vertical equity defects (tier gap, tilt magnitude, PRD deviation) are outcomes, neighborhood change indicators are key predictors, and</w:t>
        <w:br/>
        <w:t>neighborhood and year fixed effects control for time-invariant differences and common shocks. An event-study design can be layered on</w:t>
        <w:br/>
        <w:t>to evaluate changes in defects around documented calibration deployments (version-tagged interventions). These extensions require a</w:t>
        <w:br/>
        <w:t>multi-year panel of diagnostics and neighborhood indicators; only partial year coverage is included in the current extract set.</w:t>
      </w:r>
    </w:p>
    <w:p>
      <w:pPr>
        <w:pStyle w:val="Heading1"/>
      </w:pPr>
      <w:r>
        <w:t>6. Results</w:t>
      </w:r>
    </w:p>
    <w:p>
      <w:pPr>
        <w:pStyle w:val="Heading2"/>
      </w:pPr>
      <w:r>
        <w:t>6.1 Vertical equity stress: tilt diagnostics across subsets (2024)</w:t>
      </w:r>
    </w:p>
    <w:p>
      <w:r>
        <w:t>Across the 35 evaluated subsets (908 sales), 40.0% show statistically significant log-price tilt at the 5% level. The median tilt</w:t>
        <w:br/>
        <w:t>coefficient is -0.459. A negative tilt coefficient indicates that ratios decline with price within the subset</w:t>
        <w:br/>
        <w:t>(i.e., higher-priced properties tend to be under-assessed relative to lower-priced properties, conditional on the subset definition).</w:t>
        <w:br/>
        <w:t>These results support the operational premise that vertical equity stress is not uniform: it concentrates in specific market slices and</w:t>
        <w:br/>
        <w:t>is therefore best managed via targeted calibration rather than broad, undifferentiated changes.</w:t>
      </w:r>
    </w:p>
    <w:p>
      <w:pPr>
        <w:pStyle w:val="Heading3"/>
      </w:pPr>
      <w:r>
        <w:t>Table 5. Top 10 subsets by |tilt| (from 2024 all-subsets diagnostics)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subset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n_sales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median_ratio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tilt_beta_lnprice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tilt_pvalue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median_price</w:t>
            </w:r>
          </w:p>
        </w:tc>
      </w:tr>
      <w:tr>
        <w:tc>
          <w:tcPr>
            <w:tcW w:type="dxa" w:w="1080"/>
          </w:tcPr>
          <w:p>
            <w:r>
              <w:t>211.0000</w:t>
            </w:r>
          </w:p>
        </w:tc>
        <w:tc>
          <w:tcPr>
            <w:tcW w:type="dxa" w:w="1080"/>
          </w:tcPr>
          <w:p>
            <w:r>
              <w:t>20.0000</w:t>
            </w:r>
          </w:p>
        </w:tc>
        <w:tc>
          <w:tcPr>
            <w:tcW w:type="dxa" w:w="1080"/>
          </w:tcPr>
          <w:p>
            <w:r>
              <w:t>1.0197</w:t>
            </w:r>
          </w:p>
        </w:tc>
        <w:tc>
          <w:tcPr>
            <w:tcW w:type="dxa" w:w="1080"/>
          </w:tcPr>
          <w:p>
            <w:r>
              <w:t>7.9845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-0.8088</w:t>
            </w:r>
          </w:p>
        </w:tc>
        <w:tc>
          <w:tcPr>
            <w:tcW w:type="dxa" w:w="1080"/>
          </w:tcPr>
          <w:p>
            <w:r>
              <w:t>0.0096</w:t>
            </w:r>
          </w:p>
        </w:tc>
        <w:tc>
          <w:tcPr>
            <w:tcW w:type="dxa" w:w="1080"/>
          </w:tcPr>
          <w:p>
            <w:r>
              <w:t>594,950.0000</w:t>
            </w:r>
          </w:p>
        </w:tc>
      </w:tr>
      <w:tr>
        <w:tc>
          <w:tcPr>
            <w:tcW w:type="dxa" w:w="1080"/>
          </w:tcPr>
          <w:p>
            <w:r>
              <w:t>109.0000</w:t>
            </w:r>
          </w:p>
        </w:tc>
        <w:tc>
          <w:tcPr>
            <w:tcW w:type="dxa" w:w="1080"/>
          </w:tcPr>
          <w:p>
            <w:r>
              <w:t>34.0000</w:t>
            </w:r>
          </w:p>
        </w:tc>
        <w:tc>
          <w:tcPr>
            <w:tcW w:type="dxa" w:w="1080"/>
          </w:tcPr>
          <w:p>
            <w:r>
              <w:t>0.9108</w:t>
            </w:r>
          </w:p>
        </w:tc>
        <w:tc>
          <w:tcPr>
            <w:tcW w:type="dxa" w:w="1080"/>
          </w:tcPr>
          <w:p>
            <w:r>
              <w:t>6.5897</w:t>
            </w:r>
          </w:p>
        </w:tc>
        <w:tc>
          <w:tcPr>
            <w:tcW w:type="dxa" w:w="1080"/>
          </w:tcPr>
          <w:p>
            <w:r>
              <w:t>1.0066</w:t>
            </w:r>
          </w:p>
        </w:tc>
        <w:tc>
          <w:tcPr>
            <w:tcW w:type="dxa" w:w="1080"/>
          </w:tcPr>
          <w:p>
            <w:r>
              <w:t>-0.6901</w:t>
            </w:r>
          </w:p>
        </w:tc>
        <w:tc>
          <w:tcPr>
            <w:tcW w:type="dxa" w:w="1080"/>
          </w:tcPr>
          <w:p>
            <w:r>
              <w:t>0.0001</w:t>
            </w:r>
          </w:p>
        </w:tc>
        <w:tc>
          <w:tcPr>
            <w:tcW w:type="dxa" w:w="1080"/>
          </w:tcPr>
          <w:p>
            <w:r>
              <w:t>377,500.0000</w:t>
            </w:r>
          </w:p>
        </w:tc>
      </w:tr>
      <w:tr>
        <w:tc>
          <w:tcPr>
            <w:tcW w:type="dxa" w:w="1080"/>
          </w:tcPr>
          <w:p>
            <w:r>
              <w:t>146.0000</w:t>
            </w:r>
          </w:p>
        </w:tc>
        <w:tc>
          <w:tcPr>
            <w:tcW w:type="dxa" w:w="1080"/>
          </w:tcPr>
          <w:p>
            <w:r>
              <w:t>16.0000</w:t>
            </w:r>
          </w:p>
        </w:tc>
        <w:tc>
          <w:tcPr>
            <w:tcW w:type="dxa" w:w="1080"/>
          </w:tcPr>
          <w:p>
            <w:r>
              <w:t>0.9113</w:t>
            </w:r>
          </w:p>
        </w:tc>
        <w:tc>
          <w:tcPr>
            <w:tcW w:type="dxa" w:w="1080"/>
          </w:tcPr>
          <w:p>
            <w:r>
              <w:t>10.0091</w:t>
            </w:r>
          </w:p>
        </w:tc>
        <w:tc>
          <w:tcPr>
            <w:tcW w:type="dxa" w:w="1080"/>
          </w:tcPr>
          <w:p>
            <w:r>
              <w:t>1.0169</w:t>
            </w:r>
          </w:p>
        </w:tc>
        <w:tc>
          <w:tcPr>
            <w:tcW w:type="dxa" w:w="1080"/>
          </w:tcPr>
          <w:p>
            <w:r>
              <w:t>-0.6103</w:t>
            </w:r>
          </w:p>
        </w:tc>
        <w:tc>
          <w:tcPr>
            <w:tcW w:type="dxa" w:w="1080"/>
          </w:tcPr>
          <w:p>
            <w:r>
              <w:t>0.0192</w:t>
            </w:r>
          </w:p>
        </w:tc>
        <w:tc>
          <w:tcPr>
            <w:tcW w:type="dxa" w:w="1080"/>
          </w:tcPr>
          <w:p>
            <w:r>
              <w:t>435,250.0000</w:t>
            </w:r>
          </w:p>
        </w:tc>
      </w:tr>
      <w:tr>
        <w:tc>
          <w:tcPr>
            <w:tcW w:type="dxa" w:w="1080"/>
          </w:tcPr>
          <w:p>
            <w:r>
              <w:t>110.0000</w:t>
            </w:r>
          </w:p>
        </w:tc>
        <w:tc>
          <w:tcPr>
            <w:tcW w:type="dxa" w:w="1080"/>
          </w:tcPr>
          <w:p>
            <w:r>
              <w:t>63.0000</w:t>
            </w:r>
          </w:p>
        </w:tc>
        <w:tc>
          <w:tcPr>
            <w:tcW w:type="dxa" w:w="1080"/>
          </w:tcPr>
          <w:p>
            <w:r>
              <w:t>0.9562</w:t>
            </w:r>
          </w:p>
        </w:tc>
        <w:tc>
          <w:tcPr>
            <w:tcW w:type="dxa" w:w="1080"/>
          </w:tcPr>
          <w:p>
            <w:r>
              <w:t>5.7942</w:t>
            </w:r>
          </w:p>
        </w:tc>
        <w:tc>
          <w:tcPr>
            <w:tcW w:type="dxa" w:w="1080"/>
          </w:tcPr>
          <w:p>
            <w:r>
              <w:t>1.0028</w:t>
            </w:r>
          </w:p>
        </w:tc>
        <w:tc>
          <w:tcPr>
            <w:tcW w:type="dxa" w:w="1080"/>
          </w:tcPr>
          <w:p>
            <w:r>
              <w:t>-0.5520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435,000.0000</w:t>
            </w:r>
          </w:p>
        </w:tc>
      </w:tr>
      <w:tr>
        <w:tc>
          <w:tcPr>
            <w:tcW w:type="dxa" w:w="1080"/>
          </w:tcPr>
          <w:p>
            <w:r>
              <w:t>107.0000</w:t>
            </w:r>
          </w:p>
        </w:tc>
        <w:tc>
          <w:tcPr>
            <w:tcW w:type="dxa" w:w="1080"/>
          </w:tcPr>
          <w:p>
            <w:r>
              <w:t>50.0000</w:t>
            </w:r>
          </w:p>
        </w:tc>
        <w:tc>
          <w:tcPr>
            <w:tcW w:type="dxa" w:w="1080"/>
          </w:tcPr>
          <w:p>
            <w:r>
              <w:t>0.9062</w:t>
            </w:r>
          </w:p>
        </w:tc>
        <w:tc>
          <w:tcPr>
            <w:tcW w:type="dxa" w:w="1080"/>
          </w:tcPr>
          <w:p>
            <w:r>
              <w:t>7.6646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-0.5272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382,450.0000</w:t>
            </w:r>
          </w:p>
        </w:tc>
      </w:tr>
      <w:tr>
        <w:tc>
          <w:tcPr>
            <w:tcW w:type="dxa" w:w="1080"/>
          </w:tcPr>
          <w:p>
            <w:r>
              <w:t>532.0000</w:t>
            </w:r>
          </w:p>
        </w:tc>
        <w:tc>
          <w:tcPr>
            <w:tcW w:type="dxa" w:w="1080"/>
          </w:tcPr>
          <w:p>
            <w:r>
              <w:t>42.0000</w:t>
            </w:r>
          </w:p>
        </w:tc>
        <w:tc>
          <w:tcPr>
            <w:tcW w:type="dxa" w:w="1080"/>
          </w:tcPr>
          <w:p>
            <w:r>
              <w:t>0.9805</w:t>
            </w:r>
          </w:p>
        </w:tc>
        <w:tc>
          <w:tcPr>
            <w:tcW w:type="dxa" w:w="1080"/>
          </w:tcPr>
          <w:p>
            <w:r>
              <w:t>3.3546</w:t>
            </w:r>
          </w:p>
        </w:tc>
        <w:tc>
          <w:tcPr>
            <w:tcW w:type="dxa" w:w="1080"/>
          </w:tcPr>
          <w:p>
            <w:r>
              <w:t>1.0014</w:t>
            </w:r>
          </w:p>
        </w:tc>
        <w:tc>
          <w:tcPr>
            <w:tcW w:type="dxa" w:w="1080"/>
          </w:tcPr>
          <w:p>
            <w:r>
              <w:t>-0.5075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394,994.5000</w:t>
            </w:r>
          </w:p>
        </w:tc>
      </w:tr>
      <w:tr>
        <w:tc>
          <w:tcPr>
            <w:tcW w:type="dxa" w:w="1080"/>
          </w:tcPr>
          <w:p>
            <w:r>
              <w:t>105.0000</w:t>
            </w:r>
          </w:p>
        </w:tc>
        <w:tc>
          <w:tcPr>
            <w:tcW w:type="dxa" w:w="1080"/>
          </w:tcPr>
          <w:p>
            <w:r>
              <w:t>46.0000</w:t>
            </w:r>
          </w:p>
        </w:tc>
        <w:tc>
          <w:tcPr>
            <w:tcW w:type="dxa" w:w="1080"/>
          </w:tcPr>
          <w:p>
            <w:r>
              <w:t>0.8949</w:t>
            </w:r>
          </w:p>
        </w:tc>
        <w:tc>
          <w:tcPr>
            <w:tcW w:type="dxa" w:w="1080"/>
          </w:tcPr>
          <w:p>
            <w:r>
              <w:t>10.5883</w:t>
            </w:r>
          </w:p>
        </w:tc>
        <w:tc>
          <w:tcPr>
            <w:tcW w:type="dxa" w:w="1080"/>
          </w:tcPr>
          <w:p>
            <w:r>
              <w:t>1.0034</w:t>
            </w:r>
          </w:p>
        </w:tc>
        <w:tc>
          <w:tcPr>
            <w:tcW w:type="dxa" w:w="1080"/>
          </w:tcPr>
          <w:p>
            <w:r>
              <w:t>-0.4837</w:t>
            </w:r>
          </w:p>
        </w:tc>
        <w:tc>
          <w:tcPr>
            <w:tcW w:type="dxa" w:w="1080"/>
          </w:tcPr>
          <w:p>
            <w:r>
              <w:t>0.0011</w:t>
            </w:r>
          </w:p>
        </w:tc>
        <w:tc>
          <w:tcPr>
            <w:tcW w:type="dxa" w:w="1080"/>
          </w:tcPr>
          <w:p>
            <w:r>
              <w:t>306,950.0000</w:t>
            </w:r>
          </w:p>
        </w:tc>
      </w:tr>
      <w:tr>
        <w:tc>
          <w:tcPr>
            <w:tcW w:type="dxa" w:w="1080"/>
          </w:tcPr>
          <w:p>
            <w:r>
              <w:t>209.0000</w:t>
            </w:r>
          </w:p>
        </w:tc>
        <w:tc>
          <w:tcPr>
            <w:tcW w:type="dxa" w:w="1080"/>
          </w:tcPr>
          <w:p>
            <w:r>
              <w:t>26.0000</w:t>
            </w:r>
          </w:p>
        </w:tc>
        <w:tc>
          <w:tcPr>
            <w:tcW w:type="dxa" w:w="1080"/>
          </w:tcPr>
          <w:p>
            <w:r>
              <w:t>0.9125</w:t>
            </w:r>
          </w:p>
        </w:tc>
        <w:tc>
          <w:tcPr>
            <w:tcW w:type="dxa" w:w="1080"/>
          </w:tcPr>
          <w:p>
            <w:r>
              <w:t>6.4986</w:t>
            </w:r>
          </w:p>
        </w:tc>
        <w:tc>
          <w:tcPr>
            <w:tcW w:type="dxa" w:w="1080"/>
          </w:tcPr>
          <w:p>
            <w:r>
              <w:t>1.0034</w:t>
            </w:r>
          </w:p>
        </w:tc>
        <w:tc>
          <w:tcPr>
            <w:tcW w:type="dxa" w:w="1080"/>
          </w:tcPr>
          <w:p>
            <w:r>
              <w:t>-0.4686</w:t>
            </w:r>
          </w:p>
        </w:tc>
        <w:tc>
          <w:tcPr>
            <w:tcW w:type="dxa" w:w="1080"/>
          </w:tcPr>
          <w:p>
            <w:r>
              <w:t>0.0002</w:t>
            </w:r>
          </w:p>
        </w:tc>
        <w:tc>
          <w:tcPr>
            <w:tcW w:type="dxa" w:w="1080"/>
          </w:tcPr>
          <w:p>
            <w:r>
              <w:t>519,000.0000</w:t>
            </w:r>
          </w:p>
        </w:tc>
      </w:tr>
      <w:tr>
        <w:tc>
          <w:tcPr>
            <w:tcW w:type="dxa" w:w="1080"/>
          </w:tcPr>
          <w:p>
            <w:r>
              <w:t>111.0000</w:t>
            </w:r>
          </w:p>
        </w:tc>
        <w:tc>
          <w:tcPr>
            <w:tcW w:type="dxa" w:w="1080"/>
          </w:tcPr>
          <w:p>
            <w:r>
              <w:t>53.0000</w:t>
            </w:r>
          </w:p>
        </w:tc>
        <w:tc>
          <w:tcPr>
            <w:tcW w:type="dxa" w:w="1080"/>
          </w:tcPr>
          <w:p>
            <w:r>
              <w:t>0.9457</w:t>
            </w:r>
          </w:p>
        </w:tc>
        <w:tc>
          <w:tcPr>
            <w:tcW w:type="dxa" w:w="1080"/>
          </w:tcPr>
          <w:p>
            <w:r>
              <w:t>5.9420</w:t>
            </w:r>
          </w:p>
        </w:tc>
        <w:tc>
          <w:tcPr>
            <w:tcW w:type="dxa" w:w="1080"/>
          </w:tcPr>
          <w:p>
            <w:r>
              <w:t>1.0089</w:t>
            </w:r>
          </w:p>
        </w:tc>
        <w:tc>
          <w:tcPr>
            <w:tcW w:type="dxa" w:w="1080"/>
          </w:tcPr>
          <w:p>
            <w:r>
              <w:t>-0.4663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484,900.0000</w:t>
            </w:r>
          </w:p>
        </w:tc>
      </w:tr>
      <w:tr>
        <w:tc>
          <w:tcPr>
            <w:tcW w:type="dxa" w:w="1080"/>
          </w:tcPr>
          <w:p>
            <w:r>
              <w:t>212.0000</w:t>
            </w:r>
          </w:p>
        </w:tc>
        <w:tc>
          <w:tcPr>
            <w:tcW w:type="dxa" w:w="1080"/>
          </w:tcPr>
          <w:p>
            <w:r>
              <w:t>37.0000</w:t>
            </w:r>
          </w:p>
        </w:tc>
        <w:tc>
          <w:tcPr>
            <w:tcW w:type="dxa" w:w="1080"/>
          </w:tcPr>
          <w:p>
            <w:r>
              <w:t>0.9662</w:t>
            </w:r>
          </w:p>
        </w:tc>
        <w:tc>
          <w:tcPr>
            <w:tcW w:type="dxa" w:w="1080"/>
          </w:tcPr>
          <w:p>
            <w:r>
              <w:t>4.2383</w:t>
            </w:r>
          </w:p>
        </w:tc>
        <w:tc>
          <w:tcPr>
            <w:tcW w:type="dxa" w:w="1080"/>
          </w:tcPr>
          <w:p>
            <w:r>
              <w:t>1.0081</w:t>
            </w:r>
          </w:p>
        </w:tc>
        <w:tc>
          <w:tcPr>
            <w:tcW w:type="dxa" w:w="1080"/>
          </w:tcPr>
          <w:p>
            <w:r>
              <w:t>-0.4527</w:t>
            </w:r>
          </w:p>
        </w:tc>
        <w:tc>
          <w:tcPr>
            <w:tcW w:type="dxa" w:w="1080"/>
          </w:tcPr>
          <w:p>
            <w:r>
              <w:t>0.0004</w:t>
            </w:r>
          </w:p>
        </w:tc>
        <w:tc>
          <w:tcPr>
            <w:tcW w:type="dxa" w:w="1080"/>
          </w:tcPr>
          <w:p>
            <w:r>
              <w:t>563,514.0000</w:t>
            </w:r>
          </w:p>
        </w:tc>
      </w:tr>
    </w:tbl>
    <w:p/>
    <w:p>
      <w:pPr>
        <w:pStyle w:val="Heading2"/>
      </w:pPr>
      <w:r>
        <w:t>6.2 Gate-based targeting: Top subsets and recommended calibration focus (Exhibit D/E)</w:t>
      </w:r>
    </w:p>
    <w:p>
      <w:r>
        <w:t>Benton’s governance artifacts translate the diagnostics into a bounded review queue. The Top-5 targeting exhibit provides, for each</w:t>
        <w:br/>
        <w:t>priority subset, a severity label, the tilt magnitude and significance, supporting distribution descriptors (age/sqft/price IQR),</w:t>
        <w:br/>
        <w:t>and a narrative hypothesis about likely drivers. The companion change-list exhibit documents recommended matrix/table identifiers and</w:t>
        <w:br/>
        <w:t>a rationale tied to the failed gates. Together, these exhibits show how diagnostics become structured action: a reviewer can see (i)</w:t>
        <w:br/>
        <w:t>why a subset was flagged, (ii) what levers are implicated, and (iii) what documentation is required before deployment.</w:t>
      </w:r>
    </w:p>
    <w:p>
      <w:pPr>
        <w:pStyle w:val="Heading3"/>
      </w:pPr>
      <w:r>
        <w:t>Table 6. Calibration target list (as provided in Exhibit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subset</w:t>
            </w:r>
          </w:p>
        </w:tc>
        <w:tc>
          <w:tcPr>
            <w:tcW w:type="dxa" w:w="7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720"/>
          </w:tcPr>
          <w:p>
            <w:r>
              <w:rPr>
                <w:b/>
              </w:rPr>
              <w:t>n_sales</w:t>
            </w:r>
          </w:p>
        </w:tc>
        <w:tc>
          <w:tcPr>
            <w:tcW w:type="dxa" w:w="720"/>
          </w:tcPr>
          <w:p>
            <w:r>
              <w:rPr>
                <w:b/>
              </w:rPr>
              <w:t>median_ratio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COD</w:t>
            </w:r>
          </w:p>
        </w:tc>
        <w:tc>
          <w:tcPr>
            <w:tcW w:type="dxa" w:w="720"/>
          </w:tcPr>
          <w:p>
            <w:r>
              <w:rPr>
                <w:b/>
              </w:rPr>
              <w:t>PRD</w:t>
            </w:r>
          </w:p>
        </w:tc>
        <w:tc>
          <w:tcPr>
            <w:tcW w:type="dxa" w:w="720"/>
          </w:tcPr>
          <w:p>
            <w:r>
              <w:rPr>
                <w:b/>
              </w:rPr>
              <w:t>tilt_beta_lnprice</w:t>
            </w:r>
          </w:p>
        </w:tc>
        <w:tc>
          <w:tcPr>
            <w:tcW w:type="dxa" w:w="720"/>
          </w:tcPr>
          <w:p>
            <w:r>
              <w:rPr>
                <w:b/>
              </w:rPr>
              <w:t>tilt_pvalue</w:t>
            </w:r>
          </w:p>
        </w:tc>
        <w:tc>
          <w:tcPr>
            <w:tcW w:type="dxa" w:w="720"/>
          </w:tcPr>
          <w:p>
            <w:r>
              <w:rPr>
                <w:b/>
              </w:rPr>
              <w:t>median_price</w:t>
            </w:r>
          </w:p>
        </w:tc>
        <w:tc>
          <w:tcPr>
            <w:tcW w:type="dxa" w:w="72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72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720"/>
          </w:tcPr>
          <w:p>
            <w:r>
              <w:rPr>
                <w:b/>
              </w:rPr>
              <w:t>recommended_matrix_ids</w:t>
            </w:r>
          </w:p>
        </w:tc>
      </w:tr>
      <w:tr>
        <w:tc>
          <w:tcPr>
            <w:tcW w:type="dxa" w:w="720"/>
          </w:tcPr>
          <w:p>
            <w:r>
              <w:t>211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720"/>
          </w:tcPr>
          <w:p>
            <w:r>
              <w:t>1.0197</w:t>
            </w:r>
          </w:p>
        </w:tc>
        <w:tc>
          <w:tcPr>
            <w:tcW w:type="dxa" w:w="720"/>
          </w:tcPr>
          <w:p>
            <w:r>
              <w:t>7.9845</w:t>
            </w:r>
          </w:p>
        </w:tc>
        <w:tc>
          <w:tcPr>
            <w:tcW w:type="dxa" w:w="720"/>
          </w:tcPr>
          <w:p>
            <w:r>
              <w:t>0.9988</w:t>
            </w:r>
          </w:p>
        </w:tc>
        <w:tc>
          <w:tcPr>
            <w:tcW w:type="dxa" w:w="720"/>
          </w:tcPr>
          <w:p>
            <w:r>
              <w:t>-0.8088</w:t>
            </w:r>
          </w:p>
        </w:tc>
        <w:tc>
          <w:tcPr>
            <w:tcW w:type="dxa" w:w="720"/>
          </w:tcPr>
          <w:p>
            <w:r>
              <w:t>0.0096</w:t>
            </w:r>
          </w:p>
        </w:tc>
        <w:tc>
          <w:tcPr>
            <w:tcW w:type="dxa" w:w="720"/>
          </w:tcPr>
          <w:p>
            <w:r>
              <w:t>594,950.0000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1598, 3249, 3251, 3253, 3260, 3262, 3263, 3265, 3266, 3267, 3296, 3300, 3320, 3789, 3790, 3791, 3792, 3793, 3794, 3805, 3806, 3807, 3808, 3809, 3810, 3811, 3812, 3813, 3814, 3815, 3816, 3817, 3818, 3823</w:t>
            </w:r>
          </w:p>
        </w:tc>
      </w:tr>
      <w:tr>
        <w:tc>
          <w:tcPr>
            <w:tcW w:type="dxa" w:w="720"/>
          </w:tcPr>
          <w:p>
            <w:r>
              <w:t>109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720"/>
          </w:tcPr>
          <w:p>
            <w:r>
              <w:t>0.9108</w:t>
            </w:r>
          </w:p>
        </w:tc>
        <w:tc>
          <w:tcPr>
            <w:tcW w:type="dxa" w:w="720"/>
          </w:tcPr>
          <w:p>
            <w:r>
              <w:t>6.5897</w:t>
            </w:r>
          </w:p>
        </w:tc>
        <w:tc>
          <w:tcPr>
            <w:tcW w:type="dxa" w:w="720"/>
          </w:tcPr>
          <w:p>
            <w:r>
              <w:t>1.0066</w:t>
            </w:r>
          </w:p>
        </w:tc>
        <w:tc>
          <w:tcPr>
            <w:tcW w:type="dxa" w:w="720"/>
          </w:tcPr>
          <w:p>
            <w:r>
              <w:t>-0.6901</w:t>
            </w:r>
          </w:p>
        </w:tc>
        <w:tc>
          <w:tcPr>
            <w:tcW w:type="dxa" w:w="720"/>
          </w:tcPr>
          <w:p>
            <w:r>
              <w:t>0.0001</w:t>
            </w:r>
          </w:p>
        </w:tc>
        <w:tc>
          <w:tcPr>
            <w:tcW w:type="dxa" w:w="720"/>
          </w:tcPr>
          <w:p>
            <w:r>
              <w:t>377,500.0000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1598, 3249, 3251, 3253, 3260, 3262, 3263, 3265, 3266, 3267, 3296, 3300, 3789, 3790, 3791, 3792, 3793, 3794, 3807, 3808, 3809, 3810, 3811, 3812, 3813, 3814, 3823</w:t>
            </w:r>
          </w:p>
        </w:tc>
      </w:tr>
      <w:tr>
        <w:tc>
          <w:tcPr>
            <w:tcW w:type="dxa" w:w="720"/>
          </w:tcPr>
          <w:p>
            <w:r>
              <w:t>146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>
            <w:r>
              <w:t>0.9113</w:t>
            </w:r>
          </w:p>
        </w:tc>
        <w:tc>
          <w:tcPr>
            <w:tcW w:type="dxa" w:w="720"/>
          </w:tcPr>
          <w:p>
            <w:r>
              <w:t>10.0091</w:t>
            </w:r>
          </w:p>
        </w:tc>
        <w:tc>
          <w:tcPr>
            <w:tcW w:type="dxa" w:w="720"/>
          </w:tcPr>
          <w:p>
            <w:r>
              <w:t>1.0169</w:t>
            </w:r>
          </w:p>
        </w:tc>
        <w:tc>
          <w:tcPr>
            <w:tcW w:type="dxa" w:w="720"/>
          </w:tcPr>
          <w:p>
            <w:r>
              <w:t>-0.6103</w:t>
            </w:r>
          </w:p>
        </w:tc>
        <w:tc>
          <w:tcPr>
            <w:tcW w:type="dxa" w:w="720"/>
          </w:tcPr>
          <w:p>
            <w:r>
              <w:t>0.0192</w:t>
            </w:r>
          </w:p>
        </w:tc>
        <w:tc>
          <w:tcPr>
            <w:tcW w:type="dxa" w:w="720"/>
          </w:tcPr>
          <w:p>
            <w:r>
              <w:t>435,250.0000</w:t>
            </w:r>
          </w:p>
        </w:tc>
        <w:tc>
          <w:tcPr>
            <w:tcW w:type="dxa" w:w="720"/>
          </w:tcPr>
          <w:p>
            <w:r>
              <w:t>Segmentation + outlier/filters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3789, 3790, 3791, 3792, 3793, 3794, 3823</w:t>
            </w:r>
          </w:p>
        </w:tc>
      </w:tr>
      <w:tr>
        <w:tc>
          <w:tcPr>
            <w:tcW w:type="dxa" w:w="720"/>
          </w:tcPr>
          <w:p>
            <w:r>
              <w:t>110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63</w:t>
            </w:r>
          </w:p>
        </w:tc>
        <w:tc>
          <w:tcPr>
            <w:tcW w:type="dxa" w:w="720"/>
          </w:tcPr>
          <w:p>
            <w:r>
              <w:t>0.9562</w:t>
            </w:r>
          </w:p>
        </w:tc>
        <w:tc>
          <w:tcPr>
            <w:tcW w:type="dxa" w:w="720"/>
          </w:tcPr>
          <w:p>
            <w:r>
              <w:t>5.7942</w:t>
            </w:r>
          </w:p>
        </w:tc>
        <w:tc>
          <w:tcPr>
            <w:tcW w:type="dxa" w:w="720"/>
          </w:tcPr>
          <w:p>
            <w:r>
              <w:t>1.0028</w:t>
            </w:r>
          </w:p>
        </w:tc>
        <w:tc>
          <w:tcPr>
            <w:tcW w:type="dxa" w:w="720"/>
          </w:tcPr>
          <w:p>
            <w:r>
              <w:t>-0.5520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435,000.0000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107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0.9062</w:t>
            </w:r>
          </w:p>
        </w:tc>
        <w:tc>
          <w:tcPr>
            <w:tcW w:type="dxa" w:w="720"/>
          </w:tcPr>
          <w:p>
            <w:r>
              <w:t>7.6646</w:t>
            </w:r>
          </w:p>
        </w:tc>
        <w:tc>
          <w:tcPr>
            <w:tcW w:type="dxa" w:w="720"/>
          </w:tcPr>
          <w:p>
            <w:r>
              <w:t>1.0000</w:t>
            </w:r>
          </w:p>
        </w:tc>
        <w:tc>
          <w:tcPr>
            <w:tcW w:type="dxa" w:w="720"/>
          </w:tcPr>
          <w:p>
            <w:r>
              <w:t>-0.5272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382,450.0000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532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720"/>
          </w:tcPr>
          <w:p>
            <w:r>
              <w:t>0.9805</w:t>
            </w:r>
          </w:p>
        </w:tc>
        <w:tc>
          <w:tcPr>
            <w:tcW w:type="dxa" w:w="720"/>
          </w:tcPr>
          <w:p>
            <w:r>
              <w:t>3.3546</w:t>
            </w:r>
          </w:p>
        </w:tc>
        <w:tc>
          <w:tcPr>
            <w:tcW w:type="dxa" w:w="720"/>
          </w:tcPr>
          <w:p>
            <w:r>
              <w:t>1.0014</w:t>
            </w:r>
          </w:p>
        </w:tc>
        <w:tc>
          <w:tcPr>
            <w:tcW w:type="dxa" w:w="720"/>
          </w:tcPr>
          <w:p>
            <w:r>
              <w:t>-0.5075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394,994.5000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1598, 3262, 3267, 3296, 3300, 3789, 3790, 3791, 3792, 3793, 3794, 3823, 3846</w:t>
            </w:r>
          </w:p>
        </w:tc>
      </w:tr>
      <w:tr>
        <w:tc>
          <w:tcPr>
            <w:tcW w:type="dxa" w:w="720"/>
          </w:tcPr>
          <w:p>
            <w:r>
              <w:t>105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720"/>
          </w:tcPr>
          <w:p>
            <w:r>
              <w:t>0.8949</w:t>
            </w:r>
          </w:p>
        </w:tc>
        <w:tc>
          <w:tcPr>
            <w:tcW w:type="dxa" w:w="720"/>
          </w:tcPr>
          <w:p>
            <w:r>
              <w:t>10.5883</w:t>
            </w:r>
          </w:p>
        </w:tc>
        <w:tc>
          <w:tcPr>
            <w:tcW w:type="dxa" w:w="720"/>
          </w:tcPr>
          <w:p>
            <w:r>
              <w:t>1.0034</w:t>
            </w:r>
          </w:p>
        </w:tc>
        <w:tc>
          <w:tcPr>
            <w:tcW w:type="dxa" w:w="720"/>
          </w:tcPr>
          <w:p>
            <w:r>
              <w:t>-0.4837</w:t>
            </w:r>
          </w:p>
        </w:tc>
        <w:tc>
          <w:tcPr>
            <w:tcW w:type="dxa" w:w="720"/>
          </w:tcPr>
          <w:p>
            <w:r>
              <w:t>0.0011</w:t>
            </w:r>
          </w:p>
        </w:tc>
        <w:tc>
          <w:tcPr>
            <w:tcW w:type="dxa" w:w="720"/>
          </w:tcPr>
          <w:p>
            <w:r>
              <w:t>306,950.0000</w:t>
            </w:r>
          </w:p>
        </w:tc>
        <w:tc>
          <w:tcPr>
            <w:tcW w:type="dxa" w:w="720"/>
          </w:tcPr>
          <w:p>
            <w:r>
              <w:t>Segmentation + outlier/filters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3789, 3790, 3791, 3792, 3793, 3794, 3823</w:t>
            </w:r>
          </w:p>
        </w:tc>
      </w:tr>
      <w:tr>
        <w:tc>
          <w:tcPr>
            <w:tcW w:type="dxa" w:w="720"/>
          </w:tcPr>
          <w:p>
            <w:r>
              <w:t>209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720"/>
          </w:tcPr>
          <w:p>
            <w:r>
              <w:t>0.9125</w:t>
            </w:r>
          </w:p>
        </w:tc>
        <w:tc>
          <w:tcPr>
            <w:tcW w:type="dxa" w:w="720"/>
          </w:tcPr>
          <w:p>
            <w:r>
              <w:t>6.4986</w:t>
            </w:r>
          </w:p>
        </w:tc>
        <w:tc>
          <w:tcPr>
            <w:tcW w:type="dxa" w:w="720"/>
          </w:tcPr>
          <w:p>
            <w:r>
              <w:t>1.0034</w:t>
            </w:r>
          </w:p>
        </w:tc>
        <w:tc>
          <w:tcPr>
            <w:tcW w:type="dxa" w:w="720"/>
          </w:tcPr>
          <w:p>
            <w:r>
              <w:t>-0.4686</w:t>
            </w:r>
          </w:p>
        </w:tc>
        <w:tc>
          <w:tcPr>
            <w:tcW w:type="dxa" w:w="720"/>
          </w:tcPr>
          <w:p>
            <w:r>
              <w:t>0.0002</w:t>
            </w:r>
          </w:p>
        </w:tc>
        <w:tc>
          <w:tcPr>
            <w:tcW w:type="dxa" w:w="720"/>
          </w:tcPr>
          <w:p>
            <w:r>
              <w:t>519,000.0000</w:t>
            </w:r>
          </w:p>
        </w:tc>
        <w:tc>
          <w:tcPr>
            <w:tcW w:type="dxa" w:w="720"/>
          </w:tcPr>
          <w:p>
            <w:r>
              <w:t>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3789, 3790, 3791, 3792, 3793, 3794, 3805, 3806, 3823</w:t>
            </w:r>
          </w:p>
        </w:tc>
      </w:tr>
      <w:tr>
        <w:tc>
          <w:tcPr>
            <w:tcW w:type="dxa" w:w="720"/>
          </w:tcPr>
          <w:p>
            <w:r>
              <w:t>111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53</w:t>
            </w:r>
          </w:p>
        </w:tc>
        <w:tc>
          <w:tcPr>
            <w:tcW w:type="dxa" w:w="720"/>
          </w:tcPr>
          <w:p>
            <w:r>
              <w:t>0.9457</w:t>
            </w:r>
          </w:p>
        </w:tc>
        <w:tc>
          <w:tcPr>
            <w:tcW w:type="dxa" w:w="720"/>
          </w:tcPr>
          <w:p>
            <w:r>
              <w:t>5.9420</w:t>
            </w:r>
          </w:p>
        </w:tc>
        <w:tc>
          <w:tcPr>
            <w:tcW w:type="dxa" w:w="720"/>
          </w:tcPr>
          <w:p>
            <w:r>
              <w:t>1.0089</w:t>
            </w:r>
          </w:p>
        </w:tc>
        <w:tc>
          <w:tcPr>
            <w:tcW w:type="dxa" w:w="720"/>
          </w:tcPr>
          <w:p>
            <w:r>
              <w:t>-0.4663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484,900.0000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1598, 3262, 3267, 3296, 3300, 3320, 3789, 3790, 3791, 3792, 3793, 3794, 3815, 3816, 3817, 3818, 3823</w:t>
            </w:r>
          </w:p>
        </w:tc>
      </w:tr>
      <w:tr>
        <w:tc>
          <w:tcPr>
            <w:tcW w:type="dxa" w:w="720"/>
          </w:tcPr>
          <w:p>
            <w:r>
              <w:t>212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720"/>
          </w:tcPr>
          <w:p>
            <w:r>
              <w:t>0.9662</w:t>
            </w:r>
          </w:p>
        </w:tc>
        <w:tc>
          <w:tcPr>
            <w:tcW w:type="dxa" w:w="720"/>
          </w:tcPr>
          <w:p>
            <w:r>
              <w:t>4.2383</w:t>
            </w:r>
          </w:p>
        </w:tc>
        <w:tc>
          <w:tcPr>
            <w:tcW w:type="dxa" w:w="720"/>
          </w:tcPr>
          <w:p>
            <w:r>
              <w:t>1.0081</w:t>
            </w:r>
          </w:p>
        </w:tc>
        <w:tc>
          <w:tcPr>
            <w:tcW w:type="dxa" w:w="720"/>
          </w:tcPr>
          <w:p>
            <w:r>
              <w:t>-0.4527</w:t>
            </w:r>
          </w:p>
        </w:tc>
        <w:tc>
          <w:tcPr>
            <w:tcW w:type="dxa" w:w="720"/>
          </w:tcPr>
          <w:p>
            <w:r>
              <w:t>0.0004</w:t>
            </w:r>
          </w:p>
        </w:tc>
        <w:tc>
          <w:tcPr>
            <w:tcW w:type="dxa" w:w="720"/>
          </w:tcPr>
          <w:p>
            <w:r>
              <w:t>563,514.0000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1598, 3249, 3251, 3253, 3260, 3262, 3263, 3265, 3266, 3267, 3296, 3300, 3320, 3789, 3790, 3791, 3792, 3793, 3794, 3805, 3806, 3807, 3808, 3809, 3810, 3811, 3812, 3813, 3814, 3815, 3816, 3817, 3818, 3823, 3846</w:t>
            </w:r>
          </w:p>
        </w:tc>
      </w:tr>
      <w:tr>
        <w:tc>
          <w:tcPr>
            <w:tcW w:type="dxa" w:w="720"/>
          </w:tcPr>
          <w:p>
            <w:r>
              <w:t>210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720"/>
          </w:tcPr>
          <w:p>
            <w:r>
              <w:t>0.9542</w:t>
            </w:r>
          </w:p>
        </w:tc>
        <w:tc>
          <w:tcPr>
            <w:tcW w:type="dxa" w:w="720"/>
          </w:tcPr>
          <w:p>
            <w:r>
              <w:t>5.4472</w:t>
            </w:r>
          </w:p>
        </w:tc>
        <w:tc>
          <w:tcPr>
            <w:tcW w:type="dxa" w:w="720"/>
          </w:tcPr>
          <w:p>
            <w:r>
              <w:t>0.9987</w:t>
            </w:r>
          </w:p>
        </w:tc>
        <w:tc>
          <w:tcPr>
            <w:tcW w:type="dxa" w:w="720"/>
          </w:tcPr>
          <w:p>
            <w:r>
              <w:t>-0.4260</w:t>
            </w:r>
          </w:p>
        </w:tc>
        <w:tc>
          <w:tcPr>
            <w:tcW w:type="dxa" w:w="720"/>
          </w:tcPr>
          <w:p>
            <w:r>
              <w:t>0.0080</w:t>
            </w:r>
          </w:p>
        </w:tc>
        <w:tc>
          <w:tcPr>
            <w:tcW w:type="dxa" w:w="720"/>
          </w:tcPr>
          <w:p>
            <w:r>
              <w:t>482,000.0000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145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720"/>
          </w:tcPr>
          <w:p>
            <w:r>
              <w:t>0.9428</w:t>
            </w:r>
          </w:p>
        </w:tc>
        <w:tc>
          <w:tcPr>
            <w:tcW w:type="dxa" w:w="720"/>
          </w:tcPr>
          <w:p>
            <w:r>
              <w:t>6.7296</w:t>
            </w:r>
          </w:p>
        </w:tc>
        <w:tc>
          <w:tcPr>
            <w:tcW w:type="dxa" w:w="720"/>
          </w:tcPr>
          <w:p>
            <w:r>
              <w:t>1.0118</w:t>
            </w:r>
          </w:p>
        </w:tc>
        <w:tc>
          <w:tcPr>
            <w:tcW w:type="dxa" w:w="720"/>
          </w:tcPr>
          <w:p>
            <w:r>
              <w:t>-0.4136</w:t>
            </w:r>
          </w:p>
        </w:tc>
        <w:tc>
          <w:tcPr>
            <w:tcW w:type="dxa" w:w="720"/>
          </w:tcPr>
          <w:p>
            <w:r>
              <w:t>0.0066</w:t>
            </w:r>
          </w:p>
        </w:tc>
        <w:tc>
          <w:tcPr>
            <w:tcW w:type="dxa" w:w="720"/>
          </w:tcPr>
          <w:p>
            <w:r>
              <w:t>350,000.0000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247</w:t>
            </w:r>
          </w:p>
        </w:tc>
        <w:tc>
          <w:tcPr>
            <w:tcW w:type="dxa" w:w="720"/>
          </w:tcPr>
          <w:p>
            <w:r>
              <w:t>Moderate</w:t>
            </w:r>
          </w:p>
        </w:tc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720"/>
          </w:tcPr>
          <w:p>
            <w:r>
              <w:t>0.8881</w:t>
            </w:r>
          </w:p>
        </w:tc>
        <w:tc>
          <w:tcPr>
            <w:tcW w:type="dxa" w:w="720"/>
          </w:tcPr>
          <w:p>
            <w:r>
              <w:t>5.3403</w:t>
            </w:r>
          </w:p>
        </w:tc>
        <w:tc>
          <w:tcPr>
            <w:tcW w:type="dxa" w:w="720"/>
          </w:tcPr>
          <w:p>
            <w:r>
              <w:t>1.0009</w:t>
            </w:r>
          </w:p>
        </w:tc>
        <w:tc>
          <w:tcPr>
            <w:tcW w:type="dxa" w:w="720"/>
          </w:tcPr>
          <w:p>
            <w:r>
              <w:t>-0.2934</w:t>
            </w:r>
          </w:p>
        </w:tc>
        <w:tc>
          <w:tcPr>
            <w:tcW w:type="dxa" w:w="720"/>
          </w:tcPr>
          <w:p>
            <w:r>
              <w:t>0.0374</w:t>
            </w:r>
          </w:p>
        </w:tc>
        <w:tc>
          <w:tcPr>
            <w:tcW w:type="dxa" w:w="720"/>
          </w:tcPr>
          <w:p>
            <w:r>
              <w:t>431,500.0000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112</w:t>
            </w:r>
          </w:p>
        </w:tc>
        <w:tc>
          <w:tcPr>
            <w:tcW w:type="dxa" w:w="720"/>
          </w:tcPr>
          <w:p>
            <w:r>
              <w:t>Mild</w:t>
            </w:r>
          </w:p>
        </w:tc>
        <w:tc>
          <w:tcPr>
            <w:tcW w:type="dxa" w:w="720"/>
          </w:tcPr>
          <w:p>
            <w:r>
              <w:t>184</w:t>
            </w:r>
          </w:p>
        </w:tc>
        <w:tc>
          <w:tcPr>
            <w:tcW w:type="dxa" w:w="720"/>
          </w:tcPr>
          <w:p>
            <w:r>
              <w:t>0.9613</w:t>
            </w:r>
          </w:p>
        </w:tc>
        <w:tc>
          <w:tcPr>
            <w:tcW w:type="dxa" w:w="720"/>
          </w:tcPr>
          <w:p>
            <w:r>
              <w:t>4.2238</w:t>
            </w:r>
          </w:p>
        </w:tc>
        <w:tc>
          <w:tcPr>
            <w:tcW w:type="dxa" w:w="720"/>
          </w:tcPr>
          <w:p>
            <w:r>
              <w:t>1.0026</w:t>
            </w:r>
          </w:p>
        </w:tc>
        <w:tc>
          <w:tcPr>
            <w:tcW w:type="dxa" w:w="720"/>
          </w:tcPr>
          <w:p>
            <w:r>
              <w:t>-0.1902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494,950.0000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</w:tbl>
    <w:p/>
    <w:p>
      <w:pPr>
        <w:pStyle w:val="Heading3"/>
      </w:pPr>
      <w:r>
        <w:t>Table 7. Top-5 change list (as provided in Exhibit 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subset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n_sales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median_ratio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tilt_beta_lnprice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tilt_pvalue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recommended_matrix_ids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0.9457</w:t>
            </w:r>
          </w:p>
        </w:tc>
        <w:tc>
          <w:tcPr>
            <w:tcW w:type="dxa" w:w="960"/>
          </w:tcPr>
          <w:p>
            <w:r>
              <w:t>5.9420</w:t>
            </w:r>
          </w:p>
        </w:tc>
        <w:tc>
          <w:tcPr>
            <w:tcW w:type="dxa" w:w="960"/>
          </w:tcPr>
          <w:p>
            <w:r>
              <w:t>1.0089</w:t>
            </w:r>
          </w:p>
        </w:tc>
        <w:tc>
          <w:tcPr>
            <w:tcW w:type="dxa" w:w="960"/>
          </w:tcPr>
          <w:p>
            <w:r>
              <w:t>-0.4663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1598, 3262, 3267, 3296, 3300, 3320, 3789, 3790, 3791, 3792, 3793, 3794, 3815, 3816, 3817, 3818, 3823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0.9562</w:t>
            </w:r>
          </w:p>
        </w:tc>
        <w:tc>
          <w:tcPr>
            <w:tcW w:type="dxa" w:w="960"/>
          </w:tcPr>
          <w:p>
            <w:r>
              <w:t>5.7942</w:t>
            </w:r>
          </w:p>
        </w:tc>
        <w:tc>
          <w:tcPr>
            <w:tcW w:type="dxa" w:w="960"/>
          </w:tcPr>
          <w:p>
            <w:r>
              <w:t>1.0028</w:t>
            </w:r>
          </w:p>
        </w:tc>
        <w:tc>
          <w:tcPr>
            <w:tcW w:type="dxa" w:w="960"/>
          </w:tcPr>
          <w:p>
            <w:r>
              <w:t>-0.5520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0.9062</w:t>
            </w:r>
          </w:p>
        </w:tc>
        <w:tc>
          <w:tcPr>
            <w:tcW w:type="dxa" w:w="960"/>
          </w:tcPr>
          <w:p>
            <w:r>
              <w:t>7.6646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-0.5272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960"/>
          </w:tcPr>
          <w:p>
            <w:r>
              <w:t>532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0.9805</w:t>
            </w:r>
          </w:p>
        </w:tc>
        <w:tc>
          <w:tcPr>
            <w:tcW w:type="dxa" w:w="960"/>
          </w:tcPr>
          <w:p>
            <w:r>
              <w:t>3.3546</w:t>
            </w:r>
          </w:p>
        </w:tc>
        <w:tc>
          <w:tcPr>
            <w:tcW w:type="dxa" w:w="960"/>
          </w:tcPr>
          <w:p>
            <w:r>
              <w:t>1.0014</w:t>
            </w:r>
          </w:p>
        </w:tc>
        <w:tc>
          <w:tcPr>
            <w:tcW w:type="dxa" w:w="960"/>
          </w:tcPr>
          <w:p>
            <w:r>
              <w:t>-0.5075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1598, 3262, 3267, 3296, 3300, 3789, 3790, 3791, 3792, 3793, 3794, 3823, 3846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Mild</w:t>
            </w:r>
          </w:p>
        </w:tc>
        <w:tc>
          <w:tcPr>
            <w:tcW w:type="dxa" w:w="960"/>
          </w:tcPr>
          <w:p>
            <w:r>
              <w:t>184</w:t>
            </w:r>
          </w:p>
        </w:tc>
        <w:tc>
          <w:tcPr>
            <w:tcW w:type="dxa" w:w="960"/>
          </w:tcPr>
          <w:p>
            <w:r>
              <w:t>0.9613</w:t>
            </w:r>
          </w:p>
        </w:tc>
        <w:tc>
          <w:tcPr>
            <w:tcW w:type="dxa" w:w="960"/>
          </w:tcPr>
          <w:p>
            <w:r>
              <w:t>4.2238</w:t>
            </w:r>
          </w:p>
        </w:tc>
        <w:tc>
          <w:tcPr>
            <w:tcW w:type="dxa" w:w="960"/>
          </w:tcPr>
          <w:p>
            <w:r>
              <w:t>1.0026</w:t>
            </w:r>
          </w:p>
        </w:tc>
        <w:tc>
          <w:tcPr>
            <w:tcW w:type="dxa" w:w="960"/>
          </w:tcPr>
          <w:p>
            <w:r>
              <w:t>-0.1902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</w:t>
            </w:r>
          </w:p>
        </w:tc>
      </w:tr>
    </w:tbl>
    <w:p/>
    <w:p>
      <w:pPr>
        <w:pStyle w:val="Heading2"/>
      </w:pPr>
      <w:r>
        <w:t>6.3 Tax incidence and distribution: tier and exemption patterns (2022)</w:t>
      </w:r>
    </w:p>
    <w:p>
      <w:r>
        <w:t>The 2022 parcel tax extract shows substantial dispersion in tax bills. The median bill is $2,232,</w:t>
        <w:br/>
        <w:t>with an interquartile range of $683–$3,496. Tier summaries show that median tax bills</w:t>
        <w:br/>
        <w:t>increase sharply across assessed-value tiers, as expected in an ad valorem system. Exempt-flagged parcels have substantially lower</w:t>
        <w:br/>
        <w:t>median assessed values and lower median tax bills in the provided summary.</w:t>
        <w:br/>
        <w:t>These descriptive distributions provide the baseline needed for the more important decomposition question in taxpayer communication:</w:t>
        <w:br/>
        <w:t>how much of a given bill change is value-driven versus levy/rate-driven. In this draft, we provide the decomposition identity and the</w:t>
        <w:br/>
        <w:t>counter-ready workflow (TAX-1); a full year-to-year decomposition requires multi-year taxable value and rate series at parcel-year level.</w:t>
      </w:r>
    </w:p>
    <w:p>
      <w:pPr>
        <w:pStyle w:val="Heading2"/>
      </w:pPr>
      <w:r>
        <w:t>6.4 Linking neighborhood change to QA risk (NC-1) — framework</w:t>
      </w:r>
    </w:p>
    <w:p>
      <w:r>
        <w:t>The neighborhood-change + QA clustering pack (NC-1) is designed to connect market dynamics to where QA issues cluster. It constructs:</w:t>
        <w:br/>
        <w:t>(1) a ChangeIndex from turnover, growth, new construction share, and dispersion; (2) a QARiskIndex from tier gaps, tilt magnitude, PRD</w:t>
        <w:br/>
        <w:t>deviations, and holdout failures; and (3) a PriorityScore to triage neighborhoods for review. The NC-1 runner and appendix were produced</w:t>
        <w:br/>
        <w:t>as part of this project; however, neighborhood-level indicator inputs were not included in the extract set provided for this filled paper.</w:t>
        <w:br/>
        <w:t>In a final publication, NC-1 results would be presented as hotspot maps and ranked tables, then linked back to the calibration changes</w:t>
        <w:br/>
        <w:t>and validation results documented in D/E/F.</w:t>
      </w:r>
    </w:p>
    <w:p>
      <w:pPr>
        <w:pStyle w:val="Heading2"/>
      </w:pPr>
      <w:r>
        <w:t>6.5 Matched-pair equity audit (MP-1) — framework</w:t>
      </w:r>
    </w:p>
    <w:p>
      <w:r>
        <w:t>The matched-pair audit (MP-1) answers a common high-stakes question: “If two homes are the same in observable characteristics, do they</w:t>
        <w:br/>
        <w:t>experience different assessment performance depending on where they are?” The MP-1 runner constructs match cells using sqft/age bands and</w:t>
        <w:br/>
        <w:t>condition/quality/class, computes within-cell differences between two groups, and aggregates those differences with pooled weights.</w:t>
        <w:br/>
        <w:t>This tool is explicitly USPAP-safe as a descriptive QA audit: it does not use protected-class variables as valuation inputs and does not</w:t>
        <w:br/>
        <w:t>claim causal mechanisms. In this filled paper, MP-1 is presented as the recommended deep-dive method for equity-lens analyses after the</w:t>
        <w:br/>
        <w:t>basic tier and subset diagnostics have flagged potential issues.</w:t>
      </w:r>
    </w:p>
    <w:p>
      <w:pPr>
        <w:pStyle w:val="Heading1"/>
      </w:pPr>
      <w:r>
        <w:t>7. Robustness and Sensitivity</w:t>
      </w:r>
    </w:p>
    <w:p>
      <w:r>
        <w:t>To align with best practice and the tone of the academic literature, a final publication should include robustness checks in three domains:</w:t>
      </w:r>
    </w:p>
    <w:p>
      <w:r>
        <w:t>(1) Metric sensitivity: alternative tier definitions (quantiles vs fixed cutpoints), log-error metrics, mean vs median performance measures,</w:t>
        <w:br/>
        <w:t>and alternative vertical equity statistics. (2) Sample sensitivity: alternative sales qualification filters, thin-market pooling rules, and</w:t>
        <w:br/>
        <w:t>placebo time windows. (3) Reporting sensitivity: suppression thresholds for small cells, alternative geographic aggregations, and disclosure</w:t>
        <w:br/>
        <w:t>controls for demographic overlays.</w:t>
      </w:r>
    </w:p>
    <w:p>
      <w:r>
        <w:t>The governance artifacts (D/E/F and SC-1) naturally support robustness because each calibration change is versioned and tied to explicit</w:t>
        <w:br/>
        <w:t>gates; alternative specifications can be evaluated and documented within the same evidence bundle.</w:t>
      </w:r>
    </w:p>
    <w:p>
      <w:pPr>
        <w:pStyle w:val="Heading1"/>
      </w:pPr>
      <w:r>
        <w:t>8. Discussion</w:t>
      </w:r>
    </w:p>
    <w:p>
      <w:pPr>
        <w:pStyle w:val="Heading2"/>
      </w:pPr>
      <w:r>
        <w:t>8.1 Connecting the research framing to operational governance</w:t>
      </w:r>
    </w:p>
    <w:p>
      <w:r>
        <w:t>The RAND neighborhood-change framing emphasizes that housing dynamics can produce unequal burdens, including along racial lines, through</w:t>
        <w:br/>
        <w:t>their interaction with assessment systems. The Berry reassessment framing emphasizes that assessment accuracy is the hinge: systematic errors</w:t>
        <w:br/>
        <w:t>transform the incidence of the property tax, potentially making it regressive or uneven.</w:t>
      </w:r>
    </w:p>
    <w:p>
      <w:r>
        <w:t>Benton’s approach operationalizes both insights. First, it treats market change as a measurable stressor and organizes diagnostics to show where</w:t>
        <w:br/>
        <w:t>performance degrades (subsets, tiers, and ultimately neighborhoods via NC-1). Second, it treats accuracy and vertical equity as governed outcomes:</w:t>
        <w:br/>
        <w:t>diagnostics trigger a bounded set of interventions that must pass holdout validation and produce an audit trail. This is a practical blueprint</w:t>
        <w:br/>
        <w:t>for translating research concerns into defensible administration.</w:t>
      </w:r>
    </w:p>
    <w:p>
      <w:pPr>
        <w:pStyle w:val="Heading2"/>
      </w:pPr>
      <w:r>
        <w:t>8.2 Equity lens without protected-class valuation inputs</w:t>
      </w:r>
    </w:p>
    <w:p>
      <w:r>
        <w:t>A central design choice is separating “measurement” from “modeling.” Protected-class variables should not be used as valuation inputs. However,</w:t>
        <w:br/>
        <w:t>equity concerns can and should be addressed through descriptive measurement: comparing distributions of bill changes and assessment performance</w:t>
        <w:br/>
        <w:t>across geographies, tiers, and matched property profiles, and then using those measurements to prioritize review. When demographic context is used,</w:t>
        <w:br/>
        <w:t>it should be aggregated (e.g., tract/block group), suppressed for privacy, and interpreted cautiously (descriptive, not causal).</w:t>
      </w:r>
    </w:p>
    <w:p>
      <w:pPr>
        <w:pStyle w:val="Heading2"/>
      </w:pPr>
      <w:r>
        <w:t>8.3 Practical implications for taxpayer communication</w:t>
      </w:r>
    </w:p>
    <w:p>
      <w:r>
        <w:t>The largest communication failure in property tax administration is explaining tax bills as if they were caused only by assessment.</w:t>
        <w:br/>
        <w:t>The TAX-1 decomposition provides a direct remedy: it separates the value-driven component of a bill change from the levy/rate-driven component.</w:t>
        <w:br/>
        <w:t>A counter-facing workflow should begin with decomposition, then (if needed) proceed to performance diagnostics (tier plots, subset metrics),</w:t>
        <w:br/>
        <w:t>and only then to governance evidence (what was changed, why, and how it was validated). This sequencing reduces conflict and increases trust.</w:t>
      </w:r>
    </w:p>
    <w:p>
      <w:pPr>
        <w:pStyle w:val="Heading1"/>
      </w:pPr>
      <w:r>
        <w:t>9. Conclusion</w:t>
      </w:r>
    </w:p>
    <w:p>
      <w:r>
        <w:t>This paper provides a research-style framework grounded in Benton County’s operational practice. We connect neighborhood change and housing market</w:t>
        <w:br/>
        <w:t>dynamics to assessment performance and property tax outcomes using a measurement-first approach: ratio-study metrics, vertical equity diagnostics,</w:t>
        <w:br/>
        <w:t>and tax-bill decomposition. We then show how Benton’s calibrated cost governance converts diagnostics into auditable, versioned changes validated by</w:t>
        <w:br/>
        <w:t>holdout testing under a sales-chasing firewall. The result is a blueprint for counties that want both academic-grade measurement and hearing-ready</w:t>
        <w:br/>
        <w:t>defensibility: measure what matters, change only through governed levers, validate before deployment, and communicate tax outcomes by separating</w:t>
        <w:br/>
        <w:t>value effects from rate effects.</w:t>
      </w:r>
    </w:p>
    <w:p>
      <w:pPr>
        <w:pStyle w:val="Heading1"/>
      </w:pPr>
      <w:r>
        <w:t>References</w:t>
      </w:r>
    </w:p>
    <w:p>
      <w:pPr>
        <w:pStyle w:val="ListBullet"/>
      </w:pPr>
      <w:r>
        <w:t>RAND dissertation: “Neighborhood Change, Housing Market Dynamics, and Racial Inequality in Property Taxes” (provided PDF: RAND_RGSDA4498-1.pdf).</w:t>
      </w:r>
    </w:p>
    <w:p>
      <w:pPr>
        <w:pStyle w:val="ListBullet"/>
      </w:pPr>
      <w:r>
        <w:t>Berry, Christopher. “Reassessing the Property Tax” (provided PDF: Berry-Reassessing-the-Property-Tax-3121.pdf).</w:t>
      </w:r>
    </w:p>
    <w:p>
      <w:pPr>
        <w:pStyle w:val="ListBullet"/>
      </w:pPr>
      <w:r>
        <w:t>Internal Benton County documentation: “Benton’s Market-Calibrated Cost System” one-pager (provided PDF: Benton_Market_Calibration_OnePager.pdf).</w:t>
      </w:r>
    </w:p>
    <w:p>
      <w:pPr>
        <w:pStyle w:val="ListBullet"/>
      </w:pPr>
      <w:r>
        <w:t>Project exhibit suite: TAX-1 runner and pack; NC-1 runner and pack; SC-1 runner and pack; MP-1 runner and pack; Exhibits D/E/F and STAND appendices (provided files).</w:t>
      </w:r>
    </w:p>
    <w:p>
      <w:r>
        <w:br w:type="page"/>
      </w:r>
    </w:p>
    <w:p>
      <w:pPr>
        <w:pStyle w:val="Heading1"/>
      </w:pPr>
      <w:r>
        <w:t>Appendix A. Evidence bundle crosswalk (project artifacts)</w:t>
      </w:r>
    </w:p>
    <w:p>
      <w:r>
        <w:t>A1. TAX-1 — Tax Bill Decomposition Runner and Pack: counter-ready explanations of bill changes (value vs rate vs interaction) and tier summaries.</w:t>
        <w:br/>
        <w:t>A2. NC-1 — Neighborhood Change + QA Cluster Runner and Pack: ChangeIndex, QARiskIndex, and PriorityScore; map-export table (inputs required for final results).</w:t>
        <w:br/>
        <w:t>A3. SC-1 — Sales Chasing Firewall Runner and Pack: timing locks, change logs, holdout summaries, and paste-ready attestation language.</w:t>
        <w:br/>
        <w:t>A4. MP-1 — Matched-Pair Audit Runner and Pack: stratified matching on observable characteristics; standardized gap and unmatched diagnostics.</w:t>
        <w:br/>
        <w:t>A5. Exhibit D — Top calibration targets and permanent gate spec (as provided in CSV/XLSX/PDF).</w:t>
        <w:br/>
        <w:t>A6. Exhibit E — Change list and memo appendix (as provided in CSV/XLSX/PDF).</w:t>
        <w:br/>
        <w:t>A7. Exhibit F — Before/After validation packet template (pre-wired for push-button workflow).</w:t>
        <w:br/>
        <w:t>A8. STAND appendices — standards mapping and calibration memo shell.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