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IAAO Course Packet (Instructor Manual)</w:t>
      </w:r>
    </w:p>
    <w:p/>
    <w:p>
      <w:pPr>
        <w:jc w:val="center"/>
      </w:pPr>
      <w:r>
        <w:rPr>
          <w:sz w:val="28"/>
        </w:rPr>
        <w:t>Benton's Market Calibration System: Inputs -&gt; Calibration -&gt; QA -&gt; Governance</w:t>
      </w:r>
    </w:p>
    <w:p/>
    <w:p>
      <w:pPr>
        <w:jc w:val="center"/>
      </w:pPr>
      <w:r>
        <w:rPr>
          <w:sz w:val="24"/>
        </w:rPr>
        <w:t>Benton County Assessor - Market Calibration System</w:t>
      </w:r>
    </w:p>
    <w:p/>
    <w:p>
      <w:pPr>
        <w:jc w:val="center"/>
      </w:pPr>
      <w:r>
        <w:rPr>
          <w:sz w:val="22"/>
        </w:rPr>
        <w:t>Prepared: January 8, 2026</w:t>
      </w:r>
    </w:p>
    <w:p>
      <w:r>
        <w:br w:type="page"/>
      </w:r>
    </w:p>
    <w:p>
      <w:pPr>
        <w:pStyle w:val="Heading1"/>
      </w:pPr>
      <w:r>
        <w:t>Course Summary</w:t>
      </w:r>
    </w:p>
    <w:p>
      <w:r>
        <w:t>This instructor manual supports a full-day (or two half-day) IAAO-style course on Benton County's market-calibrated costing workflow. The course teaches how to identify characteristic-driven value signals using fixed-effect hedonic models, translate evidence into cost-table deltas, and run governance controls that prevent sales chasing while improving vertical equity.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the difference between legitimate market calibration and sales chasing (including detection signals and audit controls).</w:t>
      </w:r>
    </w:p>
    <w:p>
      <w:pPr>
        <w:pStyle w:val="ListBullet"/>
      </w:pPr>
      <w:r>
        <w:t>Estimate characteristic-driven price effects using a fixed-effect (within) hedonic model and interpret elasticities/premiums.</w:t>
      </w:r>
    </w:p>
    <w:p>
      <w:pPr>
        <w:pStyle w:val="ListBullet"/>
      </w:pPr>
      <w:r>
        <w:t>Stratify calibration by class/quality tier and neighborhood group to support cost-table governance.</w:t>
      </w:r>
    </w:p>
    <w:p>
      <w:pPr>
        <w:pStyle w:val="ListBullet"/>
      </w:pPr>
      <w:r>
        <w:t>Map market evidence into RES matrices (depreciation, basement, garage) while preserving monotonicity and caps.</w:t>
      </w:r>
    </w:p>
    <w:p>
      <w:pPr>
        <w:pStyle w:val="ListBullet"/>
      </w:pPr>
      <w:r>
        <w:t>Validate candidate changes with paired ratio studies (COD, PRD, PRB) and document a versioned release.</w:t>
      </w:r>
    </w:p>
    <w:p>
      <w:pPr>
        <w:pStyle w:val="Heading1"/>
      </w:pPr>
      <w:r>
        <w:t>Audience and Prerequisites</w:t>
      </w:r>
    </w:p>
    <w:p>
      <w:pPr>
        <w:pStyle w:val="ListBullet"/>
      </w:pPr>
      <w:r>
        <w:t>Target audience: assessors, appraisal staff, modelers, QA leads, and administrators responsible for annual calibration.</w:t>
      </w:r>
    </w:p>
    <w:p>
      <w:pPr>
        <w:pStyle w:val="ListBullet"/>
      </w:pPr>
      <w:r>
        <w:t>Prerequisites: basic valuation concepts (cost approach, depreciation), ratio studies, and spreadsheet literacy.</w:t>
      </w:r>
    </w:p>
    <w:p>
      <w:pPr>
        <w:pStyle w:val="ListBullet"/>
      </w:pPr>
      <w:r>
        <w:t>Optional: familiarity with log-linear models and fixed effects (course includes a short primer).</w:t>
      </w:r>
    </w:p>
    <w:p>
      <w:pPr>
        <w:pStyle w:val="Heading1"/>
      </w:pPr>
      <w:r>
        <w:t>Course Materials</w:t>
      </w:r>
    </w:p>
    <w:p>
      <w:pPr>
        <w:pStyle w:val="ListBullet"/>
      </w:pPr>
      <w:r>
        <w:t>Technical Report: Benton_IAAO_Market_Calibration_Report.pdf</w:t>
      </w:r>
    </w:p>
    <w:p>
      <w:pPr>
        <w:pStyle w:val="ListBullet"/>
      </w:pPr>
      <w:r>
        <w:t>Evidence + Mapping Workbook: Cost_Matrix_2026_MARKET_MAPPED.xlsx (tabs CAL_* and MAP_*)</w:t>
      </w:r>
    </w:p>
    <w:p>
      <w:pPr>
        <w:pStyle w:val="ListBullet"/>
      </w:pPr>
      <w:r>
        <w:t>Executive Brief: Benton_IAAO_Executive_Brief.pdf</w:t>
      </w:r>
    </w:p>
    <w:p>
      <w:pPr>
        <w:pStyle w:val="ListBullet"/>
      </w:pPr>
      <w:r>
        <w:t>Student Workbook: Benton_IAAO_Course_Student_Workbook.docx</w:t>
      </w:r>
    </w:p>
    <w:p>
      <w:pPr>
        <w:pStyle w:val="Heading1"/>
      </w:pPr>
      <w:r>
        <w:t>Course Agenda (Full Day)</w:t>
      </w:r>
    </w:p>
    <w:p>
      <w:pPr>
        <w:pStyle w:val="ListNumber"/>
      </w:pPr>
      <w:r>
        <w:t>Module 1 (45m): Calibration vs Sales Chasing - definitions, failure modes, and prevention controls</w:t>
      </w:r>
    </w:p>
    <w:p>
      <w:pPr>
        <w:pStyle w:val="ListNumber"/>
      </w:pPr>
      <w:r>
        <w:t>Module 2 (60m): Data, stratification, and fixed-effect identification strategy</w:t>
      </w:r>
    </w:p>
    <w:p>
      <w:pPr>
        <w:pStyle w:val="ListNumber"/>
      </w:pPr>
      <w:r>
        <w:t>Module 3 (75m): Interpreting drivers - size curves, condition premiums, basement/garage signals</w:t>
      </w:r>
    </w:p>
    <w:p>
      <w:pPr>
        <w:pStyle w:val="ListNumber"/>
      </w:pPr>
      <w:r>
        <w:t>Module 4 (60m): Mapping into RES matrices - depreciation, basement, detached garage</w:t>
      </w:r>
    </w:p>
    <w:p>
      <w:pPr>
        <w:pStyle w:val="ListNumber"/>
      </w:pPr>
      <w:r>
        <w:t>Module 5 (45m): Validation - paired ratio studies, vertical equity, and PRB/PRD governance</w:t>
      </w:r>
    </w:p>
    <w:p>
      <w:pPr>
        <w:pStyle w:val="ListNumber"/>
      </w:pPr>
      <w:r>
        <w:t>Module 6 (30m): Release governance - versioning, caps, audit trail, and monitoring cadence</w:t>
      </w:r>
    </w:p>
    <w:p>
      <w:pPr>
        <w:pStyle w:val="ListNumber"/>
      </w:pPr>
      <w:r>
        <w:t>Hands-on Lab Blocks (2 x 45m): Build calibration sheet + execute a candidate matrix change review</w:t>
      </w:r>
    </w:p>
    <w:p>
      <w:pPr>
        <w:pStyle w:val="Heading1"/>
      </w:pPr>
      <w:r>
        <w:t>Instructional Notes</w:t>
      </w:r>
    </w:p>
    <w:p>
      <w:pPr>
        <w:pStyle w:val="ListBullet"/>
      </w:pPr>
      <w:r>
        <w:t>Emphasize identification: within Neighborhood x SaleMonth controls prevent time/location confounding.</w:t>
      </w:r>
    </w:p>
    <w:p>
      <w:pPr>
        <w:pStyle w:val="ListBullet"/>
      </w:pPr>
      <w:r>
        <w:t>Keep all changes 'candidate' until validated; reinforce that calibration is not a free-form tuning exercise.</w:t>
      </w:r>
    </w:p>
    <w:p>
      <w:pPr>
        <w:pStyle w:val="ListBullet"/>
      </w:pPr>
      <w:r>
        <w:t>Use MAP_Flags_Top to teach triage: start where divergence is largest and evidence is strongest.</w:t>
      </w:r>
    </w:p>
    <w:p>
      <w:pPr>
        <w:pStyle w:val="ListBullet"/>
      </w:pPr>
      <w:r>
        <w:t>Tie every coefficient back to an operational lever (matrix cell, multiplier, or cap).</w:t>
      </w:r>
    </w:p>
    <w:p>
      <w:pPr>
        <w:pStyle w:val="Heading2"/>
      </w:pPr>
      <w:r>
        <w:t>Module 1: Calibration vs Sales Chasing</w:t>
      </w:r>
    </w:p>
    <w:p>
      <w:pPr>
        <w:pStyle w:val="ListBullet"/>
      </w:pPr>
      <w:r>
        <w:t>Sales chasing definition: assessments reacting to known sale prices rather than market signals.</w:t>
      </w:r>
    </w:p>
    <w:p>
      <w:pPr>
        <w:pStyle w:val="ListBullet"/>
      </w:pPr>
      <w:r>
        <w:t>Calibration definition: system-wide parameter updates based on representative sales evidence with controls.</w:t>
      </w:r>
    </w:p>
    <w:p>
      <w:pPr>
        <w:pStyle w:val="ListBullet"/>
      </w:pPr>
      <w:r>
        <w:t>Detection indicators: unstable A/S trends around sale dates, inconsistent time slices, PRB artifacts, neighborhood anomalies.</w:t>
      </w:r>
    </w:p>
    <w:p>
      <w:pPr>
        <w:pStyle w:val="ListBullet"/>
      </w:pPr>
      <w:r>
        <w:t>Prevention: holdout validation, fixed-effect controls, governance approvals, versioned releases.</w:t>
      </w:r>
    </w:p>
    <w:p>
      <w:pPr>
        <w:pStyle w:val="Heading2"/>
      </w:pPr>
      <w:r>
        <w:t>Module 2: Identification Strategy and Model Design</w:t>
      </w:r>
    </w:p>
    <w:p>
      <w:pPr>
        <w:pStyle w:val="ListBullet"/>
      </w:pPr>
      <w:r>
        <w:t>Why fixed effects: isolate characteristic effects from neighborhood and market-time shocks.</w:t>
      </w:r>
    </w:p>
    <w:p>
      <w:pPr>
        <w:pStyle w:val="ListBullet"/>
      </w:pPr>
      <w:r>
        <w:t>Within estimator intuition: de-mean within (Neighborhood x Month) to remove FE without thousands of dummies.</w:t>
      </w:r>
    </w:p>
    <w:p>
      <w:pPr>
        <w:pStyle w:val="ListBullet"/>
      </w:pPr>
      <w:r>
        <w:t>Core regressors: ln(area), effective age, condition dummies, ln(garage), ln(basement), finished-share term, ln(lot).</w:t>
      </w:r>
    </w:p>
    <w:p>
      <w:pPr>
        <w:pStyle w:val="ListBullet"/>
      </w:pPr>
      <w:r>
        <w:t>Stratification: class_cd, quality tier, Hood_main; minimum sample sizes and stability checks.</w:t>
      </w:r>
    </w:p>
    <w:p>
      <w:pPr>
        <w:pStyle w:val="Heading2"/>
      </w:pPr>
      <w:r>
        <w:t>Module 3: Driver Interpretation (Cost-Table Levers)</w:t>
      </w:r>
    </w:p>
    <w:p>
      <w:pPr>
        <w:pStyle w:val="ListBullet"/>
      </w:pPr>
      <w:r>
        <w:t>Size elasticity -&gt; size curve slope and diminishing returns; tier-specific differences.</w:t>
      </w:r>
    </w:p>
    <w:p>
      <w:pPr>
        <w:pStyle w:val="ListBullet"/>
      </w:pPr>
      <w:r>
        <w:t>Condition premiums -&gt; condition multipliers or effective-age shifts; check monotonicity.</w:t>
      </w:r>
    </w:p>
    <w:p>
      <w:pPr>
        <w:pStyle w:val="ListBullet"/>
      </w:pPr>
      <w:r>
        <w:t>Basement total vs finished share -&gt; unfinished base + finishing uplift; constrain unfinished &lt; finished.</w:t>
      </w:r>
    </w:p>
    <w:p>
      <w:pPr>
        <w:pStyle w:val="ListBullet"/>
      </w:pPr>
      <w:r>
        <w:t>Garage elasticity -&gt; feature matrix; small-bin divergences behave like 'adders'.</w:t>
      </w:r>
    </w:p>
    <w:p>
      <w:pPr>
        <w:pStyle w:val="Heading2"/>
      </w:pPr>
      <w:r>
        <w:t>Module 4: Mapping Evidence into RES Matrices</w:t>
      </w:r>
    </w:p>
    <w:p>
      <w:pPr>
        <w:pStyle w:val="ListBullet"/>
      </w:pPr>
      <w:r>
        <w:t>Depreciation mapping: combine age slope + condition premiums into age-shifted depreciation curve.</w:t>
      </w:r>
    </w:p>
    <w:p>
      <w:pPr>
        <w:pStyle w:val="ListBullet"/>
      </w:pPr>
      <w:r>
        <w:t>Basement mapping: preserve shape; class-specific scale to hit market-implied $/sf targets.</w:t>
      </w:r>
    </w:p>
    <w:p>
      <w:pPr>
        <w:pStyle w:val="ListBullet"/>
      </w:pPr>
      <w:r>
        <w:t>Garage mapping: recompute suggested rates by bin using median prices; apply stability floors and monotonicity.</w:t>
      </w:r>
    </w:p>
    <w:p>
      <w:pPr>
        <w:pStyle w:val="ListBullet"/>
      </w:pPr>
      <w:r>
        <w:t>Flagging divergence: MAP_Flags_Top triage; document rationale for each change.</w:t>
      </w:r>
    </w:p>
    <w:p>
      <w:pPr>
        <w:pStyle w:val="Heading2"/>
      </w:pPr>
      <w:r>
        <w:t>Module 5: Validation and Vertical Equity</w:t>
      </w:r>
    </w:p>
    <w:p>
      <w:pPr>
        <w:pStyle w:val="ListBullet"/>
      </w:pPr>
      <w:r>
        <w:t>Paired ratio study: before/after on the same valid sales set; compute COD, PRD, PRB by strata.</w:t>
      </w:r>
    </w:p>
    <w:p>
      <w:pPr>
        <w:pStyle w:val="ListBullet"/>
      </w:pPr>
      <w:r>
        <w:t>Vertical equity focus: reduce PRB, stabilize PRD, ensure COD within IAAO expectations.</w:t>
      </w:r>
    </w:p>
    <w:p>
      <w:pPr>
        <w:pStyle w:val="ListBullet"/>
      </w:pPr>
      <w:r>
        <w:t>Anti-chasing checks: time-slice monitoring; no targeted tuning to recent sales pockets.</w:t>
      </w:r>
    </w:p>
    <w:p>
      <w:pPr>
        <w:pStyle w:val="Heading2"/>
      </w:pPr>
      <w:r>
        <w:t>Module 6: Release Governance and Monitoring</w:t>
      </w:r>
    </w:p>
    <w:p>
      <w:pPr>
        <w:pStyle w:val="ListBullet"/>
      </w:pPr>
      <w:r>
        <w:t>Caps: limit per-cycle movement on sensitive matrices; require signoff for exceptions.</w:t>
      </w:r>
    </w:p>
    <w:p>
      <w:pPr>
        <w:pStyle w:val="ListBullet"/>
      </w:pPr>
      <w:r>
        <w:t>Versioning: matrix release notes, change logs, rollback plan.</w:t>
      </w:r>
    </w:p>
    <w:p>
      <w:pPr>
        <w:pStyle w:val="ListBullet"/>
      </w:pPr>
      <w:r>
        <w:t>Monitoring cadence: monthly calibration dashboards; quarterly deep dives; annual release ceremony.</w:t>
      </w:r>
    </w:p>
    <w:p>
      <w:pPr>
        <w:pStyle w:val="Heading1"/>
      </w:pPr>
      <w:r>
        <w:t>Labs (Instructor Guide + Answer Key)</w:t>
      </w:r>
    </w:p>
    <w:p>
      <w:pPr>
        <w:pStyle w:val="Heading2"/>
      </w:pPr>
      <w:r>
        <w:t>Lab A: Build the Calibration Sheet</w:t>
      </w:r>
    </w:p>
    <w:p>
      <w:r>
        <w:t>Goal: produce stratified driver estimates by tier and neighborhood group and interpret results as cost-table levers.</w:t>
      </w:r>
    </w:p>
    <w:p>
      <w:pPr>
        <w:pStyle w:val="ListNumber"/>
      </w:pPr>
      <w:r>
        <w:t>Open Cost_Matrix_2026_MARKET_MAPPED.xlsx.</w:t>
      </w:r>
    </w:p>
    <w:p>
      <w:pPr>
        <w:pStyle w:val="ListNumber"/>
      </w:pPr>
      <w:r>
        <w:t>Review CAL_Drivers_Tier and CAL_Drivers_Class; identify the dominant drivers and stability (R2, model_n).</w:t>
      </w:r>
    </w:p>
    <w:p>
      <w:pPr>
        <w:pStyle w:val="ListNumber"/>
      </w:pPr>
      <w:r>
        <w:t>In CAL_Drivers_HoodTop75, select three neighborhoods and compare size elasticity and condition premiums.</w:t>
      </w:r>
    </w:p>
    <w:p>
      <w:pPr>
        <w:pStyle w:val="ListNumber"/>
      </w:pPr>
      <w:r>
        <w:t>Write a one-paragraph interpretation: what changes would you consider for size curve, condition multipliers, and features?</w:t>
      </w:r>
    </w:p>
    <w:p>
      <w:r>
        <w:t>Answer key (expected): participants identify stable size elasticity range by tier; note condition premiums; recognize where coefficients are noisy; propose only candidate deltas with governance constraints.</w:t>
      </w:r>
    </w:p>
    <w:p>
      <w:pPr>
        <w:pStyle w:val="Heading2"/>
      </w:pPr>
      <w:r>
        <w:t>Lab B: Matrix Change Triage and Governance</w:t>
      </w:r>
    </w:p>
    <w:p>
      <w:r>
        <w:t>Goal: use MAP_Flags_Top to triage candidate matrix changes and draft a defensible change log entry.</w:t>
      </w:r>
    </w:p>
    <w:p>
      <w:pPr>
        <w:pStyle w:val="ListNumber"/>
      </w:pPr>
      <w:r>
        <w:t>Open MAP_Flags_Top. Select five cells with the largest absolute deltas that have strong evidence support.</w:t>
      </w:r>
    </w:p>
    <w:p>
      <w:pPr>
        <w:pStyle w:val="ListNumber"/>
      </w:pPr>
      <w:r>
        <w:t>For each cell, trace to its detailed sheet (MAP_Depre_Comparison, MAP_BSMT_*, MAP_Garage_Comparison).</w:t>
      </w:r>
    </w:p>
    <w:p>
      <w:pPr>
        <w:pStyle w:val="ListNumber"/>
      </w:pPr>
      <w:r>
        <w:t>Draft a change log entry: current value, suggested value, evidence basis, constraints (caps/monotonicity), validation plan.</w:t>
      </w:r>
    </w:p>
    <w:p>
      <w:pPr>
        <w:pStyle w:val="ListNumber"/>
      </w:pPr>
      <w:r>
        <w:t>Define the acceptance criteria using COD/PRD/PRB and an anti-chasing check.</w:t>
      </w:r>
    </w:p>
    <w:p>
      <w:r>
        <w:t>Answer key (expected): prioritize depreciation curve deltas and small-bin garage divergences; define caps; require paired ratio study; include rollback plan and monitoring triggers.</w:t>
      </w:r>
    </w:p>
    <w:p>
      <w:pPr>
        <w:pStyle w:val="Heading1"/>
      </w:pPr>
      <w:r>
        <w:t>Appendix A: Glossary</w:t>
      </w:r>
    </w:p>
    <w:p>
      <w:pPr>
        <w:pStyle w:val="ListBullet"/>
      </w:pPr>
      <w:r>
        <w:t>COD: coefficient of dispersion (uniformity).</w:t>
      </w:r>
    </w:p>
    <w:p>
      <w:pPr>
        <w:pStyle w:val="ListBullet"/>
      </w:pPr>
      <w:r>
        <w:t>PRD: price-related differential (vertical equity).</w:t>
      </w:r>
    </w:p>
    <w:p>
      <w:pPr>
        <w:pStyle w:val="ListBullet"/>
      </w:pPr>
      <w:r>
        <w:t>PRB: price-related bias (slope of appraisal ratio vs price).</w:t>
      </w:r>
    </w:p>
    <w:p>
      <w:pPr>
        <w:pStyle w:val="ListBullet"/>
      </w:pPr>
      <w:r>
        <w:t>Fixed effects (FE): controls capturing unobserved time/location influences.</w:t>
      </w:r>
    </w:p>
    <w:p>
      <w:pPr>
        <w:pStyle w:val="ListBullet"/>
      </w:pPr>
      <w:r>
        <w:t>Within estimator: regression on de-meaned variables within FE groups.</w:t>
      </w:r>
    </w:p>
    <w:p>
      <w:pPr>
        <w:pStyle w:val="Heading1"/>
      </w:pPr>
      <w:r>
        <w:t>Appendix B: Slide Outline (Suggested)</w:t>
      </w:r>
    </w:p>
    <w:p>
      <w:pPr>
        <w:pStyle w:val="ListNumber"/>
      </w:pPr>
      <w:r>
        <w:t>Why market calibration matters (and why sales chasing fails audits).</w:t>
      </w:r>
    </w:p>
    <w:p>
      <w:pPr>
        <w:pStyle w:val="ListNumber"/>
      </w:pPr>
      <w:r>
        <w:t>Benton stratification: class/tier/neighborhood groups.</w:t>
      </w:r>
    </w:p>
    <w:p>
      <w:pPr>
        <w:pStyle w:val="ListNumber"/>
      </w:pPr>
      <w:r>
        <w:t>Fixed-effect model intuition and interpretation.</w:t>
      </w:r>
    </w:p>
    <w:p>
      <w:pPr>
        <w:pStyle w:val="ListNumber"/>
      </w:pPr>
      <w:r>
        <w:t>Evidence tables: size, condition, basement, garage.</w:t>
      </w:r>
    </w:p>
    <w:p>
      <w:pPr>
        <w:pStyle w:val="ListNumber"/>
      </w:pPr>
      <w:r>
        <w:t>Mapping to matrices: depreciation and features.</w:t>
      </w:r>
    </w:p>
    <w:p>
      <w:pPr>
        <w:pStyle w:val="ListNumber"/>
      </w:pPr>
      <w:r>
        <w:t>Governance: validation, caps, release versioning, monitoring.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