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Independence Checklist + Core Tests</w:t>
      </w:r>
    </w:p>
    <w:p>
      <w:pPr>
        <w:jc w:val="center"/>
      </w:pPr>
      <w:r>
        <w:rPr>
          <w:sz w:val="28"/>
        </w:rPr>
        <w:t>Assessment Governance Addendum (Audit-Ready)</w:t>
      </w:r>
    </w:p>
    <w:p/>
    <w:p>
      <w:pPr>
        <w:jc w:val="center"/>
      </w:pPr>
      <w:r>
        <w:rPr>
          <w:sz w:val="22"/>
        </w:rPr>
        <w:t>Draft Date: 2026-01-19</w:t>
      </w:r>
    </w:p>
    <w:p>
      <w:pPr>
        <w:jc w:val="center"/>
      </w:pPr>
      <w:r>
        <w:rPr>
          <w:sz w:val="22"/>
        </w:rPr>
        <w:t>Purpose: Demonstrate independence from sale prices and prevent sales chasing/leakage</w:t>
      </w:r>
    </w:p>
    <w:p>
      <w:r>
        <w:br w:type="page"/>
      </w:r>
    </w:p>
    <w:p>
      <w:pPr>
        <w:pStyle w:val="Heading1"/>
      </w:pPr>
      <w:r>
        <w:t>1. Required Annual Disclosures (Fail-Closed)</w:t>
      </w:r>
    </w:p>
    <w:p>
      <w:pPr>
        <w:pStyle w:val="ListBullet"/>
      </w:pPr>
      <w:r>
        <w:t>Appraisal date (effective valuation date): [FILL IN]</w:t>
      </w:r>
    </w:p>
    <w:p>
      <w:pPr>
        <w:pStyle w:val="ListBullet"/>
      </w:pPr>
      <w:r>
        <w:t>Sales cutoff date Tc (last sale that can influence calibration for this roll): [FILL IN]</w:t>
      </w:r>
    </w:p>
    <w:p>
      <w:pPr>
        <w:pStyle w:val="ListBullet"/>
      </w:pPr>
      <w:r>
        <w:t>Reporting window Tr for published ratio study metrics: [FILL IN]</w:t>
      </w:r>
    </w:p>
    <w:p>
      <w:pPr>
        <w:pStyle w:val="ListBullet"/>
      </w:pPr>
      <w:r>
        <w:t>Model change log: list of any table/curve versions changed for the roll (with memo links)</w:t>
      </w:r>
    </w:p>
    <w:p>
      <w:pPr>
        <w:pStyle w:val="ListBullet"/>
      </w:pPr>
      <w:r>
        <w:t>Separation of duties: calibration team vs appeals team (named roles or titles)</w:t>
      </w:r>
    </w:p>
    <w:p>
      <w:pPr>
        <w:pStyle w:val="Heading1"/>
      </w:pPr>
      <w:r>
        <w:t>2. Independence Controls (Policy Statements)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1F2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Policy statement (what we commit to)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Evidence artifact</w:t>
            </w:r>
          </w:p>
        </w:tc>
      </w:tr>
      <w:tr>
        <w:tc>
          <w:tcPr>
            <w:tcW w:type="dxa" w:w="3120"/>
          </w:tcPr>
          <w:p>
            <w:r>
              <w:t>No parcel targeting</w:t>
            </w:r>
          </w:p>
        </w:tc>
        <w:tc>
          <w:tcPr>
            <w:tcW w:type="dxa" w:w="3120"/>
          </w:tcPr>
          <w:p>
            <w:r>
              <w:t>Sold parcels are not set to sale price as a rule; sales inform table/curve calibration only.</w:t>
            </w:r>
          </w:p>
        </w:tc>
        <w:tc>
          <w:tcPr>
            <w:tcW w:type="dxa" w:w="3120"/>
          </w:tcPr>
          <w:p>
            <w:r>
              <w:t>Calibration memo + table diffs</w:t>
            </w:r>
          </w:p>
        </w:tc>
      </w:tr>
      <w:tr>
        <w:tc>
          <w:tcPr>
            <w:tcW w:type="dxa" w:w="3120"/>
          </w:tcPr>
          <w:p>
            <w:r>
              <w:t>Temporal separation</w:t>
            </w:r>
          </w:p>
        </w:tc>
        <w:tc>
          <w:tcPr>
            <w:tcW w:type="dxa" w:w="3120"/>
          </w:tcPr>
          <w:p>
            <w:r>
              <w:t>Sales after Tc do not affect current-roll calibration; they are reserved for next-cycle evidence.</w:t>
            </w:r>
          </w:p>
        </w:tc>
        <w:tc>
          <w:tcPr>
            <w:tcW w:type="dxa" w:w="3120"/>
          </w:tcPr>
          <w:p>
            <w:r>
              <w:t>Memo section: Tc + extract query</w:t>
            </w:r>
          </w:p>
        </w:tc>
      </w:tr>
      <w:tr>
        <w:tc>
          <w:tcPr>
            <w:tcW w:type="dxa" w:w="3120"/>
          </w:tcPr>
          <w:p>
            <w:r>
              <w:t>Holdout</w:t>
            </w:r>
          </w:p>
        </w:tc>
        <w:tc>
          <w:tcPr>
            <w:tcW w:type="dxa" w:w="3120"/>
          </w:tcPr>
          <w:p>
            <w:r>
              <w:t>A stratified holdout is excluded from calibration and used only for testing.</w:t>
            </w:r>
          </w:p>
        </w:tc>
        <w:tc>
          <w:tcPr>
            <w:tcW w:type="dxa" w:w="3120"/>
          </w:tcPr>
          <w:p>
            <w:r>
              <w:t>Holdout report</w:t>
            </w:r>
          </w:p>
        </w:tc>
      </w:tr>
      <w:tr>
        <w:tc>
          <w:tcPr>
            <w:tcW w:type="dxa" w:w="3120"/>
          </w:tcPr>
          <w:p>
            <w:r>
              <w:t>Appeals separation</w:t>
            </w:r>
          </w:p>
        </w:tc>
        <w:tc>
          <w:tcPr>
            <w:tcW w:type="dxa" w:w="3120"/>
          </w:tcPr>
          <w:p>
            <w:r>
              <w:t>Appeals outcomes do not feed calibration for the same roll.</w:t>
            </w:r>
          </w:p>
        </w:tc>
        <w:tc>
          <w:tcPr>
            <w:tcW w:type="dxa" w:w="3120"/>
          </w:tcPr>
          <w:p>
            <w:r>
              <w:t>Workflow SOP + audit log</w:t>
            </w:r>
          </w:p>
        </w:tc>
      </w:tr>
    </w:tbl>
    <w:p/>
    <w:p>
      <w:pPr>
        <w:pStyle w:val="Heading1"/>
      </w:pPr>
      <w:r>
        <w:t>3. Test Suite (Run Every Cycle)</w:t>
      </w:r>
    </w:p>
    <w:p>
      <w:pPr>
        <w:pStyle w:val="Heading2"/>
      </w:pPr>
      <w:r>
        <w:t>Test 1: Cutoff Integrity Test</w:t>
      </w:r>
    </w:p>
    <w:p>
      <w:pPr>
        <w:pStyle w:val="ListNumber"/>
      </w:pPr>
      <w:r>
        <w:t>Confirm Tc and Tr are recorded.</w:t>
      </w:r>
    </w:p>
    <w:p>
      <w:pPr>
        <w:pStyle w:val="ListNumber"/>
      </w:pPr>
      <w:r>
        <w:t>Confirm calibration evidence extract uses sale_date &lt;= Tc.</w:t>
      </w:r>
    </w:p>
    <w:p>
      <w:pPr>
        <w:pStyle w:val="ListNumber"/>
      </w:pPr>
      <w:r>
        <w:t>Confirm ratio study reporting uses Tr and is not the same window as Tc unless justified.</w:t>
      </w:r>
    </w:p>
    <w:p>
      <w:pPr>
        <w:pStyle w:val="ListNumber"/>
      </w:pPr>
      <w:r>
        <w:t>Archive the query and counts in the memo.</w:t>
      </w:r>
    </w:p>
    <w:p>
      <w:pPr>
        <w:pStyle w:val="Heading2"/>
      </w:pPr>
      <w:r>
        <w:t>Test 2: Holdout (Out-of-Sample) Test</w:t>
      </w:r>
    </w:p>
    <w:p>
      <w:r>
        <w:t>If holdout is used, report both in-sample and holdout metrics, by major strata.</w:t>
      </w:r>
    </w:p>
    <w:p>
      <w:pPr>
        <w:pStyle w:val="ListBullet"/>
      </w:pPr>
      <w:r>
        <w:t>Holdout selection method: [FILL IN] (stratified by class/NG/quality/age)</w:t>
      </w:r>
    </w:p>
    <w:p>
      <w:pPr>
        <w:pStyle w:val="ListBullet"/>
      </w:pPr>
      <w:r>
        <w:t>Holdout size: [FILL IN]%</w:t>
      </w:r>
    </w:p>
    <w:p>
      <w:pPr>
        <w:pStyle w:val="ListBullet"/>
      </w:pPr>
      <w:r>
        <w:t>Metrics on holdout: median ratio, COD, PRD, slope (with CI if available)</w:t>
      </w:r>
    </w:p>
    <w:p>
      <w:pPr>
        <w:pStyle w:val="ListBullet"/>
      </w:pPr>
      <w:r>
        <w:t>Pass condition: holdout performance does not degrade materially vs in-sample (define thresholds)</w:t>
      </w:r>
    </w:p>
    <w:p>
      <w:pPr>
        <w:pStyle w:val="Heading2"/>
      </w:pPr>
      <w:r>
        <w:t>Test 3: Sold-vs-Unsold Change Parity</w:t>
      </w:r>
    </w:p>
    <w:p>
      <w:r>
        <w:t>Compare value-change distributions for sold and unsold parcels within matched strata.</w:t>
      </w:r>
    </w:p>
    <w:p>
      <w:pPr>
        <w:pStyle w:val="ListBullet"/>
      </w:pPr>
      <w:r>
        <w:t>Define matching strata: class × NG × quality band × age cohort (optionally size band).</w:t>
      </w:r>
    </w:p>
    <w:p>
      <w:pPr>
        <w:pStyle w:val="ListBullet"/>
      </w:pPr>
      <w:r>
        <w:t>Compute percent change in value (improvements and/or total) from prior cycle to current.</w:t>
      </w:r>
    </w:p>
    <w:p>
      <w:pPr>
        <w:pStyle w:val="ListBullet"/>
      </w:pPr>
      <w:r>
        <w:t>Compare distributions (median, IQR) and run a simple statistical test (e.g., KS test) if desired.</w:t>
      </w:r>
    </w:p>
    <w:p>
      <w:pPr>
        <w:pStyle w:val="ListBullet"/>
      </w:pPr>
      <w:r>
        <w:t>Flag condition: sold parcels show materially different change pattern after controlling for strata.</w:t>
      </w:r>
    </w:p>
    <w:p>
      <w:pPr>
        <w:pStyle w:val="Heading2"/>
      </w:pPr>
      <w:r>
        <w:t>Test 4: Leakage Screen (Self-Comp / Training-Test Contamination)</w:t>
      </w:r>
    </w:p>
    <w:p>
      <w:pPr>
        <w:pStyle w:val="ListBullet"/>
      </w:pPr>
      <w:r>
        <w:t>Confirm that a sale cannot be used as its own comparable (no self-comp).</w:t>
      </w:r>
    </w:p>
    <w:p>
      <w:pPr>
        <w:pStyle w:val="ListBullet"/>
      </w:pPr>
      <w:r>
        <w:t>Confirm that sales used to set any micro-adjustment are logged and justified.</w:t>
      </w:r>
    </w:p>
    <w:p>
      <w:pPr>
        <w:pStyle w:val="ListBullet"/>
      </w:pPr>
      <w:r>
        <w:t>Confirm that holdout sales are excluded from calibration code paths and extracts.</w:t>
      </w:r>
    </w:p>
    <w:p>
      <w:pPr>
        <w:pStyle w:val="Heading2"/>
      </w:pPr>
      <w:r>
        <w:t>Test 5: Concentration + COD Plausibility Screen (Screen Only)</w:t>
      </w:r>
    </w:p>
    <w:p>
      <w:r>
        <w:t>Low COD and high assessment concentration can occur in legitimate systems, especially with homogeneous stock or strong stratification. Treat this as a screen that triggers review, not a verdict.</w:t>
      </w:r>
    </w:p>
    <w:p>
      <w:pPr>
        <w:pStyle w:val="ListBullet"/>
      </w:pPr>
      <w:r>
        <w:t>If concentration is high, verify that it is not driven by parcel-level sale targeting.</w:t>
      </w:r>
    </w:p>
    <w:p>
      <w:pPr>
        <w:pStyle w:val="ListBullet"/>
      </w:pPr>
      <w:r>
        <w:t>Cross-check with sold-vs-unsold parity and holdout results.</w:t>
      </w:r>
    </w:p>
    <w:p>
      <w:pPr>
        <w:pStyle w:val="ListBullet"/>
      </w:pPr>
      <w:r>
        <w:t>Document the interpretation in the memo.</w:t>
      </w:r>
    </w:p>
    <w:p>
      <w:pPr>
        <w:pStyle w:val="Heading1"/>
      </w:pPr>
      <w:r>
        <w:t>4. Cycle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1F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Name/Title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Signature/Date</w:t>
            </w:r>
          </w:p>
        </w:tc>
      </w:tr>
      <w:tr>
        <w:tc>
          <w:tcPr>
            <w:tcW w:type="dxa" w:w="3120"/>
          </w:tcPr>
          <w:p>
            <w:r>
              <w:t>Calibration analyst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</w:tr>
      <w:tr>
        <w:tc>
          <w:tcPr>
            <w:tcW w:type="dxa" w:w="3120"/>
          </w:tcPr>
          <w:p>
            <w:r>
              <w:t>QA reviewer (independent)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</w:tr>
      <w:tr>
        <w:tc>
          <w:tcPr>
            <w:tcW w:type="dxa" w:w="3120"/>
          </w:tcPr>
          <w:p>
            <w:r>
              <w:t>Assessor / accountable official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