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Benton Method: Nuts-and-Bolts Technical Manual</w:t>
      </w:r>
    </w:p>
    <w:p>
      <w:pPr>
        <w:jc w:val="center"/>
      </w:pPr>
      <w:r>
        <w:rPr>
          <w:sz w:val="28"/>
        </w:rPr>
        <w:t>Legislator + Oversight Edition (Over-Detailed, Audit-Ready)</w:t>
      </w:r>
    </w:p>
    <w:p/>
    <w:p>
      <w:pPr>
        <w:jc w:val="center"/>
      </w:pPr>
      <w:r>
        <w:rPr>
          <w:sz w:val="22"/>
        </w:rPr>
        <w:t>Draft Date: 2026-01-19</w:t>
      </w:r>
    </w:p>
    <w:p>
      <w:pPr>
        <w:jc w:val="center"/>
      </w:pPr>
      <w:r>
        <w:rPr>
          <w:sz w:val="22"/>
        </w:rPr>
        <w:t>Prepared for: Legislative briefings, oversight review, and public accountability</w:t>
      </w:r>
    </w:p>
    <w:p>
      <w:pPr>
        <w:jc w:val="center"/>
      </w:pPr>
      <w:r>
        <w:rPr>
          <w:sz w:val="22"/>
        </w:rPr>
        <w:t>Scope: Process and governance (not a claim of any specific historical result without supporting tables)</w:t>
      </w:r>
    </w:p>
    <w:p>
      <w:r>
        <w:br w:type="page"/>
      </w:r>
    </w:p>
    <w:p>
      <w:r>
        <w:t>Note: Insert an automatic Table of Contents in Word via References → Table of Contents once headings are finalized.</w:t>
      </w:r>
    </w:p>
    <w:p>
      <w:r>
        <w:br w:type="page"/>
      </w:r>
    </w:p>
    <w:p>
      <w:pPr>
        <w:pStyle w:val="Heading1"/>
      </w:pPr>
      <w:r>
        <w:t>1. What This Manual Is (and Is Not)</w:t>
      </w:r>
    </w:p>
    <w:p>
      <w:r>
        <w:t>This manual explains the Benton Method as a measurement system for property assessment: what inputs are used, what is computed, what is adjusted, how independence is protected, and which artifacts are produced so outcomes can be audited. It is written to remove guesswork from interpreting published ratio study outputs.</w:t>
      </w:r>
    </w:p>
    <w:p>
      <w:pPr>
        <w:pStyle w:val="ListBullet"/>
      </w:pPr>
      <w:r>
        <w:t>It is a process disclosure: a factory tour of how values are produced.</w:t>
      </w:r>
    </w:p>
    <w:p>
      <w:pPr>
        <w:pStyle w:val="ListBullet"/>
      </w:pPr>
      <w:r>
        <w:t>It is not an accusation tool. Clean statistics can arise from good governance or from leakage; only process controls settle that question.</w:t>
      </w:r>
    </w:p>
    <w:p>
      <w:pPr>
        <w:pStyle w:val="ListBullet"/>
      </w:pPr>
      <w:r>
        <w:t>It is not a replacement for statutory policy decisions (levy limits, exemptions, etc.).</w:t>
      </w:r>
    </w:p>
    <w:tbl>
      <w:tblPr>
        <w:tblW w:type="auto" w:w="0"/>
        <w:jc w:val="left"/>
        <w:tblLook w:firstColumn="1" w:firstRow="1" w:lastColumn="0" w:lastRow="0" w:noHBand="0" w:noVBand="1" w:val="04A0"/>
      </w:tblPr>
      <w:tblGrid>
        <w:gridCol w:w="9360"/>
      </w:tblGrid>
      <w:tr>
        <w:tc>
          <w:tcPr>
            <w:tcW w:type="dxa" w:w="9360"/>
            <w:shd w:fill="F2F2F2"/>
          </w:tcPr>
          <w:p>
            <w:r>
              <w:rPr>
                <w:b/>
              </w:rPr>
              <w:t xml:space="preserve">Core idea: </w:t>
            </w:r>
            <w:r>
              <w:t>Ratios are outcomes. Governance is the method. If you want to know whether results are trustworthy, inspect the workflow, cutoff rules, and independence tests.</w:t>
            </w:r>
          </w:p>
        </w:tc>
      </w:tr>
    </w:tbl>
    <w:p/>
    <w:p>
      <w:pPr>
        <w:pStyle w:val="Heading1"/>
      </w:pPr>
      <w:r>
        <w:t>2. Plain-English Overview</w:t>
      </w:r>
    </w:p>
    <w:p>
      <w:r>
        <w:t>The Benton Method is a market-calibrated cost approach workflow with explicit independence controls. In short: improvement values are generated from cost tables (replacement cost new) and depreciation curves, then calibrated using verified market evidence at the table/curve level (not parcel-by-parcel sale targeting), with QA gates and versioned artifacts that allow after-the-fact verification.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D9E1F2"/>
          </w:tcPr>
          <w:p>
            <w:r>
              <w:rPr>
                <w:b/>
              </w:rPr>
              <w:t>Question a policymaker asks</w:t>
            </w:r>
          </w:p>
        </w:tc>
        <w:tc>
          <w:tcPr>
            <w:tcW w:type="dxa" w:w="3120"/>
            <w:shd w:fill="D9E1F2"/>
          </w:tcPr>
          <w:p>
            <w:r>
              <w:rPr>
                <w:b/>
              </w:rPr>
              <w:t>What the method provides</w:t>
            </w:r>
          </w:p>
        </w:tc>
        <w:tc>
          <w:tcPr>
            <w:tcW w:type="dxa" w:w="3120"/>
            <w:shd w:fill="D9E1F2"/>
          </w:tcPr>
          <w:p>
            <w:r>
              <w:rPr>
                <w:b/>
              </w:rPr>
              <w:t>Where it is documented</w:t>
            </w:r>
          </w:p>
        </w:tc>
      </w:tr>
      <w:tr>
        <w:tc>
          <w:tcPr>
            <w:tcW w:type="dxa" w:w="3120"/>
          </w:tcPr>
          <w:p>
            <w:r>
              <w:t>How is value computed?</w:t>
            </w:r>
          </w:p>
        </w:tc>
        <w:tc>
          <w:tcPr>
            <w:tcW w:type="dxa" w:w="3120"/>
          </w:tcPr>
          <w:p>
            <w:r>
              <w:t>Explicit equations and table-driven components</w:t>
            </w:r>
          </w:p>
        </w:tc>
        <w:tc>
          <w:tcPr>
            <w:tcW w:type="dxa" w:w="3120"/>
          </w:tcPr>
          <w:p>
            <w:r>
              <w:t>Section 4 + Calibration Memo</w:t>
            </w:r>
          </w:p>
        </w:tc>
      </w:tr>
      <w:tr>
        <w:tc>
          <w:tcPr>
            <w:tcW w:type="dxa" w:w="3120"/>
          </w:tcPr>
          <w:p>
            <w:r>
              <w:t>How do you use sales?</w:t>
            </w:r>
          </w:p>
        </w:tc>
        <w:tc>
          <w:tcPr>
            <w:tcW w:type="dxa" w:w="3120"/>
          </w:tcPr>
          <w:p>
            <w:r>
              <w:t>Sales inform calibration of tables/curves under cutoff + holdout rules</w:t>
            </w:r>
          </w:p>
        </w:tc>
        <w:tc>
          <w:tcPr>
            <w:tcW w:type="dxa" w:w="3120"/>
          </w:tcPr>
          <w:p>
            <w:r>
              <w:t>Sections 5-7 + Independence Checklist</w:t>
            </w:r>
          </w:p>
        </w:tc>
      </w:tr>
      <w:tr>
        <w:tc>
          <w:tcPr>
            <w:tcW w:type="dxa" w:w="3120"/>
          </w:tcPr>
          <w:p>
            <w:r>
              <w:t>How do you prevent sales chasing?</w:t>
            </w:r>
          </w:p>
        </w:tc>
        <w:tc>
          <w:tcPr>
            <w:tcW w:type="dxa" w:w="3120"/>
          </w:tcPr>
          <w:p>
            <w:r>
              <w:t>Temporal separation + sold-vs-unsold parity + holdout validation</w:t>
            </w:r>
          </w:p>
        </w:tc>
        <w:tc>
          <w:tcPr>
            <w:tcW w:type="dxa" w:w="3120"/>
          </w:tcPr>
          <w:p>
            <w:r>
              <w:t>Section 7 + Independence Checklist</w:t>
            </w:r>
          </w:p>
        </w:tc>
      </w:tr>
      <w:tr>
        <w:tc>
          <w:tcPr>
            <w:tcW w:type="dxa" w:w="3120"/>
          </w:tcPr>
          <w:p>
            <w:r>
              <w:t>How do we audit changes?</w:t>
            </w:r>
          </w:p>
        </w:tc>
        <w:tc>
          <w:tcPr>
            <w:tcW w:type="dxa" w:w="3120"/>
          </w:tcPr>
          <w:p>
            <w:r>
              <w:t>Versioned tables + signed calibration memo + diffs</w:t>
            </w:r>
          </w:p>
        </w:tc>
        <w:tc>
          <w:tcPr>
            <w:tcW w:type="dxa" w:w="3120"/>
          </w:tcPr>
          <w:p>
            <w:r>
              <w:t>Section 8 + Artifact binder</w:t>
            </w:r>
          </w:p>
        </w:tc>
      </w:tr>
    </w:tbl>
    <w:p/>
    <w:p>
      <w:pPr>
        <w:pStyle w:val="Heading1"/>
      </w:pPr>
      <w:r>
        <w:t>3. Definitions (Minimal but Precise)</w:t>
      </w:r>
    </w:p>
    <w:p>
      <w:pPr>
        <w:pStyle w:val="ListBullet"/>
      </w:pPr>
      <w:r>
        <w:t>Appraisal date: the effective valuation date for the roll (e.g., January 1).</w:t>
      </w:r>
    </w:p>
    <w:p>
      <w:pPr>
        <w:pStyle w:val="ListBullet"/>
      </w:pPr>
      <w:r>
        <w:t>Sales cutoff date (Tc): last sale date eligible to influence calibration for a given roll.</w:t>
      </w:r>
    </w:p>
    <w:p>
      <w:pPr>
        <w:pStyle w:val="ListBullet"/>
      </w:pPr>
      <w:r>
        <w:t>Reporting window (Tr): sales window used to evaluate published ratio statistics; must be separated from Tc to avoid leakage.</w:t>
      </w:r>
    </w:p>
    <w:p>
      <w:pPr>
        <w:pStyle w:val="ListBullet"/>
      </w:pPr>
      <w:r>
        <w:t>Stratum: a defined group of parcels/sales assumed to share market behavior (e.g., class × neighborhood × quality × age cohort).</w:t>
      </w:r>
    </w:p>
    <w:p>
      <w:pPr>
        <w:pStyle w:val="ListBullet"/>
      </w:pPr>
      <w:r>
        <w:t>RCN: replacement cost new produced by cost tables.</w:t>
      </w:r>
    </w:p>
    <w:p>
      <w:pPr>
        <w:pStyle w:val="ListBullet"/>
      </w:pPr>
      <w:r>
        <w:t>RCNLD: RCN after depreciation and other adjustments (cost approach improvement value).</w:t>
      </w:r>
    </w:p>
    <w:p>
      <w:pPr>
        <w:pStyle w:val="ListBullet"/>
      </w:pPr>
      <w:r>
        <w:t>Holdout: a set of verified sales excluded from calibration and used only to test performance.</w:t>
      </w:r>
    </w:p>
    <w:p>
      <w:pPr>
        <w:pStyle w:val="Heading1"/>
      </w:pPr>
      <w:r>
        <w:t>4. The Valuation Equation (What Is Computed)</w:t>
      </w:r>
    </w:p>
    <w:p>
      <w:r>
        <w:t>At the parcel level i, at the appraisal date:</w:t>
      </w:r>
    </w:p>
    <w:p>
      <w:pPr>
        <w:pStyle w:val="ListBullet"/>
      </w:pPr>
      <w:r>
        <w:t>Total value = Land value + Improvement value</w:t>
      </w:r>
    </w:p>
    <w:p>
      <w:pPr>
        <w:pStyle w:val="ListBullet"/>
      </w:pPr>
      <w:r>
        <w:t>Improvement value = RCN × (1 - depreciation components) + additive components (amenities/outbuildings, if modeled additively)</w:t>
      </w:r>
    </w:p>
    <w:tbl>
      <w:tblPr>
        <w:tblW w:type="auto" w:w="0"/>
        <w:jc w:val="left"/>
        <w:tblLook w:firstColumn="1" w:firstRow="1" w:lastColumn="0" w:lastRow="0" w:noHBand="0" w:noVBand="1" w:val="04A0"/>
      </w:tblPr>
      <w:tblGrid>
        <w:gridCol w:w="9360"/>
      </w:tblGrid>
      <w:tr>
        <w:tc>
          <w:tcPr>
            <w:tcW w:type="dxa" w:w="9360"/>
            <w:shd w:fill="F2F2F2"/>
          </w:tcPr>
          <w:p>
            <w:r>
              <w:rPr>
                <w:b/>
              </w:rPr>
              <w:t xml:space="preserve">Important distinction: </w:t>
            </w:r>
            <w:r>
              <w:t>Calibration changes tables and curves (the instrument). It does not set a sold parcel to its sale price as a rule.</w:t>
            </w:r>
          </w:p>
        </w:tc>
      </w:tr>
    </w:tbl>
    <w:p/>
    <w:p>
      <w:pPr>
        <w:pStyle w:val="Heading1"/>
      </w:pPr>
      <w:r>
        <w:t>5. Data Inputs (What Must Exist Before Any Calibration)</w:t>
      </w:r>
    </w:p>
    <w:p>
      <w:pPr>
        <w:pStyle w:val="Heading2"/>
      </w:pPr>
      <w:r>
        <w:t>5.1 Sales evidence file</w:t>
      </w:r>
    </w:p>
    <w:p>
      <w:pPr>
        <w:pStyle w:val="ListBullet"/>
      </w:pPr>
      <w:r>
        <w:t>parcel_id / account</w:t>
      </w:r>
    </w:p>
    <w:p>
      <w:pPr>
        <w:pStyle w:val="ListBullet"/>
      </w:pPr>
      <w:r>
        <w:t>sale_date, sale_price</w:t>
      </w:r>
    </w:p>
    <w:p>
      <w:pPr>
        <w:pStyle w:val="ListBullet"/>
      </w:pPr>
      <w:r>
        <w:t>validation flags (arms-length, deed type, related party, distress, etc.)</w:t>
      </w:r>
    </w:p>
    <w:p>
      <w:pPr>
        <w:pStyle w:val="ListBullet"/>
      </w:pPr>
      <w:r>
        <w:t>property class at sale</w:t>
      </w:r>
    </w:p>
    <w:p>
      <w:pPr>
        <w:pStyle w:val="ListBullet"/>
      </w:pPr>
      <w:r>
        <w:t>exclusion reasons (if removed) with counts</w:t>
      </w:r>
    </w:p>
    <w:p>
      <w:pPr>
        <w:pStyle w:val="Heading2"/>
      </w:pPr>
      <w:r>
        <w:t>5.2 Property characteristics (improvements)</w:t>
      </w:r>
    </w:p>
    <w:p>
      <w:pPr>
        <w:pStyle w:val="ListBullet"/>
      </w:pPr>
      <w:r>
        <w:t>living area/GLA, design/style, stories</w:t>
      </w:r>
    </w:p>
    <w:p>
      <w:pPr>
        <w:pStyle w:val="ListBullet"/>
      </w:pPr>
      <w:r>
        <w:t>quality grade, condition rating</w:t>
      </w:r>
    </w:p>
    <w:p>
      <w:pPr>
        <w:pStyle w:val="ListBullet"/>
      </w:pPr>
      <w:r>
        <w:t>year built and/or effective year built</w:t>
      </w:r>
    </w:p>
    <w:p>
      <w:pPr>
        <w:pStyle w:val="ListBullet"/>
      </w:pPr>
      <w:r>
        <w:t>construction type</w:t>
      </w:r>
    </w:p>
    <w:p>
      <w:pPr>
        <w:pStyle w:val="ListBullet"/>
      </w:pPr>
      <w:r>
        <w:t>amenities and outbuildings (garage SF, porches, barns, pools, etc.)</w:t>
      </w:r>
    </w:p>
    <w:p>
      <w:pPr>
        <w:pStyle w:val="Heading2"/>
      </w:pPr>
      <w:r>
        <w:t>5.3 Land model inputs</w:t>
      </w:r>
    </w:p>
    <w:p>
      <w:pPr>
        <w:pStyle w:val="ListBullet"/>
      </w:pPr>
      <w:r>
        <w:t>neighborhood/zone identifiers</w:t>
      </w:r>
    </w:p>
    <w:p>
      <w:pPr>
        <w:pStyle w:val="ListBullet"/>
      </w:pPr>
      <w:r>
        <w:t>site size and influence factors (shape, topography, utilities, floodplain, view)</w:t>
      </w:r>
    </w:p>
    <w:p>
      <w:pPr>
        <w:pStyle w:val="ListBullet"/>
      </w:pPr>
      <w:r>
        <w:t>base land rates and schedules (if applicable)</w:t>
      </w:r>
    </w:p>
    <w:p>
      <w:pPr>
        <w:pStyle w:val="Heading1"/>
      </w:pPr>
      <w:r>
        <w:t>6. Stratification (How Evidence Is Grouped)</w:t>
      </w:r>
    </w:p>
    <w:p>
      <w:r>
        <w:t>Stratification is not cosmetic; it is the difference between a stable measurement system and biased averages. The method defines strata with two goals: represent market behavior and maintain adequate sample size.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D9E1F2"/>
          </w:tcPr>
          <w:p>
            <w:r>
              <w:rPr>
                <w:b/>
              </w:rPr>
              <w:t>Layer</w:t>
            </w:r>
          </w:p>
        </w:tc>
        <w:tc>
          <w:tcPr>
            <w:tcW w:type="dxa" w:w="3120"/>
            <w:shd w:fill="D9E1F2"/>
          </w:tcPr>
          <w:p>
            <w:r>
              <w:rPr>
                <w:b/>
              </w:rPr>
              <w:t>Example</w:t>
            </w:r>
          </w:p>
        </w:tc>
        <w:tc>
          <w:tcPr>
            <w:tcW w:type="dxa" w:w="3120"/>
            <w:shd w:fill="D9E1F2"/>
          </w:tcPr>
          <w:p>
            <w:r>
              <w:rPr>
                <w:b/>
              </w:rPr>
              <w:t>Why it exists</w:t>
            </w:r>
          </w:p>
        </w:tc>
      </w:tr>
      <w:tr>
        <w:tc>
          <w:tcPr>
            <w:tcW w:type="dxa" w:w="3120"/>
          </w:tcPr>
          <w:p>
            <w:r>
              <w:t>Class</w:t>
            </w:r>
          </w:p>
        </w:tc>
        <w:tc>
          <w:tcPr>
            <w:tcW w:type="dxa" w:w="3120"/>
          </w:tcPr>
          <w:p>
            <w:r>
              <w:t>Residential vs commercial subsets</w:t>
            </w:r>
          </w:p>
        </w:tc>
        <w:tc>
          <w:tcPr>
            <w:tcW w:type="dxa" w:w="3120"/>
          </w:tcPr>
          <w:p>
            <w:r>
              <w:t>Markets behave differently; different models apply</w:t>
            </w:r>
          </w:p>
        </w:tc>
      </w:tr>
      <w:tr>
        <w:tc>
          <w:tcPr>
            <w:tcW w:type="dxa" w:w="3120"/>
          </w:tcPr>
          <w:p>
            <w:r>
              <w:t>Market area</w:t>
            </w:r>
          </w:p>
        </w:tc>
        <w:tc>
          <w:tcPr>
            <w:tcW w:type="dxa" w:w="3120"/>
          </w:tcPr>
          <w:p>
            <w:r>
              <w:t>Neighborhood group / NG</w:t>
            </w:r>
          </w:p>
        </w:tc>
        <w:tc>
          <w:tcPr>
            <w:tcW w:type="dxa" w:w="3120"/>
          </w:tcPr>
          <w:p>
            <w:r>
              <w:t>Buyer pool and location effects</w:t>
            </w:r>
          </w:p>
        </w:tc>
      </w:tr>
      <w:tr>
        <w:tc>
          <w:tcPr>
            <w:tcW w:type="dxa" w:w="3120"/>
          </w:tcPr>
          <w:p>
            <w:r>
              <w:t>Quality/design band</w:t>
            </w:r>
          </w:p>
        </w:tc>
        <w:tc>
          <w:tcPr>
            <w:tcW w:type="dxa" w:w="3120"/>
          </w:tcPr>
          <w:p>
            <w:r>
              <w:t>Quality 4-6 vs 7-9</w:t>
            </w:r>
          </w:p>
        </w:tc>
        <w:tc>
          <w:tcPr>
            <w:tcW w:type="dxa" w:w="3120"/>
          </w:tcPr>
          <w:p>
            <w:r>
              <w:t>Different cost recognition and depreciation</w:t>
            </w:r>
          </w:p>
        </w:tc>
      </w:tr>
      <w:tr>
        <w:tc>
          <w:tcPr>
            <w:tcW w:type="dxa" w:w="3120"/>
          </w:tcPr>
          <w:p>
            <w:r>
              <w:t>Age cohort</w:t>
            </w:r>
          </w:p>
        </w:tc>
        <w:tc>
          <w:tcPr>
            <w:tcW w:type="dxa" w:w="3120"/>
          </w:tcPr>
          <w:p>
            <w:r>
              <w:t>pre-1950 / 1950-79 / 1980-99 / 2000+</w:t>
            </w:r>
          </w:p>
        </w:tc>
        <w:tc>
          <w:tcPr>
            <w:tcW w:type="dxa" w:w="3120"/>
          </w:tcPr>
          <w:p>
            <w:r>
              <w:t>Depreciation curvature differs</w:t>
            </w:r>
          </w:p>
        </w:tc>
      </w:tr>
    </w:tbl>
    <w:p/>
    <w:tbl>
      <w:tblPr>
        <w:tblW w:type="auto" w:w="0"/>
        <w:jc w:val="left"/>
        <w:tblLook w:firstColumn="1" w:firstRow="1" w:lastColumn="0" w:lastRow="0" w:noHBand="0" w:noVBand="1" w:val="04A0"/>
      </w:tblPr>
      <w:tblGrid>
        <w:gridCol w:w="9360"/>
      </w:tblGrid>
      <w:tr>
        <w:tc>
          <w:tcPr>
            <w:tcW w:type="dxa" w:w="9360"/>
            <w:shd w:fill="F2F2F2"/>
          </w:tcPr>
          <w:p>
            <w:r>
              <w:rPr>
                <w:b/>
              </w:rPr>
              <w:t xml:space="preserve">Fail-closed rule: </w:t>
            </w:r>
            <w:r>
              <w:t>If a stratum has insufficient verified sales, the method either collapses to a parent stratum or uses shrinkage (pooled estimates). The decision is logged in the calibration memo.</w:t>
            </w:r>
          </w:p>
        </w:tc>
      </w:tr>
    </w:tbl>
    <w:p/>
    <w:p>
      <w:pPr>
        <w:pStyle w:val="Heading1"/>
      </w:pPr>
      <w:r>
        <w:t>7. Calibration Mechanics (The Nuts and Bolts)</w:t>
      </w:r>
    </w:p>
    <w:p>
      <w:pPr>
        <w:pStyle w:val="Heading2"/>
      </w:pPr>
      <w:r>
        <w:t>7.1 The calibration target</w:t>
      </w:r>
    </w:p>
    <w:p>
      <w:r>
        <w:t>To calibrate improvement tables/curves, the method constructs a market-derived improvement target using verified sales. A standard approach is to separate land and improvements so the model calibrates improvements without forcing total value to sales.</w:t>
      </w:r>
    </w:p>
    <w:p>
      <w:pPr>
        <w:pStyle w:val="ListBullet"/>
      </w:pPr>
      <w:r>
        <w:t>Market improvement value = Sale price - Market land estimate</w:t>
      </w:r>
    </w:p>
    <w:p>
      <w:pPr>
        <w:pStyle w:val="ListBullet"/>
      </w:pPr>
      <w:r>
        <w:t>Implied market recognition factor k = Market improvement / RCN (or Market improvement / (RCN × percent-good prior))</w:t>
      </w:r>
    </w:p>
    <w:p>
      <w:pPr>
        <w:pStyle w:val="ListBullet"/>
      </w:pPr>
      <w:r>
        <w:t>Robust central tendency (median/trimmed mean) is used within each stratum to reduce outlier sensitivity</w:t>
      </w:r>
    </w:p>
    <w:p>
      <w:pPr>
        <w:pStyle w:val="Heading2"/>
      </w:pPr>
      <w:r>
        <w:t>7.2 Calibration levers (what can be adjusted)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D9E1F2"/>
          </w:tcPr>
          <w:p>
            <w:r>
              <w:rPr>
                <w:b/>
              </w:rPr>
              <w:t>Lever</w:t>
            </w:r>
          </w:p>
        </w:tc>
        <w:tc>
          <w:tcPr>
            <w:tcW w:type="dxa" w:w="2340"/>
            <w:shd w:fill="D9E1F2"/>
          </w:tcPr>
          <w:p>
            <w:r>
              <w:rPr>
                <w:b/>
              </w:rPr>
              <w:t>What changes</w:t>
            </w:r>
          </w:p>
        </w:tc>
        <w:tc>
          <w:tcPr>
            <w:tcW w:type="dxa" w:w="2340"/>
            <w:shd w:fill="D9E1F2"/>
          </w:tcPr>
          <w:p>
            <w:r>
              <w:rPr>
                <w:b/>
              </w:rPr>
              <w:t>When it is appropriate</w:t>
            </w:r>
          </w:p>
        </w:tc>
        <w:tc>
          <w:tcPr>
            <w:tcW w:type="dxa" w:w="2340"/>
            <w:shd w:fill="D9E1F2"/>
          </w:tcPr>
          <w:p>
            <w:r>
              <w:rPr>
                <w:b/>
              </w:rPr>
              <w:t>Risk if misused</w:t>
            </w:r>
          </w:p>
        </w:tc>
      </w:tr>
      <w:tr>
        <w:tc>
          <w:tcPr>
            <w:tcW w:type="dxa" w:w="2340"/>
          </w:tcPr>
          <w:p>
            <w:r>
              <w:t>Cost level scaling</w:t>
            </w:r>
          </w:p>
        </w:tc>
        <w:tc>
          <w:tcPr>
            <w:tcW w:type="dxa" w:w="2340"/>
          </w:tcPr>
          <w:p>
            <w:r>
              <w:t>Base rates or locality multipliers</w:t>
            </w:r>
          </w:p>
        </w:tc>
        <w:tc>
          <w:tcPr>
            <w:tcW w:type="dxa" w:w="2340"/>
          </w:tcPr>
          <w:p>
            <w:r>
              <w:t>Systematic RCN bias (too high/low) in a stratum</w:t>
            </w:r>
          </w:p>
        </w:tc>
        <w:tc>
          <w:tcPr>
            <w:tcW w:type="dxa" w:w="2340"/>
          </w:tcPr>
          <w:p>
            <w:r>
              <w:t>Can hide depreciation issues if used as a blunt tool</w:t>
            </w:r>
          </w:p>
        </w:tc>
      </w:tr>
      <w:tr>
        <w:tc>
          <w:tcPr>
            <w:tcW w:type="dxa" w:w="2340"/>
          </w:tcPr>
          <w:p>
            <w:r>
              <w:t>Depreciation curve tuning</w:t>
            </w:r>
          </w:p>
        </w:tc>
        <w:tc>
          <w:tcPr>
            <w:tcW w:type="dxa" w:w="2340"/>
          </w:tcPr>
          <w:p>
            <w:r>
              <w:t>Age-life or condition multipliers</w:t>
            </w:r>
          </w:p>
        </w:tc>
        <w:tc>
          <w:tcPr>
            <w:tcW w:type="dxa" w:w="2340"/>
          </w:tcPr>
          <w:p>
            <w:r>
              <w:t>Bias concentrated by age/condition cohorts</w:t>
            </w:r>
          </w:p>
        </w:tc>
        <w:tc>
          <w:tcPr>
            <w:tcW w:type="dxa" w:w="2340"/>
          </w:tcPr>
          <w:p>
            <w:r>
              <w:t>Overfitting if tuned on thin samples</w:t>
            </w:r>
          </w:p>
        </w:tc>
      </w:tr>
      <w:tr>
        <w:tc>
          <w:tcPr>
            <w:tcW w:type="dxa" w:w="2340"/>
          </w:tcPr>
          <w:p>
            <w:r>
              <w:t>External/location factor</w:t>
            </w:r>
          </w:p>
        </w:tc>
        <w:tc>
          <w:tcPr>
            <w:tcW w:type="dxa" w:w="2340"/>
          </w:tcPr>
          <w:p>
            <w:r>
              <w:t>Neighborhood influence / market area percent-good</w:t>
            </w:r>
          </w:p>
        </w:tc>
        <w:tc>
          <w:tcPr>
            <w:tcW w:type="dxa" w:w="2340"/>
          </w:tcPr>
          <w:p>
            <w:r>
              <w:t>Location-driven recognition differences</w:t>
            </w:r>
          </w:p>
        </w:tc>
        <w:tc>
          <w:tcPr>
            <w:tcW w:type="dxa" w:w="2340"/>
          </w:tcPr>
          <w:p>
            <w:r>
              <w:t>Can encode past inequities if not monitored for vertical equity</w:t>
            </w:r>
          </w:p>
        </w:tc>
      </w:tr>
    </w:tbl>
    <w:p/>
    <w:p>
      <w:pPr>
        <w:pStyle w:val="Heading2"/>
      </w:pPr>
      <w:r>
        <w:t>7.3 Shrinkage and pooling (how we avoid overfitting)</w:t>
      </w:r>
    </w:p>
    <w:p>
      <w:r>
        <w:t>Small strata borrow strength from parent strata using shrinkage weights. This prevents noisy strata from producing extreme table changes.</w:t>
      </w:r>
    </w:p>
    <w:p>
      <w:pPr>
        <w:pStyle w:val="ListBullet"/>
      </w:pPr>
      <w:r>
        <w:t>Compute a stratum estimate (e.g., median k) from verified sales</w:t>
      </w:r>
    </w:p>
    <w:p>
      <w:pPr>
        <w:pStyle w:val="ListBullet"/>
      </w:pPr>
      <w:r>
        <w:t>Blend with a parent estimate using a weight w = n / (n + c)</w:t>
      </w:r>
    </w:p>
    <w:p>
      <w:pPr>
        <w:pStyle w:val="ListBullet"/>
      </w:pPr>
      <w:r>
        <w:t>Document c and the hierarchy in the calibration memo</w:t>
      </w:r>
    </w:p>
    <w:p>
      <w:pPr>
        <w:pStyle w:val="Heading1"/>
      </w:pPr>
      <w:r>
        <w:t>8. Independence and Anti-Sales-Chasing Controls</w:t>
      </w:r>
    </w:p>
    <w:tbl>
      <w:tblPr>
        <w:tblW w:type="auto" w:w="0"/>
        <w:jc w:val="left"/>
        <w:tblLook w:firstColumn="1" w:firstRow="1" w:lastColumn="0" w:lastRow="0" w:noHBand="0" w:noVBand="1" w:val="04A0"/>
      </w:tblPr>
      <w:tblGrid>
        <w:gridCol w:w="9360"/>
      </w:tblGrid>
      <w:tr>
        <w:tc>
          <w:tcPr>
            <w:tcW w:type="dxa" w:w="9360"/>
            <w:shd w:fill="F2F2F2"/>
          </w:tcPr>
          <w:p>
            <w:r>
              <w:rPr>
                <w:b/>
              </w:rPr>
              <w:t xml:space="preserve">Legislative takeaway: </w:t>
            </w:r>
            <w:r>
              <w:t>Independence is demonstrated by cutoff rules, holdout validation, and sold-vs-unsold parity - not by arguing about a single metric.</w:t>
            </w:r>
          </w:p>
        </w:tc>
      </w:tr>
    </w:tbl>
    <w:p/>
    <w:p>
      <w:pPr>
        <w:pStyle w:val="Heading2"/>
      </w:pPr>
      <w:r>
        <w:t>8.1 Temporal separation (cutoff)</w:t>
      </w:r>
    </w:p>
    <w:p>
      <w:pPr>
        <w:pStyle w:val="ListBullet"/>
      </w:pPr>
      <w:r>
        <w:t>Define Tc (sales cutoff date) for the roll.</w:t>
      </w:r>
    </w:p>
    <w:p>
      <w:pPr>
        <w:pStyle w:val="ListBullet"/>
      </w:pPr>
      <w:r>
        <w:t>Only sales on or before Tc may influence calibration.</w:t>
      </w:r>
    </w:p>
    <w:p>
      <w:pPr>
        <w:pStyle w:val="ListBullet"/>
      </w:pPr>
      <w:r>
        <w:t>Sales after Tc are reserved for monitoring and next-cycle evidence.</w:t>
      </w:r>
    </w:p>
    <w:p>
      <w:pPr>
        <w:pStyle w:val="Heading2"/>
      </w:pPr>
      <w:r>
        <w:t>8.2 Holdout (out-of-sample validation)</w:t>
      </w:r>
    </w:p>
    <w:p>
      <w:pPr>
        <w:pStyle w:val="ListBullet"/>
      </w:pPr>
      <w:r>
        <w:t>Select a stratified holdout (e.g., 15-25% by class/NG/quality band).</w:t>
      </w:r>
    </w:p>
    <w:p>
      <w:pPr>
        <w:pStyle w:val="ListBullet"/>
      </w:pPr>
      <w:r>
        <w:t>Holdout sales are never used to tune tables/curves.</w:t>
      </w:r>
    </w:p>
    <w:p>
      <w:pPr>
        <w:pStyle w:val="ListBullet"/>
      </w:pPr>
      <w:r>
        <w:t>Report performance on holdout separately from in-sample metrics.</w:t>
      </w:r>
    </w:p>
    <w:p>
      <w:pPr>
        <w:pStyle w:val="Heading2"/>
      </w:pPr>
      <w:r>
        <w:t>8.3 Sold-vs-unsold parity test</w:t>
      </w:r>
    </w:p>
    <w:p>
      <w:r>
        <w:t>A core chasing detector is whether sold parcels receive different systematic changes than comparable unsold parcels. The test compares value-change distributions between sold and unsold parcels within matched strata (and optionally matched on key characteristics).</w:t>
      </w:r>
    </w:p>
    <w:p>
      <w:pPr>
        <w:pStyle w:val="ListBullet"/>
      </w:pPr>
      <w:r>
        <w:t>Metric: distribution of percent change in improvement value (or total value) between cycles</w:t>
      </w:r>
    </w:p>
    <w:p>
      <w:pPr>
        <w:pStyle w:val="ListBullet"/>
      </w:pPr>
      <w:r>
        <w:t>Match: same class, NG, quality band, age cohort (and optional size band)</w:t>
      </w:r>
    </w:p>
    <w:p>
      <w:pPr>
        <w:pStyle w:val="ListBullet"/>
      </w:pPr>
      <w:r>
        <w:t>Flag: sold parcels show a distinct post-sale jump not seen in unsold group</w:t>
      </w:r>
    </w:p>
    <w:p>
      <w:pPr>
        <w:pStyle w:val="Heading1"/>
      </w:pPr>
      <w:r>
        <w:t>9. Equity Monitoring (Vertical Equity + Uncertainty)</w:t>
      </w:r>
    </w:p>
    <w:p>
      <w:r>
        <w:t>Uniformity and level are necessary but not sufficient. Vertical equity asks whether high-value and low-value properties are treated proportionally. The method reports both PRD-style summaries and slope-style regressions, ideally with uncertainty intervals.</w:t>
      </w:r>
    </w:p>
    <w:p>
      <w:pPr>
        <w:pStyle w:val="ListBullet"/>
      </w:pPr>
      <w:r>
        <w:t>PRD as a screen; interpret in context of strata and sample size.</w:t>
      </w:r>
    </w:p>
    <w:p>
      <w:pPr>
        <w:pStyle w:val="ListBullet"/>
      </w:pPr>
      <w:r>
        <w:t>Slope model: ratio or assessed value on log(price) to detect regressivity/progressivity.</w:t>
      </w:r>
    </w:p>
    <w:p>
      <w:pPr>
        <w:pStyle w:val="ListBullet"/>
      </w:pPr>
      <w:r>
        <w:t>Bootstrap confidence intervals (stratified) to avoid over-interpreting noise in small counties.</w:t>
      </w:r>
    </w:p>
    <w:p>
      <w:pPr>
        <w:pStyle w:val="Heading1"/>
      </w:pPr>
      <w:r>
        <w:t>10. Artifact Binder (What You Can Audit)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D9E1F2"/>
          </w:tcPr>
          <w:p>
            <w:r>
              <w:rPr>
                <w:b/>
              </w:rPr>
              <w:t>Artifact</w:t>
            </w:r>
          </w:p>
        </w:tc>
        <w:tc>
          <w:tcPr>
            <w:tcW w:type="dxa" w:w="3120"/>
            <w:shd w:fill="D9E1F2"/>
          </w:tcPr>
          <w:p>
            <w:r>
              <w:rPr>
                <w:b/>
              </w:rPr>
              <w:t>Purpose</w:t>
            </w:r>
          </w:p>
        </w:tc>
        <w:tc>
          <w:tcPr>
            <w:tcW w:type="dxa" w:w="3120"/>
            <w:shd w:fill="D9E1F2"/>
          </w:tcPr>
          <w:p>
            <w:r>
              <w:rPr>
                <w:b/>
              </w:rPr>
              <w:t>Minimum contents</w:t>
            </w:r>
          </w:p>
        </w:tc>
      </w:tr>
      <w:tr>
        <w:tc>
          <w:tcPr>
            <w:tcW w:type="dxa" w:w="3120"/>
          </w:tcPr>
          <w:p>
            <w:r>
              <w:t>Calibration memo</w:t>
            </w:r>
          </w:p>
        </w:tc>
        <w:tc>
          <w:tcPr>
            <w:tcW w:type="dxa" w:w="3120"/>
          </w:tcPr>
          <w:p>
            <w:r>
              <w:t>Explains what changed and why</w:t>
            </w:r>
          </w:p>
        </w:tc>
        <w:tc>
          <w:tcPr>
            <w:tcW w:type="dxa" w:w="3120"/>
          </w:tcPr>
          <w:p>
            <w:r>
              <w:t>Tc, strata, samples, lever changes, before/after gates, exceptions</w:t>
            </w:r>
          </w:p>
        </w:tc>
      </w:tr>
      <w:tr>
        <w:tc>
          <w:tcPr>
            <w:tcW w:type="dxa" w:w="3120"/>
          </w:tcPr>
          <w:p>
            <w:r>
              <w:t>Versioned tables/curves</w:t>
            </w:r>
          </w:p>
        </w:tc>
        <w:tc>
          <w:tcPr>
            <w:tcW w:type="dxa" w:w="3120"/>
          </w:tcPr>
          <w:p>
            <w:r>
              <w:t>Reproducible valuation results</w:t>
            </w:r>
          </w:p>
        </w:tc>
        <w:tc>
          <w:tcPr>
            <w:tcW w:type="dxa" w:w="3120"/>
          </w:tcPr>
          <w:p>
            <w:r>
              <w:t>Version IDs, effective dates, change log</w:t>
            </w:r>
          </w:p>
        </w:tc>
      </w:tr>
      <w:tr>
        <w:tc>
          <w:tcPr>
            <w:tcW w:type="dxa" w:w="3120"/>
          </w:tcPr>
          <w:p>
            <w:r>
              <w:t>QA gate report</w:t>
            </w:r>
          </w:p>
        </w:tc>
        <w:tc>
          <w:tcPr>
            <w:tcW w:type="dxa" w:w="3120"/>
          </w:tcPr>
          <w:p>
            <w:r>
              <w:t>Shows pass/fail on required metrics</w:t>
            </w:r>
          </w:p>
        </w:tc>
        <w:tc>
          <w:tcPr>
            <w:tcW w:type="dxa" w:w="3120"/>
          </w:tcPr>
          <w:p>
            <w:r>
              <w:t>Level, COD, PRD/slope, holdout, parity</w:t>
            </w:r>
          </w:p>
        </w:tc>
      </w:tr>
      <w:tr>
        <w:tc>
          <w:tcPr>
            <w:tcW w:type="dxa" w:w="3120"/>
          </w:tcPr>
          <w:p>
            <w:r>
              <w:t>Audit log</w:t>
            </w:r>
          </w:p>
        </w:tc>
        <w:tc>
          <w:tcPr>
            <w:tcW w:type="dxa" w:w="3120"/>
          </w:tcPr>
          <w:p>
            <w:r>
              <w:t>Shows who changed what, when</w:t>
            </w:r>
          </w:p>
        </w:tc>
        <w:tc>
          <w:tcPr>
            <w:tcW w:type="dxa" w:w="3120"/>
          </w:tcPr>
          <w:p>
            <w:r>
              <w:t>User, timestamp, parameter/table id, rationale link</w:t>
            </w:r>
          </w:p>
        </w:tc>
      </w:tr>
    </w:tbl>
    <w:p/>
    <w:p>
      <w:pPr>
        <w:pStyle w:val="Heading1"/>
      </w:pPr>
      <w:r>
        <w:t>11. What a Taxpayer Sees (Explainability Map)</w:t>
      </w:r>
    </w:p>
    <w:p>
      <w:pPr>
        <w:pStyle w:val="ListBullet"/>
      </w:pPr>
      <w:r>
        <w:t>Change drivers: characteristics (new construction/remodel), neighborhood/market factors, table version updates.</w:t>
      </w:r>
    </w:p>
    <w:p>
      <w:pPr>
        <w:pStyle w:val="ListBullet"/>
      </w:pPr>
      <w:r>
        <w:t>Clear statement: assessment changes do not automatically mean tax increases; levies and rates determine taxes.</w:t>
      </w:r>
    </w:p>
    <w:p>
      <w:pPr>
        <w:pStyle w:val="ListBullet"/>
      </w:pPr>
      <w:r>
        <w:t>A one-page valuation explanation: land + improvements + key characteristics + table/curve version used.</w:t>
      </w:r>
    </w:p>
    <w:p>
      <w:pPr>
        <w:pStyle w:val="Heading1"/>
      </w:pPr>
      <w:r>
        <w:t>12. Implementation Checklist (If the State Wants a Standard)</w:t>
      </w:r>
    </w:p>
    <w:p>
      <w:pPr>
        <w:pStyle w:val="ListNumber"/>
      </w:pPr>
      <w:r>
        <w:t>Publish Tc and appraisal date each cycle.</w:t>
      </w:r>
    </w:p>
    <w:p>
      <w:pPr>
        <w:pStyle w:val="ListNumber"/>
      </w:pPr>
      <w:r>
        <w:t>Require a calibration memo for any table/curve update affecting the roll.</w:t>
      </w:r>
    </w:p>
    <w:p>
      <w:pPr>
        <w:pStyle w:val="ListNumber"/>
      </w:pPr>
      <w:r>
        <w:t>Require either a holdout test or an alternative out-of-sample validation method, with results disclosed.</w:t>
      </w:r>
    </w:p>
    <w:p>
      <w:pPr>
        <w:pStyle w:val="ListNumber"/>
      </w:pPr>
      <w:r>
        <w:t>Require sold-vs-unsold parity summary by major strata.</w:t>
      </w:r>
    </w:p>
    <w:p>
      <w:pPr>
        <w:pStyle w:val="ListNumber"/>
      </w:pPr>
      <w:r>
        <w:t>Publish vertical equity slope with uncertainty bands for major residential class strata.</w:t>
      </w:r>
    </w:p>
    <w:p>
      <w:pPr>
        <w:pStyle w:val="ListNumber"/>
      </w:pPr>
      <w:r>
        <w:t>Maintain separation of duties between calibration and appeals.</w:t>
      </w:r>
    </w:p>
    <w:p>
      <w:pPr>
        <w:pStyle w:val="Heading1"/>
      </w:pPr>
      <w:r>
        <w:t>Appendix A: Field Map (Placeholder)</w:t>
      </w:r>
    </w:p>
    <w:p>
      <w:r>
        <w:t>Replace this with your actual field names once wired to PACS/ProVal extracts.</w:t>
      </w:r>
    </w:p>
    <w:tbl>
      <w:tblPr>
        <w:tblStyle w:val="TableGrid"/>
        <w:tblW w:type="auto" w:w="0"/>
        <w:jc w:val="left"/>
        <w:tblLook w:firstColumn="1" w:firstRow="1" w:lastColumn="0" w:lastRow="0" w:noHBand="0" w:noVBand="1" w:val="04A0"/>
      </w:tblPr>
      <w:tblGrid>
        <w:gridCol w:w="4680"/>
        <w:gridCol w:w="4680"/>
      </w:tblGrid>
      <w:tr>
        <w:tc>
          <w:tcPr>
            <w:tcW w:type="dxa" w:w="4680"/>
            <w:shd w:fill="D9E1F2"/>
          </w:tcPr>
          <w:p>
            <w:r>
              <w:rPr>
                <w:b/>
              </w:rPr>
              <w:t>Concept</w:t>
            </w:r>
          </w:p>
        </w:tc>
        <w:tc>
          <w:tcPr>
            <w:tcW w:type="dxa" w:w="4680"/>
            <w:shd w:fill="D9E1F2"/>
          </w:tcPr>
          <w:p>
            <w:r>
              <w:rPr>
                <w:b/>
              </w:rPr>
              <w:t>Suggested field(s)</w:t>
            </w:r>
          </w:p>
        </w:tc>
      </w:tr>
      <w:tr>
        <w:tc>
          <w:tcPr>
            <w:tcW w:type="dxa" w:w="4680"/>
          </w:tcPr>
          <w:p>
            <w:r>
              <w:t>Parcel identifier</w:t>
            </w:r>
          </w:p>
        </w:tc>
        <w:tc>
          <w:tcPr>
            <w:tcW w:type="dxa" w:w="4680"/>
          </w:tcPr>
          <w:p>
            <w:r>
              <w:t>[FILL_IN: parcel_id/account]</w:t>
            </w:r>
          </w:p>
        </w:tc>
      </w:tr>
      <w:tr>
        <w:tc>
          <w:tcPr>
            <w:tcW w:type="dxa" w:w="4680"/>
          </w:tcPr>
          <w:p>
            <w:r>
              <w:t>Sale date</w:t>
            </w:r>
          </w:p>
        </w:tc>
        <w:tc>
          <w:tcPr>
            <w:tcW w:type="dxa" w:w="4680"/>
          </w:tcPr>
          <w:p>
            <w:r>
              <w:t>[FILL_IN: sale_date]</w:t>
            </w:r>
          </w:p>
        </w:tc>
      </w:tr>
      <w:tr>
        <w:tc>
          <w:tcPr>
            <w:tcW w:type="dxa" w:w="4680"/>
          </w:tcPr>
          <w:p>
            <w:r>
              <w:t>Sale price</w:t>
            </w:r>
          </w:p>
        </w:tc>
        <w:tc>
          <w:tcPr>
            <w:tcW w:type="dxa" w:w="4680"/>
          </w:tcPr>
          <w:p>
            <w:r>
              <w:t>[FILL_IN: sale_price]</w:t>
            </w:r>
          </w:p>
        </w:tc>
      </w:tr>
      <w:tr>
        <w:tc>
          <w:tcPr>
            <w:tcW w:type="dxa" w:w="4680"/>
          </w:tcPr>
          <w:p>
            <w:r>
              <w:t>Land value estimate</w:t>
            </w:r>
          </w:p>
        </w:tc>
        <w:tc>
          <w:tcPr>
            <w:tcW w:type="dxa" w:w="4680"/>
          </w:tcPr>
          <w:p>
            <w:r>
              <w:t>[FILL_IN: land_market_est]</w:t>
            </w:r>
          </w:p>
        </w:tc>
      </w:tr>
      <w:tr>
        <w:tc>
          <w:tcPr>
            <w:tcW w:type="dxa" w:w="4680"/>
          </w:tcPr>
          <w:p>
            <w:r>
              <w:t>RCN</w:t>
            </w:r>
          </w:p>
        </w:tc>
        <w:tc>
          <w:tcPr>
            <w:tcW w:type="dxa" w:w="4680"/>
          </w:tcPr>
          <w:p>
            <w:r>
              <w:t>[FILL_IN: rcn_total]</w:t>
            </w:r>
          </w:p>
        </w:tc>
      </w:tr>
      <w:tr>
        <w:tc>
          <w:tcPr>
            <w:tcW w:type="dxa" w:w="4680"/>
          </w:tcPr>
          <w:p>
            <w:r>
              <w:t>Effective age</w:t>
            </w:r>
          </w:p>
        </w:tc>
        <w:tc>
          <w:tcPr>
            <w:tcW w:type="dxa" w:w="4680"/>
          </w:tcPr>
          <w:p>
            <w:r>
              <w:t>[FILL_IN: eff_age]</w:t>
            </w:r>
          </w:p>
        </w:tc>
      </w:tr>
      <w:tr>
        <w:tc>
          <w:tcPr>
            <w:tcW w:type="dxa" w:w="4680"/>
          </w:tcPr>
          <w:p>
            <w:r>
              <w:t>Quality</w:t>
            </w:r>
          </w:p>
        </w:tc>
        <w:tc>
          <w:tcPr>
            <w:tcW w:type="dxa" w:w="4680"/>
          </w:tcPr>
          <w:p>
            <w:r>
              <w:t>[FILL_IN: quality]</w:t>
            </w:r>
          </w:p>
        </w:tc>
      </w:tr>
      <w:tr>
        <w:tc>
          <w:tcPr>
            <w:tcW w:type="dxa" w:w="4680"/>
          </w:tcPr>
          <w:p>
            <w:r>
              <w:t>Neighborhood group</w:t>
            </w:r>
          </w:p>
        </w:tc>
        <w:tc>
          <w:tcPr>
            <w:tcW w:type="dxa" w:w="4680"/>
          </w:tcPr>
          <w:p>
            <w:r>
              <w:t>[FILL_IN: ng_code]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